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3D27E64F" w14:textId="3EBB3B04" w:rsidR="00083448" w:rsidRDefault="00083448" w:rsidP="000D55C1">
      <w:pPr>
        <w:widowControl w:val="0"/>
        <w:tabs>
          <w:tab w:val="left" w:pos="5040"/>
          <w:tab w:val="left" w:pos="6480"/>
        </w:tabs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</w:p>
    <w:p w14:paraId="2FD3EBE2" w14:textId="700D185D" w:rsidR="00083448" w:rsidRDefault="00083448" w:rsidP="000D55C1">
      <w:pPr>
        <w:widowControl w:val="0"/>
        <w:tabs>
          <w:tab w:val="left" w:pos="5040"/>
          <w:tab w:val="left" w:pos="6480"/>
        </w:tabs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</w:p>
    <w:p w14:paraId="7FA66DCD" w14:textId="77777777" w:rsidR="00D151D1" w:rsidRDefault="00D151D1" w:rsidP="00D151D1">
      <w:pPr>
        <w:tabs>
          <w:tab w:val="left" w:pos="5040"/>
          <w:tab w:val="left" w:pos="5760"/>
        </w:tabs>
      </w:pPr>
      <w:r>
        <w:t>Office of Consumer Advocate</w:t>
      </w:r>
      <w:r>
        <w:tab/>
        <w:t>:</w:t>
      </w:r>
    </w:p>
    <w:p w14:paraId="2ECF4889" w14:textId="77777777" w:rsidR="00D151D1" w:rsidRDefault="00D151D1" w:rsidP="00D151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611E7B5F" w14:textId="77777777" w:rsidR="00D151D1" w:rsidRDefault="00D151D1" w:rsidP="00D151D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696FCFEA" w14:textId="77777777" w:rsidR="00D151D1" w:rsidRDefault="00D151D1" w:rsidP="00D151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1882D23" w14:textId="77777777" w:rsidR="00D151D1" w:rsidRDefault="00D151D1" w:rsidP="00D151D1">
      <w:pPr>
        <w:tabs>
          <w:tab w:val="left" w:pos="5040"/>
        </w:tabs>
      </w:pPr>
      <w:proofErr w:type="gramStart"/>
      <w:r>
        <w:t>North Eastern</w:t>
      </w:r>
      <w:proofErr w:type="gramEnd"/>
      <w:r>
        <w:t xml:space="preserve"> Pennsylvania Telephone Company</w:t>
      </w:r>
      <w:r>
        <w:tab/>
        <w:t>:</w:t>
      </w:r>
      <w:r>
        <w:tab/>
        <w:t>R-2018-3001197- C-2018-3001915</w:t>
      </w:r>
      <w:r>
        <w:tab/>
        <w:t>:</w:t>
      </w:r>
      <w:r>
        <w:tab/>
        <w:t>R-2019-3009237 - C-2019-3009896</w:t>
      </w:r>
    </w:p>
    <w:p w14:paraId="6038451F" w14:textId="77777777" w:rsidR="00D151D1" w:rsidRDefault="00D151D1" w:rsidP="00D151D1">
      <w:pPr>
        <w:tabs>
          <w:tab w:val="left" w:pos="5040"/>
        </w:tabs>
      </w:pPr>
      <w:r>
        <w:t>Consolidated Communications of Pennsylvania, Inc.:</w:t>
      </w:r>
      <w:r>
        <w:tab/>
        <w:t>R-2018-3001104 - C-2018-3001863</w:t>
      </w:r>
    </w:p>
    <w:p w14:paraId="69C092F2" w14:textId="77777777" w:rsidR="00D151D1" w:rsidRDefault="00D151D1" w:rsidP="00D151D1">
      <w:pPr>
        <w:tabs>
          <w:tab w:val="left" w:pos="5040"/>
        </w:tabs>
      </w:pPr>
      <w:r>
        <w:tab/>
        <w:t>:</w:t>
      </w:r>
      <w:r>
        <w:tab/>
        <w:t>R-2019-3009336 - C-2019-3009897</w:t>
      </w:r>
    </w:p>
    <w:p w14:paraId="1BD24DAB" w14:textId="77777777" w:rsidR="00D151D1" w:rsidRDefault="00D151D1" w:rsidP="00D151D1">
      <w:pPr>
        <w:tabs>
          <w:tab w:val="left" w:pos="5040"/>
        </w:tabs>
      </w:pPr>
      <w:r>
        <w:t>Hickory Telephone Company</w:t>
      </w:r>
      <w:r>
        <w:tab/>
        <w:t>:</w:t>
      </w:r>
      <w:r>
        <w:tab/>
        <w:t>R-2018-3001217 - C-2018-3001917</w:t>
      </w:r>
    </w:p>
    <w:p w14:paraId="6DFA6758" w14:textId="77777777" w:rsidR="00D151D1" w:rsidRDefault="00D151D1" w:rsidP="00D151D1">
      <w:pPr>
        <w:tabs>
          <w:tab w:val="left" w:pos="5040"/>
        </w:tabs>
      </w:pPr>
      <w:r>
        <w:t>Lackawaxen Telecommunications Services, Inc.</w:t>
      </w:r>
      <w:r>
        <w:tab/>
        <w:t>:</w:t>
      </w:r>
      <w:r>
        <w:tab/>
        <w:t>R-2018-3001199 - C-2018-3001913</w:t>
      </w:r>
      <w:r>
        <w:tab/>
      </w:r>
      <w:r>
        <w:tab/>
        <w:t>:</w:t>
      </w:r>
      <w:r>
        <w:tab/>
      </w:r>
      <w:r w:rsidRPr="00161BC3">
        <w:t>R-2019-3009233</w:t>
      </w:r>
      <w:r>
        <w:t xml:space="preserve"> - </w:t>
      </w:r>
      <w:r w:rsidRPr="00161BC3">
        <w:t>C-2019-3009881</w:t>
      </w:r>
    </w:p>
    <w:p w14:paraId="3A5B8D16" w14:textId="77777777" w:rsidR="00D151D1" w:rsidRDefault="00D151D1" w:rsidP="00D151D1">
      <w:pPr>
        <w:tabs>
          <w:tab w:val="left" w:pos="5040"/>
        </w:tabs>
      </w:pPr>
      <w:r>
        <w:t>Windstream Buffalo Valley, Inc.</w:t>
      </w:r>
      <w:r>
        <w:tab/>
        <w:t>:</w:t>
      </w:r>
      <w:r>
        <w:tab/>
      </w:r>
      <w:r w:rsidRPr="00161BC3">
        <w:t>R-2018-3001132</w:t>
      </w:r>
      <w:r>
        <w:t xml:space="preserve"> - C-2018-3001865</w:t>
      </w:r>
    </w:p>
    <w:p w14:paraId="6540510B" w14:textId="77777777" w:rsidR="00D151D1" w:rsidRDefault="00D151D1" w:rsidP="00D151D1">
      <w:pPr>
        <w:tabs>
          <w:tab w:val="left" w:pos="5040"/>
        </w:tabs>
      </w:pPr>
      <w:r>
        <w:tab/>
        <w:t>:</w:t>
      </w:r>
      <w:r>
        <w:tab/>
      </w:r>
      <w:r w:rsidRPr="00161BC3">
        <w:t>R-2019-3010106</w:t>
      </w:r>
      <w:r>
        <w:t xml:space="preserve"> - </w:t>
      </w:r>
      <w:r w:rsidRPr="00161BC3">
        <w:t>C-2019-3010150</w:t>
      </w:r>
    </w:p>
    <w:p w14:paraId="6F71FAD8" w14:textId="77777777" w:rsidR="00D151D1" w:rsidRDefault="00D151D1" w:rsidP="00D151D1">
      <w:pPr>
        <w:tabs>
          <w:tab w:val="left" w:pos="5040"/>
        </w:tabs>
      </w:pPr>
      <w:r>
        <w:t>Windstream Conestoga, Inc.</w:t>
      </w:r>
      <w:r>
        <w:tab/>
        <w:t>:</w:t>
      </w:r>
      <w:r>
        <w:tab/>
      </w:r>
      <w:r w:rsidRPr="00161BC3">
        <w:t>R-2018-3001135</w:t>
      </w:r>
      <w:r>
        <w:t xml:space="preserve"> - </w:t>
      </w:r>
      <w:r w:rsidRPr="00161BC3">
        <w:t>C-2018-3001864</w:t>
      </w:r>
      <w:r>
        <w:tab/>
      </w:r>
      <w:r>
        <w:tab/>
        <w:t>:</w:t>
      </w:r>
      <w:r>
        <w:tab/>
      </w:r>
      <w:r w:rsidRPr="00161BC3">
        <w:t>R-2019-3010097</w:t>
      </w:r>
      <w:r>
        <w:t xml:space="preserve"> - </w:t>
      </w:r>
      <w:r w:rsidRPr="00161BC3">
        <w:t>C-2019-3010148</w:t>
      </w:r>
    </w:p>
    <w:p w14:paraId="02B1273C" w14:textId="77777777" w:rsidR="00D151D1" w:rsidRDefault="00D151D1" w:rsidP="00D151D1">
      <w:pPr>
        <w:tabs>
          <w:tab w:val="left" w:pos="5040"/>
        </w:tabs>
      </w:pPr>
      <w:r w:rsidRPr="00161BC3">
        <w:t>Windstream D&amp;E, Inc.</w:t>
      </w:r>
      <w:r>
        <w:tab/>
        <w:t>:</w:t>
      </w:r>
      <w:r>
        <w:tab/>
      </w:r>
      <w:r w:rsidRPr="00161BC3">
        <w:t>R-2018-3001133</w:t>
      </w:r>
      <w:r>
        <w:t xml:space="preserve"> - </w:t>
      </w:r>
      <w:r w:rsidRPr="00161BC3">
        <w:t>C-2018-3001870</w:t>
      </w:r>
      <w:r>
        <w:tab/>
      </w:r>
      <w:r>
        <w:tab/>
        <w:t>:</w:t>
      </w:r>
      <w:r>
        <w:tab/>
      </w:r>
      <w:r w:rsidRPr="00161BC3">
        <w:t>R-2019-3010100</w:t>
      </w:r>
      <w:r>
        <w:t xml:space="preserve"> - </w:t>
      </w:r>
      <w:r w:rsidRPr="00161BC3">
        <w:t>C-2019-3010149</w:t>
      </w:r>
    </w:p>
    <w:p w14:paraId="613AD886" w14:textId="77777777" w:rsidR="00D151D1" w:rsidRDefault="00D151D1" w:rsidP="00D151D1">
      <w:pPr>
        <w:tabs>
          <w:tab w:val="left" w:pos="5040"/>
        </w:tabs>
      </w:pPr>
      <w:r>
        <w:t>Windstream Pennsylvania, LLC</w:t>
      </w:r>
      <w:r>
        <w:tab/>
        <w:t>:</w:t>
      </w:r>
      <w:r>
        <w:tab/>
      </w:r>
      <w:r w:rsidRPr="00161BC3">
        <w:t>R-2018-3001150</w:t>
      </w:r>
      <w:r>
        <w:t xml:space="preserve"> - </w:t>
      </w:r>
      <w:r w:rsidRPr="00161BC3">
        <w:t>C-2018-3001871</w:t>
      </w:r>
    </w:p>
    <w:p w14:paraId="29918192" w14:textId="77777777" w:rsidR="00D151D1" w:rsidRDefault="00D151D1" w:rsidP="00D151D1">
      <w:pPr>
        <w:tabs>
          <w:tab w:val="left" w:pos="5040"/>
        </w:tabs>
      </w:pPr>
      <w:r>
        <w:tab/>
        <w:t xml:space="preserve">: </w:t>
      </w:r>
      <w:r>
        <w:tab/>
      </w:r>
      <w:r w:rsidRPr="00161BC3">
        <w:t>R-2019-3010101</w:t>
      </w:r>
      <w:r>
        <w:t xml:space="preserve"> - </w:t>
      </w:r>
      <w:r w:rsidRPr="00161BC3">
        <w:t>C-2019-3010152</w:t>
      </w:r>
    </w:p>
    <w:p w14:paraId="4E24964E" w14:textId="77777777" w:rsidR="00D151D1" w:rsidRDefault="00D151D1" w:rsidP="00D151D1">
      <w:pPr>
        <w:tabs>
          <w:tab w:val="left" w:pos="5040"/>
        </w:tabs>
      </w:pPr>
      <w:r w:rsidRPr="007A167A">
        <w:t>Bentleyville Communications Corporation</w:t>
      </w:r>
      <w:r>
        <w:tab/>
        <w:t>:</w:t>
      </w:r>
      <w:r>
        <w:tab/>
      </w:r>
      <w:r w:rsidRPr="007A167A">
        <w:t>R-2018-3001213</w:t>
      </w:r>
      <w:r>
        <w:t xml:space="preserve"> - </w:t>
      </w:r>
      <w:r w:rsidRPr="007A167A">
        <w:t>C-2018-3001916</w:t>
      </w:r>
    </w:p>
    <w:p w14:paraId="6CA70720" w14:textId="77777777" w:rsidR="00D151D1" w:rsidRDefault="00D151D1" w:rsidP="00D151D1">
      <w:pPr>
        <w:tabs>
          <w:tab w:val="left" w:pos="5040"/>
        </w:tabs>
      </w:pPr>
      <w:r>
        <w:tab/>
        <w:t>:</w:t>
      </w:r>
      <w:r>
        <w:tab/>
      </w:r>
      <w:r w:rsidRPr="007A167A">
        <w:t>R-2019-3009230</w:t>
      </w:r>
      <w:r>
        <w:t xml:space="preserve"> - </w:t>
      </w:r>
      <w:r w:rsidRPr="007A167A">
        <w:t>C-2019-3009899</w:t>
      </w:r>
    </w:p>
    <w:p w14:paraId="5EC939D4" w14:textId="77777777" w:rsidR="00D151D1" w:rsidRDefault="00D151D1" w:rsidP="00D151D1">
      <w:pPr>
        <w:tabs>
          <w:tab w:val="left" w:pos="5040"/>
        </w:tabs>
      </w:pPr>
      <w:r w:rsidRPr="007A167A">
        <w:t>Marianna &amp; Scenery Hill Telephone Company</w:t>
      </w:r>
      <w:r>
        <w:tab/>
        <w:t>:</w:t>
      </w:r>
      <w:r>
        <w:tab/>
      </w:r>
      <w:r w:rsidRPr="007A167A">
        <w:t>R-2018-3001201</w:t>
      </w:r>
      <w:r>
        <w:t xml:space="preserve"> - </w:t>
      </w:r>
      <w:r w:rsidRPr="007A167A">
        <w:t>C-2018-3001912</w:t>
      </w:r>
    </w:p>
    <w:p w14:paraId="68BC66BC" w14:textId="77777777" w:rsidR="00D151D1" w:rsidRDefault="00D151D1" w:rsidP="00D151D1">
      <w:pPr>
        <w:tabs>
          <w:tab w:val="left" w:pos="5040"/>
        </w:tabs>
      </w:pPr>
      <w:r>
        <w:tab/>
        <w:t>:</w:t>
      </w:r>
      <w:r>
        <w:tab/>
      </w:r>
      <w:r w:rsidRPr="007A167A">
        <w:t>R-2019-3009241</w:t>
      </w:r>
      <w:r>
        <w:t xml:space="preserve"> - </w:t>
      </w:r>
      <w:r w:rsidRPr="007A167A">
        <w:t>C-2019-3009894</w:t>
      </w:r>
    </w:p>
    <w:p w14:paraId="1EBE29A5" w14:textId="77777777" w:rsidR="00D151D1" w:rsidRDefault="00D151D1" w:rsidP="00D151D1">
      <w:pPr>
        <w:tabs>
          <w:tab w:val="left" w:pos="5040"/>
        </w:tabs>
      </w:pPr>
      <w:r w:rsidRPr="007A167A">
        <w:t>Ironton Telephone Company</w:t>
      </w:r>
      <w:r>
        <w:tab/>
        <w:t>:</w:t>
      </w:r>
      <w:r>
        <w:tab/>
      </w:r>
      <w:r w:rsidRPr="007A167A">
        <w:t>R-2019-3007261</w:t>
      </w:r>
      <w:r>
        <w:t xml:space="preserve"> - </w:t>
      </w:r>
      <w:r w:rsidRPr="007A167A">
        <w:t>C-2019-3007887</w:t>
      </w:r>
    </w:p>
    <w:p w14:paraId="00504F46" w14:textId="77777777" w:rsidR="00D151D1" w:rsidRDefault="00D151D1" w:rsidP="00D151D1">
      <w:pPr>
        <w:tabs>
          <w:tab w:val="left" w:pos="5040"/>
        </w:tabs>
      </w:pPr>
      <w:r>
        <w:tab/>
        <w:t>:</w:t>
      </w:r>
      <w:r>
        <w:tab/>
      </w:r>
      <w:r w:rsidRPr="007A167A">
        <w:t>R-2020-3016018</w:t>
      </w:r>
      <w:r>
        <w:t xml:space="preserve"> - </w:t>
      </w:r>
      <w:r w:rsidRPr="007A167A">
        <w:t>C-2020-3018500</w:t>
      </w:r>
    </w:p>
    <w:p w14:paraId="23FDE9FA" w14:textId="77777777" w:rsidR="00D151D1" w:rsidRDefault="00D151D1" w:rsidP="00D151D1">
      <w:pPr>
        <w:tabs>
          <w:tab w:val="left" w:pos="5040"/>
        </w:tabs>
      </w:pPr>
      <w:r w:rsidRPr="007A167A">
        <w:t>Citizens Telephone Company of Kecksburg</w:t>
      </w:r>
      <w:r>
        <w:tab/>
        <w:t>:</w:t>
      </w:r>
      <w:r>
        <w:tab/>
      </w:r>
      <w:r w:rsidRPr="007A167A">
        <w:t>R-2019-3007258</w:t>
      </w:r>
      <w:r>
        <w:t xml:space="preserve"> - </w:t>
      </w:r>
      <w:r w:rsidRPr="007A167A">
        <w:t>C-2019-3007888</w:t>
      </w:r>
    </w:p>
    <w:p w14:paraId="5F05E27A" w14:textId="77777777" w:rsidR="00D151D1" w:rsidRDefault="00D151D1" w:rsidP="00D151D1">
      <w:pPr>
        <w:tabs>
          <w:tab w:val="left" w:pos="5040"/>
        </w:tabs>
      </w:pPr>
      <w:r>
        <w:t>\</w:t>
      </w:r>
      <w:r>
        <w:tab/>
        <w:t>:</w:t>
      </w:r>
      <w:r>
        <w:tab/>
      </w:r>
      <w:r w:rsidRPr="007A167A">
        <w:t>R-2020-3016016</w:t>
      </w:r>
      <w:r>
        <w:t xml:space="preserve"> - </w:t>
      </w:r>
      <w:r w:rsidRPr="007A167A">
        <w:t>C-2020-3018508</w:t>
      </w:r>
    </w:p>
    <w:p w14:paraId="7FCE558E" w14:textId="77777777" w:rsidR="00D151D1" w:rsidRDefault="00D151D1" w:rsidP="00D151D1">
      <w:pPr>
        <w:tabs>
          <w:tab w:val="left" w:pos="5040"/>
        </w:tabs>
      </w:pPr>
      <w:r w:rsidRPr="007A167A">
        <w:t>TDS Telecom/Mahanoy &amp;</w:t>
      </w:r>
      <w:r>
        <w:tab/>
        <w:t>:</w:t>
      </w:r>
    </w:p>
    <w:p w14:paraId="29B536BA" w14:textId="77777777" w:rsidR="00D151D1" w:rsidRDefault="00D151D1" w:rsidP="00D151D1">
      <w:pPr>
        <w:tabs>
          <w:tab w:val="left" w:pos="5040"/>
        </w:tabs>
      </w:pPr>
      <w:r w:rsidRPr="007A167A">
        <w:lastRenderedPageBreak/>
        <w:t>Mahantango Telephone Company</w:t>
      </w:r>
      <w:r>
        <w:tab/>
        <w:t>:</w:t>
      </w:r>
      <w:r>
        <w:tab/>
      </w:r>
      <w:r w:rsidRPr="007A167A">
        <w:t>R-2019-3007949</w:t>
      </w:r>
      <w:r>
        <w:t xml:space="preserve"> - </w:t>
      </w:r>
      <w:r w:rsidRPr="0013502B">
        <w:t>C-2019-3008487</w:t>
      </w:r>
    </w:p>
    <w:p w14:paraId="28014714" w14:textId="77777777" w:rsidR="00D151D1" w:rsidRPr="0013502B" w:rsidRDefault="00D151D1" w:rsidP="00D151D1">
      <w:pPr>
        <w:tabs>
          <w:tab w:val="left" w:pos="5040"/>
        </w:tabs>
      </w:pPr>
      <w:r w:rsidRPr="0013502B">
        <w:t>TDS Telecom/Sugar Valley Telephone Company</w:t>
      </w:r>
      <w:r>
        <w:tab/>
        <w:t>:</w:t>
      </w:r>
      <w:r>
        <w:tab/>
      </w:r>
      <w:r w:rsidRPr="0013502B">
        <w:t>R-2019-3007948</w:t>
      </w:r>
      <w:r>
        <w:t xml:space="preserve"> - </w:t>
      </w:r>
      <w:r w:rsidRPr="0013502B">
        <w:t>C-2019-3008478</w:t>
      </w:r>
    </w:p>
    <w:p w14:paraId="29D23354" w14:textId="77777777" w:rsidR="00936AD5" w:rsidRDefault="00936AD5" w:rsidP="000D55C1">
      <w:pPr>
        <w:widowControl w:val="0"/>
        <w:tabs>
          <w:tab w:val="left" w:pos="5040"/>
          <w:tab w:val="left" w:pos="6480"/>
        </w:tabs>
        <w:spacing w:line="240" w:lineRule="auto"/>
        <w:rPr>
          <w:b/>
          <w:bCs/>
          <w:szCs w:val="24"/>
        </w:rPr>
      </w:pPr>
    </w:p>
    <w:p w14:paraId="37B588D1" w14:textId="03FED91E" w:rsidR="00AB704C" w:rsidRDefault="00AB704C" w:rsidP="002B5183">
      <w:pPr>
        <w:widowControl w:val="0"/>
        <w:tabs>
          <w:tab w:val="left" w:pos="6480"/>
        </w:tabs>
        <w:spacing w:line="240" w:lineRule="auto"/>
        <w:rPr>
          <w:b/>
          <w:bCs/>
          <w:szCs w:val="24"/>
        </w:rPr>
      </w:pPr>
    </w:p>
    <w:p w14:paraId="62DBF35E" w14:textId="77777777" w:rsidR="002B5183" w:rsidRPr="009A52FA" w:rsidRDefault="002B5183" w:rsidP="002B5183">
      <w:pPr>
        <w:widowControl w:val="0"/>
        <w:tabs>
          <w:tab w:val="left" w:pos="6480"/>
        </w:tabs>
        <w:spacing w:line="240" w:lineRule="auto"/>
        <w:rPr>
          <w:b/>
          <w:bCs/>
          <w:szCs w:val="24"/>
        </w:rPr>
      </w:pPr>
    </w:p>
    <w:p w14:paraId="11DD7CD4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790A88E9" w14:textId="77777777" w:rsidR="00AB704C" w:rsidRDefault="00AB704C" w:rsidP="00AE4979">
      <w:pPr>
        <w:widowControl w:val="0"/>
        <w:spacing w:line="240" w:lineRule="auto"/>
        <w:jc w:val="center"/>
        <w:rPr>
          <w:bCs/>
          <w:szCs w:val="24"/>
        </w:rPr>
      </w:pPr>
    </w:p>
    <w:p w14:paraId="24333FD1" w14:textId="77777777" w:rsidR="00CC5D98" w:rsidRPr="009A52FA" w:rsidRDefault="00CC5D98" w:rsidP="00AE4979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624026CF" w14:textId="39E08B8E" w:rsidR="00E03E97" w:rsidRPr="00EC0F2C" w:rsidRDefault="00EC0F2C" w:rsidP="00EC0F2C">
      <w:pPr>
        <w:pStyle w:val="BodyTextIndent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Prehearing Conference</w:t>
      </w:r>
    </w:p>
    <w:p w14:paraId="0C239701" w14:textId="30A91966" w:rsidR="00AA4959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8A32C2">
        <w:rPr>
          <w:sz w:val="24"/>
          <w:szCs w:val="24"/>
        </w:rPr>
        <w:t xml:space="preserve">n Initial </w:t>
      </w:r>
      <w:r w:rsidR="00AA4959">
        <w:rPr>
          <w:sz w:val="24"/>
          <w:szCs w:val="24"/>
        </w:rPr>
        <w:t xml:space="preserve">Telephonic </w:t>
      </w:r>
      <w:r w:rsidR="008A32C2">
        <w:rPr>
          <w:sz w:val="24"/>
          <w:szCs w:val="24"/>
        </w:rPr>
        <w:t>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Pr="009A52FA">
        <w:rPr>
          <w:sz w:val="24"/>
          <w:szCs w:val="24"/>
        </w:rPr>
        <w:t xml:space="preserve"> for </w:t>
      </w:r>
      <w:r w:rsidR="00202811">
        <w:rPr>
          <w:sz w:val="24"/>
          <w:szCs w:val="24"/>
        </w:rPr>
        <w:t>Tuesday</w:t>
      </w:r>
      <w:r w:rsidR="00767B18">
        <w:rPr>
          <w:sz w:val="24"/>
          <w:szCs w:val="24"/>
        </w:rPr>
        <w:t>,</w:t>
      </w:r>
      <w:r w:rsidR="00481EAF">
        <w:rPr>
          <w:sz w:val="24"/>
          <w:szCs w:val="24"/>
        </w:rPr>
        <w:t xml:space="preserve"> </w:t>
      </w:r>
      <w:r w:rsidR="00C7650B">
        <w:rPr>
          <w:sz w:val="24"/>
          <w:szCs w:val="24"/>
        </w:rPr>
        <w:t>J</w:t>
      </w:r>
      <w:r w:rsidR="00202811">
        <w:rPr>
          <w:sz w:val="24"/>
          <w:szCs w:val="24"/>
        </w:rPr>
        <w:t xml:space="preserve">anuary </w:t>
      </w:r>
      <w:r w:rsidR="00FE0E57">
        <w:rPr>
          <w:sz w:val="24"/>
          <w:szCs w:val="24"/>
        </w:rPr>
        <w:t>31</w:t>
      </w:r>
      <w:r w:rsidR="00481EAF">
        <w:rPr>
          <w:sz w:val="24"/>
          <w:szCs w:val="24"/>
        </w:rPr>
        <w:t>, 202</w:t>
      </w:r>
      <w:r w:rsidR="00FE0E57">
        <w:rPr>
          <w:sz w:val="24"/>
          <w:szCs w:val="24"/>
        </w:rPr>
        <w:t>3</w:t>
      </w:r>
      <w:r w:rsidR="00481EAF">
        <w:rPr>
          <w:sz w:val="24"/>
          <w:szCs w:val="24"/>
        </w:rPr>
        <w:t>, at</w:t>
      </w:r>
      <w:r w:rsidR="00DD56D9">
        <w:rPr>
          <w:sz w:val="24"/>
          <w:szCs w:val="24"/>
        </w:rPr>
        <w:t xml:space="preserve"> 10:00 a.m. </w:t>
      </w:r>
      <w:r w:rsidR="00AA4959">
        <w:rPr>
          <w:sz w:val="24"/>
          <w:szCs w:val="24"/>
        </w:rPr>
        <w:t xml:space="preserve"> The parties </w:t>
      </w:r>
      <w:r w:rsidR="00E24858">
        <w:rPr>
          <w:sz w:val="24"/>
          <w:szCs w:val="24"/>
        </w:rPr>
        <w:t>must</w:t>
      </w:r>
      <w:r w:rsidR="00AA4959">
        <w:rPr>
          <w:sz w:val="24"/>
          <w:szCs w:val="24"/>
        </w:rPr>
        <w:t xml:space="preserve"> connect to the Prehearing Conference by using the following conference call-in numbers:</w:t>
      </w:r>
    </w:p>
    <w:p w14:paraId="4DBCB650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48F50E6B" w14:textId="37AB4CD5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Call-in number:</w:t>
      </w:r>
      <w:r>
        <w:rPr>
          <w:sz w:val="24"/>
          <w:szCs w:val="24"/>
        </w:rPr>
        <w:tab/>
        <w:t>877-668-3814</w:t>
      </w:r>
    </w:p>
    <w:p w14:paraId="41AF62F1" w14:textId="774B208C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45310677</w:t>
      </w:r>
    </w:p>
    <w:p w14:paraId="622A0439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5D24016D" w14:textId="7C36ECDE" w:rsidR="00CC5D98" w:rsidRPr="009A52FA" w:rsidRDefault="00AA4959" w:rsidP="00CC5D9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5D98">
        <w:rPr>
          <w:sz w:val="24"/>
          <w:szCs w:val="24"/>
        </w:rPr>
        <w:t>The parties are directed to comply with the following</w:t>
      </w:r>
      <w:r w:rsidR="005F0823">
        <w:rPr>
          <w:sz w:val="24"/>
          <w:szCs w:val="24"/>
        </w:rPr>
        <w:t xml:space="preserve"> directives</w:t>
      </w:r>
      <w:r w:rsidR="00CC5D98"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08B30B1D" w14:textId="5703F9DE" w:rsidR="00AB704C" w:rsidRDefault="00CC5D98" w:rsidP="00AA4959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FE0E57">
        <w:rPr>
          <w:szCs w:val="24"/>
        </w:rPr>
        <w:t>me</w:t>
      </w:r>
      <w:r w:rsidRPr="008A32C2">
        <w:rPr>
          <w:szCs w:val="24"/>
        </w:rPr>
        <w:t xml:space="preserve"> </w:t>
      </w:r>
      <w:r w:rsidRPr="009A52FA">
        <w:rPr>
          <w:szCs w:val="24"/>
        </w:rPr>
        <w:t xml:space="preserve">electronically </w:t>
      </w:r>
      <w:r w:rsidR="00AA4959">
        <w:rPr>
          <w:szCs w:val="24"/>
        </w:rPr>
        <w:t>(</w:t>
      </w:r>
      <w:hyperlink r:id="rId10" w:history="1">
        <w:r w:rsidR="00AA4959" w:rsidRPr="007F5E92">
          <w:rPr>
            <w:rStyle w:val="Hyperlink"/>
            <w:szCs w:val="24"/>
          </w:rPr>
          <w:t>sthaas@pa.gov</w:t>
        </w:r>
      </w:hyperlink>
      <w:r w:rsidR="009B6B49">
        <w:rPr>
          <w:szCs w:val="24"/>
        </w:rPr>
        <w:t xml:space="preserve">) </w:t>
      </w:r>
      <w:r w:rsidRPr="009A52FA">
        <w:rPr>
          <w:szCs w:val="24"/>
        </w:rPr>
        <w:t>with any document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9B6B49">
        <w:rPr>
          <w:szCs w:val="24"/>
        </w:rPr>
        <w:t>us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>send cop</w:t>
      </w:r>
      <w:r w:rsidR="00673CDE">
        <w:rPr>
          <w:szCs w:val="24"/>
        </w:rPr>
        <w:t>ies</w:t>
      </w:r>
      <w:r w:rsidRPr="009A52FA">
        <w:rPr>
          <w:szCs w:val="24"/>
        </w:rPr>
        <w:t xml:space="preserve"> to </w:t>
      </w:r>
      <w:r w:rsidRPr="00673CDE">
        <w:rPr>
          <w:szCs w:val="24"/>
        </w:rPr>
        <w:t>all</w:t>
      </w:r>
      <w:r w:rsidRPr="009A52FA">
        <w:rPr>
          <w:szCs w:val="24"/>
        </w:rPr>
        <w:t xml:space="preserve"> other parties in the case.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691D8222" w14:textId="5373F421" w:rsidR="00CC5D98" w:rsidRDefault="00CC5D98" w:rsidP="008A32C2">
      <w:pPr>
        <w:adjustRightInd w:val="0"/>
        <w:ind w:firstLine="720"/>
        <w:contextualSpacing/>
        <w:rPr>
          <w:szCs w:val="24"/>
        </w:r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</w:t>
      </w:r>
      <w:proofErr w:type="gramStart"/>
      <w:r w:rsidRPr="00F9074F">
        <w:rPr>
          <w:szCs w:val="24"/>
        </w:rPr>
        <w:t>municipality</w:t>
      </w:r>
      <w:proofErr w:type="gramEnd"/>
      <w:r w:rsidRPr="00F9074F">
        <w:rPr>
          <w:szCs w:val="24"/>
        </w:rPr>
        <w:t xml:space="preserve">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 represent you in this proceeding.  Unless you are an</w:t>
      </w:r>
      <w:r w:rsidR="00EC0F2C">
        <w:rPr>
          <w:szCs w:val="24"/>
        </w:rPr>
        <w:t xml:space="preserve"> </w:t>
      </w:r>
      <w:r w:rsidRPr="00F9074F">
        <w:rPr>
          <w:szCs w:val="24"/>
        </w:rPr>
        <w:t>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2C163748" w14:textId="77777777" w:rsidR="00CC5D98" w:rsidRDefault="00CC5D98" w:rsidP="00CC5D98">
      <w:pPr>
        <w:adjustRightInd w:val="0"/>
        <w:ind w:firstLine="1440"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lastRenderedPageBreak/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00B5F642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issues relating to the public input and evidentiary hearings that will be held,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3A0A00CC" w14:textId="51D1B3D1" w:rsidR="00CC5D98" w:rsidRDefault="00CC5D98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4EC4113" w14:textId="2689622D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7F881DF4" w14:textId="77777777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2CCD7744" w14:textId="23F21008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25608D11" w:rsidR="00CC5D98" w:rsidRPr="006523C3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  <w:u w:val="single"/>
        </w:rPr>
      </w:pPr>
      <w:r w:rsidRPr="008040EB">
        <w:rPr>
          <w:szCs w:val="24"/>
        </w:rPr>
        <w:t>Establishment of the official service list.</w:t>
      </w:r>
      <w:r w:rsidR="00680A31">
        <w:rPr>
          <w:szCs w:val="24"/>
        </w:rPr>
        <w:t xml:space="preserve">  </w:t>
      </w:r>
      <w:r w:rsidR="00680A31" w:rsidRPr="006523C3">
        <w:rPr>
          <w:szCs w:val="24"/>
          <w:u w:val="single"/>
        </w:rPr>
        <w:t xml:space="preserve">Each party </w:t>
      </w:r>
      <w:r w:rsidR="00481EAF" w:rsidRPr="006523C3">
        <w:rPr>
          <w:szCs w:val="24"/>
          <w:u w:val="single"/>
        </w:rPr>
        <w:t>w</w:t>
      </w:r>
      <w:r w:rsidR="00680A31" w:rsidRPr="006523C3">
        <w:rPr>
          <w:szCs w:val="24"/>
          <w:u w:val="single"/>
        </w:rPr>
        <w:t>ill designate one name for the official service list.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47CD7F74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 of the Commission’s rules pertaining to discovery (52 Pa. Code, Subchapter D) and subpoenas (52 Pa. Code §5.421).</w:t>
      </w:r>
    </w:p>
    <w:p w14:paraId="319F66C6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0AE95D1D" w14:textId="43CAE004" w:rsidR="009A0615" w:rsidRPr="005F58F2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Simplification of the </w:t>
      </w:r>
      <w:proofErr w:type="gramStart"/>
      <w:r w:rsidRPr="009A0615">
        <w:rPr>
          <w:szCs w:val="24"/>
        </w:rPr>
        <w:t>issues;</w:t>
      </w:r>
      <w:proofErr w:type="gramEnd"/>
    </w:p>
    <w:p w14:paraId="25831A11" w14:textId="77777777" w:rsidR="009A0615" w:rsidRPr="009A0615" w:rsidRDefault="009A0615" w:rsidP="009A0615">
      <w:pPr>
        <w:pStyle w:val="ListParagraph"/>
        <w:tabs>
          <w:tab w:val="left" w:pos="3240"/>
        </w:tabs>
        <w:spacing w:line="240" w:lineRule="auto"/>
        <w:ind w:left="3240" w:right="1440"/>
        <w:rPr>
          <w:szCs w:val="24"/>
        </w:rPr>
      </w:pPr>
    </w:p>
    <w:p w14:paraId="58DF54FD" w14:textId="103B2797" w:rsidR="00CC5D98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The obtaining of admissions as to, or stipulations of, facts not in dispute, or the authenticity of documents which might properly shorten the </w:t>
      </w:r>
      <w:proofErr w:type="gramStart"/>
      <w:r w:rsidRPr="009A0615">
        <w:rPr>
          <w:szCs w:val="24"/>
        </w:rPr>
        <w:t>hearing;</w:t>
      </w:r>
      <w:proofErr w:type="gramEnd"/>
    </w:p>
    <w:p w14:paraId="3BE82BEB" w14:textId="77777777" w:rsidR="000A51D5" w:rsidRPr="000A51D5" w:rsidRDefault="000A51D5" w:rsidP="000A51D5">
      <w:pPr>
        <w:pStyle w:val="ListParagraph"/>
        <w:rPr>
          <w:szCs w:val="24"/>
        </w:rPr>
      </w:pPr>
    </w:p>
    <w:p w14:paraId="0ACC65A6" w14:textId="1758EC3B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Limitations as to the number of </w:t>
      </w:r>
      <w:proofErr w:type="gramStart"/>
      <w:r w:rsidRPr="009A0615">
        <w:rPr>
          <w:szCs w:val="24"/>
        </w:rPr>
        <w:t>witnesses</w:t>
      </w:r>
      <w:r w:rsidR="009A0615">
        <w:rPr>
          <w:szCs w:val="24"/>
        </w:rPr>
        <w:t>;</w:t>
      </w:r>
      <w:proofErr w:type="gramEnd"/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9A0615">
      <w:pPr>
        <w:pStyle w:val="ListParagraph"/>
        <w:rPr>
          <w:szCs w:val="24"/>
        </w:rPr>
      </w:pPr>
    </w:p>
    <w:p w14:paraId="4930AD00" w14:textId="4DC4BA56" w:rsidR="0011613A" w:rsidRDefault="009A0615" w:rsidP="002B5183">
      <w:pPr>
        <w:tabs>
          <w:tab w:val="left" w:pos="3240"/>
        </w:tabs>
        <w:spacing w:line="240" w:lineRule="auto"/>
        <w:ind w:left="3240" w:right="1440" w:hanging="360"/>
        <w:rPr>
          <w:szCs w:val="24"/>
        </w:rPr>
      </w:pPr>
      <w:r>
        <w:rPr>
          <w:szCs w:val="24"/>
        </w:rPr>
        <w:t>(</w:t>
      </w:r>
      <w:r w:rsidR="00CC5D98" w:rsidRPr="00C11294">
        <w:rPr>
          <w:szCs w:val="24"/>
        </w:rPr>
        <w:t>4)</w:t>
      </w:r>
      <w:r w:rsidR="00CC5D98" w:rsidRPr="00C11294">
        <w:rPr>
          <w:szCs w:val="24"/>
        </w:rPr>
        <w:tab/>
        <w:t xml:space="preserve">Limitations of time and scope for direct and </w:t>
      </w:r>
      <w:proofErr w:type="gramStart"/>
      <w:r w:rsidR="00CC5D98" w:rsidRPr="00C11294">
        <w:rPr>
          <w:szCs w:val="24"/>
        </w:rPr>
        <w:t>cross-examination</w:t>
      </w:r>
      <w:r>
        <w:rPr>
          <w:szCs w:val="24"/>
        </w:rPr>
        <w:t>;</w:t>
      </w:r>
      <w:proofErr w:type="gramEnd"/>
    </w:p>
    <w:p w14:paraId="6B69A340" w14:textId="17046483" w:rsidR="0011613A" w:rsidRPr="0013202D" w:rsidRDefault="0011613A" w:rsidP="005F0823">
      <w:pPr>
        <w:ind w:firstLine="1440"/>
        <w:rPr>
          <w:szCs w:val="24"/>
          <w:u w:val="single"/>
        </w:rPr>
      </w:pPr>
      <w:r>
        <w:rPr>
          <w:szCs w:val="24"/>
        </w:rPr>
        <w:lastRenderedPageBreak/>
        <w:t>6.</w:t>
      </w:r>
      <w:r>
        <w:rPr>
          <w:szCs w:val="24"/>
        </w:rPr>
        <w:tab/>
      </w:r>
      <w:r w:rsidRPr="002165D0">
        <w:rPr>
          <w:szCs w:val="24"/>
          <w:u w:val="single"/>
        </w:rPr>
        <w:t xml:space="preserve">The </w:t>
      </w:r>
      <w:r w:rsidR="009A0615" w:rsidRPr="002165D0">
        <w:rPr>
          <w:szCs w:val="24"/>
          <w:u w:val="single"/>
        </w:rPr>
        <w:t xml:space="preserve">parties are directed to confer prior to the prehearing conference and attempt to develop a </w:t>
      </w:r>
      <w:r w:rsidR="00842027" w:rsidRPr="002165D0">
        <w:rPr>
          <w:szCs w:val="24"/>
          <w:u w:val="single"/>
        </w:rPr>
        <w:t>mutually acceptable</w:t>
      </w:r>
      <w:r w:rsidR="009A0615" w:rsidRPr="002165D0">
        <w:rPr>
          <w:szCs w:val="24"/>
          <w:u w:val="single"/>
        </w:rPr>
        <w:t xml:space="preserve"> litigation schedule</w:t>
      </w:r>
      <w:r w:rsidR="009A0615">
        <w:rPr>
          <w:szCs w:val="24"/>
        </w:rPr>
        <w:t>.</w:t>
      </w:r>
      <w:r w:rsidR="00AC0BE3">
        <w:rPr>
          <w:szCs w:val="24"/>
        </w:rPr>
        <w:t xml:space="preserve">  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40F4CCB5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DD56D9">
        <w:rPr>
          <w:szCs w:val="24"/>
        </w:rPr>
        <w:t>On or before</w:t>
      </w:r>
      <w:r w:rsidR="00767B18">
        <w:rPr>
          <w:szCs w:val="24"/>
        </w:rPr>
        <w:t xml:space="preserve"> 4:00 p.m. on</w:t>
      </w:r>
      <w:r w:rsidRPr="00DD56D9">
        <w:rPr>
          <w:szCs w:val="24"/>
        </w:rPr>
        <w:t xml:space="preserve"> </w:t>
      </w:r>
      <w:r w:rsidR="00836136">
        <w:rPr>
          <w:szCs w:val="24"/>
        </w:rPr>
        <w:t>Fri</w:t>
      </w:r>
      <w:r w:rsidR="006D3BBE">
        <w:rPr>
          <w:szCs w:val="24"/>
        </w:rPr>
        <w:t xml:space="preserve">day, </w:t>
      </w:r>
      <w:r w:rsidR="00DA12F8">
        <w:rPr>
          <w:szCs w:val="24"/>
        </w:rPr>
        <w:t>J</w:t>
      </w:r>
      <w:r w:rsidR="00836136">
        <w:rPr>
          <w:szCs w:val="24"/>
        </w:rPr>
        <w:t>anuary 27</w:t>
      </w:r>
      <w:r w:rsidR="00AA4959">
        <w:rPr>
          <w:szCs w:val="24"/>
        </w:rPr>
        <w:t>,</w:t>
      </w:r>
      <w:r w:rsidR="003A0114">
        <w:rPr>
          <w:szCs w:val="24"/>
        </w:rPr>
        <w:t xml:space="preserve"> 202</w:t>
      </w:r>
      <w:r w:rsidR="00836136">
        <w:rPr>
          <w:szCs w:val="24"/>
        </w:rPr>
        <w:t>3</w:t>
      </w:r>
      <w:r w:rsidR="003A0114">
        <w:rPr>
          <w:szCs w:val="24"/>
        </w:rPr>
        <w:t>,</w:t>
      </w:r>
      <w:r w:rsidRPr="009A52FA">
        <w:rPr>
          <w:szCs w:val="24"/>
        </w:rPr>
        <w:t xml:space="preserve">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prehearing memorandum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 xml:space="preserve">(1) a proposed litigation schedule, 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</w:t>
      </w:r>
      <w:r w:rsidR="00AA4959">
        <w:rPr>
          <w:szCs w:val="24"/>
        </w:rPr>
        <w:t xml:space="preserve">and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testimony.</w:t>
      </w:r>
      <w:r>
        <w:rPr>
          <w:szCs w:val="24"/>
        </w:rPr>
        <w:t xml:space="preserve">  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2AD058F7" w:rsidR="00CC5D98" w:rsidRDefault="00CC5D98" w:rsidP="00CC5D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issues among themselves; motions to compel should be filed only after such efforts have failed</w:t>
      </w:r>
      <w:r>
        <w:rPr>
          <w:szCs w:val="24"/>
        </w:rPr>
        <w:t>.</w:t>
      </w:r>
    </w:p>
    <w:p w14:paraId="15F1BF3F" w14:textId="76428809" w:rsidR="00EC0F2C" w:rsidRDefault="00EC0F2C" w:rsidP="00CC5D98">
      <w:pPr>
        <w:rPr>
          <w:szCs w:val="24"/>
        </w:rPr>
      </w:pPr>
    </w:p>
    <w:p w14:paraId="7169AB4A" w14:textId="615D4B0F" w:rsidR="00EC0F2C" w:rsidRDefault="00EC0F2C" w:rsidP="00CC5D98">
      <w:pPr>
        <w:rPr>
          <w:b/>
          <w:bCs/>
          <w:szCs w:val="24"/>
        </w:rPr>
      </w:pPr>
      <w:r>
        <w:rPr>
          <w:b/>
          <w:bCs/>
          <w:szCs w:val="24"/>
        </w:rPr>
        <w:t>Motion to Consolidate</w:t>
      </w:r>
    </w:p>
    <w:p w14:paraId="53156EC4" w14:textId="15291E1D" w:rsidR="00EC0F2C" w:rsidRPr="003C1A0B" w:rsidRDefault="00396C98" w:rsidP="00CC5D98">
      <w:pPr>
        <w:rPr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5368E5" w:rsidRPr="005368E5">
        <w:rPr>
          <w:szCs w:val="24"/>
        </w:rPr>
        <w:t>9.</w:t>
      </w:r>
      <w:r w:rsidR="005368E5">
        <w:rPr>
          <w:b/>
          <w:bCs/>
          <w:szCs w:val="24"/>
        </w:rPr>
        <w:tab/>
      </w:r>
      <w:r w:rsidR="003C1A0B" w:rsidRPr="003C1A0B">
        <w:rPr>
          <w:szCs w:val="24"/>
        </w:rPr>
        <w:t>On October</w:t>
      </w:r>
      <w:r w:rsidR="003C1A0B">
        <w:rPr>
          <w:szCs w:val="24"/>
        </w:rPr>
        <w:t xml:space="preserve"> 11, 2022, </w:t>
      </w:r>
      <w:r w:rsidR="00785240">
        <w:rPr>
          <w:szCs w:val="24"/>
        </w:rPr>
        <w:t xml:space="preserve">the companies filed a </w:t>
      </w:r>
      <w:r w:rsidR="001B6255">
        <w:rPr>
          <w:szCs w:val="24"/>
        </w:rPr>
        <w:t>Motion to Consolidate the various proceedings identified</w:t>
      </w:r>
      <w:r w:rsidR="005368E5" w:rsidRPr="005368E5">
        <w:rPr>
          <w:szCs w:val="24"/>
        </w:rPr>
        <w:t xml:space="preserve"> </w:t>
      </w:r>
      <w:r w:rsidR="005368E5">
        <w:rPr>
          <w:szCs w:val="24"/>
        </w:rPr>
        <w:t>in the caption</w:t>
      </w:r>
      <w:r w:rsidR="001B6255">
        <w:rPr>
          <w:szCs w:val="24"/>
        </w:rPr>
        <w:t xml:space="preserve"> above</w:t>
      </w:r>
      <w:r w:rsidR="00B616BC">
        <w:rPr>
          <w:szCs w:val="24"/>
        </w:rPr>
        <w:t xml:space="preserve">.  By agreement of the various parties, the deadline for </w:t>
      </w:r>
      <w:r w:rsidR="003E0BE4">
        <w:rPr>
          <w:szCs w:val="24"/>
        </w:rPr>
        <w:t>A</w:t>
      </w:r>
      <w:r w:rsidR="008124F3">
        <w:rPr>
          <w:szCs w:val="24"/>
        </w:rPr>
        <w:t xml:space="preserve">nswers </w:t>
      </w:r>
      <w:r w:rsidR="003E0BE4">
        <w:rPr>
          <w:szCs w:val="24"/>
        </w:rPr>
        <w:t>to</w:t>
      </w:r>
      <w:r w:rsidR="008124F3">
        <w:rPr>
          <w:szCs w:val="24"/>
        </w:rPr>
        <w:t xml:space="preserve"> the Motion was postponed </w:t>
      </w:r>
      <w:proofErr w:type="gramStart"/>
      <w:r w:rsidR="008124F3">
        <w:rPr>
          <w:szCs w:val="24"/>
        </w:rPr>
        <w:t xml:space="preserve">to </w:t>
      </w:r>
      <w:r w:rsidR="00852BA6">
        <w:rPr>
          <w:szCs w:val="24"/>
        </w:rPr>
        <w:t>give</w:t>
      </w:r>
      <w:proofErr w:type="gramEnd"/>
      <w:r w:rsidR="008124F3">
        <w:rPr>
          <w:szCs w:val="24"/>
        </w:rPr>
        <w:t xml:space="preserve"> the parties additional time to discuss </w:t>
      </w:r>
      <w:r w:rsidR="00852BA6">
        <w:rPr>
          <w:szCs w:val="24"/>
        </w:rPr>
        <w:t xml:space="preserve">potential </w:t>
      </w:r>
      <w:r w:rsidR="00065DCE">
        <w:rPr>
          <w:szCs w:val="24"/>
        </w:rPr>
        <w:t>settlement</w:t>
      </w:r>
      <w:r w:rsidR="00852BA6">
        <w:rPr>
          <w:szCs w:val="24"/>
        </w:rPr>
        <w:t xml:space="preserve"> terms</w:t>
      </w:r>
      <w:r w:rsidR="00065DCE">
        <w:rPr>
          <w:szCs w:val="24"/>
        </w:rPr>
        <w:t xml:space="preserve">.  By further agreement of the parties during an informal conference call </w:t>
      </w:r>
      <w:r w:rsidR="00852BA6">
        <w:rPr>
          <w:szCs w:val="24"/>
        </w:rPr>
        <w:t xml:space="preserve">on December </w:t>
      </w:r>
      <w:r w:rsidR="00103480">
        <w:rPr>
          <w:szCs w:val="24"/>
        </w:rPr>
        <w:t xml:space="preserve">12, 2022, a deadline for </w:t>
      </w:r>
      <w:r w:rsidR="003E0BE4">
        <w:rPr>
          <w:szCs w:val="24"/>
        </w:rPr>
        <w:t>A</w:t>
      </w:r>
      <w:r w:rsidR="00103480">
        <w:rPr>
          <w:szCs w:val="24"/>
        </w:rPr>
        <w:t xml:space="preserve">nswers to the Motion to Consolidate has </w:t>
      </w:r>
      <w:r w:rsidR="003E0BE4">
        <w:rPr>
          <w:szCs w:val="24"/>
        </w:rPr>
        <w:t xml:space="preserve">now </w:t>
      </w:r>
      <w:r w:rsidR="00103480">
        <w:rPr>
          <w:szCs w:val="24"/>
        </w:rPr>
        <w:t xml:space="preserve">been established for </w:t>
      </w:r>
      <w:r w:rsidR="008026B9">
        <w:rPr>
          <w:szCs w:val="24"/>
        </w:rPr>
        <w:t>4:</w:t>
      </w:r>
      <w:r w:rsidR="003E0BE4">
        <w:rPr>
          <w:szCs w:val="24"/>
        </w:rPr>
        <w:t>0</w:t>
      </w:r>
      <w:r w:rsidR="008026B9">
        <w:rPr>
          <w:szCs w:val="24"/>
        </w:rPr>
        <w:t xml:space="preserve">0 p.m. on Monday, January 9, 2023.  </w:t>
      </w:r>
      <w:r w:rsidR="003C1A0B" w:rsidRPr="003C1A0B">
        <w:rPr>
          <w:szCs w:val="24"/>
        </w:rPr>
        <w:t xml:space="preserve"> </w:t>
      </w:r>
    </w:p>
    <w:p w14:paraId="60C6F075" w14:textId="77777777" w:rsidR="00CC5D98" w:rsidRDefault="00CC5D98" w:rsidP="00CC5D98">
      <w:pPr>
        <w:rPr>
          <w:szCs w:val="24"/>
        </w:rPr>
      </w:pPr>
    </w:p>
    <w:p w14:paraId="79B16AA7" w14:textId="77777777" w:rsidR="007E1B1A" w:rsidRPr="00530107" w:rsidRDefault="007E1B1A" w:rsidP="007E1B1A">
      <w:pPr>
        <w:rPr>
          <w:szCs w:val="24"/>
        </w:rPr>
      </w:pPr>
    </w:p>
    <w:p w14:paraId="26558460" w14:textId="256C50E0" w:rsidR="007E1B1A" w:rsidRPr="00556330" w:rsidRDefault="007E1B1A" w:rsidP="007E1B1A">
      <w:pPr>
        <w:spacing w:line="240" w:lineRule="auto"/>
        <w:rPr>
          <w:u w:val="single"/>
        </w:rPr>
      </w:pPr>
      <w:r w:rsidRPr="00556330">
        <w:t xml:space="preserve">Date:  </w:t>
      </w:r>
      <w:r w:rsidR="00616C86" w:rsidRPr="00616C86">
        <w:rPr>
          <w:u w:val="single"/>
        </w:rPr>
        <w:t xml:space="preserve">January </w:t>
      </w:r>
      <w:r w:rsidR="003E16CD">
        <w:rPr>
          <w:u w:val="single"/>
        </w:rPr>
        <w:t>4</w:t>
      </w:r>
      <w:r w:rsidR="00FE627E">
        <w:rPr>
          <w:u w:val="single"/>
        </w:rPr>
        <w:t>,</w:t>
      </w:r>
      <w:r>
        <w:rPr>
          <w:u w:val="single"/>
        </w:rPr>
        <w:t xml:space="preserve"> 202</w:t>
      </w:r>
      <w:r w:rsidR="003E16CD">
        <w:rPr>
          <w:u w:val="single"/>
        </w:rPr>
        <w:t>3</w:t>
      </w:r>
      <w:r w:rsidRPr="00556330">
        <w:tab/>
      </w:r>
      <w:r>
        <w:tab/>
      </w:r>
      <w:r w:rsidRPr="00556330">
        <w:tab/>
      </w:r>
      <w:r w:rsidRPr="00556330">
        <w:tab/>
      </w:r>
      <w:r w:rsidRPr="00556330">
        <w:rPr>
          <w:u w:val="single"/>
        </w:rPr>
        <w:tab/>
      </w:r>
      <w:r w:rsidRPr="00556330">
        <w:rPr>
          <w:u w:val="single"/>
        </w:rPr>
        <w:tab/>
      </w:r>
      <w:r w:rsidR="00D0789A">
        <w:rPr>
          <w:u w:val="single"/>
        </w:rPr>
        <w:tab/>
      </w:r>
      <w:r>
        <w:rPr>
          <w:u w:val="single"/>
        </w:rPr>
        <w:t>/s/</w:t>
      </w:r>
      <w:r w:rsidRPr="005563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C42C85" w14:textId="55411E9E" w:rsidR="007E1B1A" w:rsidRPr="00556330" w:rsidRDefault="007E1B1A" w:rsidP="007E1B1A">
      <w:pPr>
        <w:spacing w:line="240" w:lineRule="auto"/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="005F58F2">
        <w:t>Steven K. Haas</w:t>
      </w:r>
    </w:p>
    <w:p w14:paraId="106081F0" w14:textId="53578E3A" w:rsidR="00AE4979" w:rsidRDefault="007E1B1A" w:rsidP="00673CDE">
      <w:pPr>
        <w:spacing w:line="240" w:lineRule="auto"/>
        <w:sectPr w:rsidR="00AE4979" w:rsidSect="00046BAD"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  <w:t>Administrative Law Judge</w:t>
      </w:r>
    </w:p>
    <w:p w14:paraId="15DE79CB" w14:textId="69EE5E4E" w:rsidR="00AE4979" w:rsidRDefault="00AE4979" w:rsidP="00AE4979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1461091A" w14:textId="2876A7E5" w:rsidR="00D0789A" w:rsidRDefault="00D0789A">
      <w:pPr>
        <w:autoSpaceDE/>
        <w:autoSpaceDN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 w:type="page"/>
      </w:r>
    </w:p>
    <w:p w14:paraId="7099DE83" w14:textId="77777777" w:rsidR="00D0789A" w:rsidRDefault="00D0789A" w:rsidP="00D0789A">
      <w:pPr>
        <w:tabs>
          <w:tab w:val="left" w:pos="6480"/>
        </w:tabs>
        <w:spacing w:line="240" w:lineRule="auto"/>
        <w:rPr>
          <w:rFonts w:eastAsiaTheme="minorHAnsi"/>
          <w:szCs w:val="24"/>
        </w:rPr>
      </w:pPr>
      <w:r w:rsidRPr="00FC7501">
        <w:rPr>
          <w:rFonts w:ascii="Microsoft Sans Serif" w:hAnsi="Microsoft Sans Serif" w:cs="Microsoft Sans Serif"/>
          <w:b/>
          <w:bCs/>
          <w:szCs w:val="24"/>
        </w:rPr>
        <w:lastRenderedPageBreak/>
        <w:t>R-2018-3001197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FC7501">
        <w:rPr>
          <w:rFonts w:ascii="Microsoft Sans Serif" w:hAnsi="Microsoft Sans Serif" w:cs="Microsoft Sans Serif"/>
          <w:b/>
          <w:bCs/>
          <w:szCs w:val="24"/>
        </w:rPr>
        <w:t>C-2018-3001915</w:t>
      </w:r>
      <w:r w:rsidRPr="001178B8">
        <w:rPr>
          <w:rFonts w:eastAsiaTheme="minorHAnsi"/>
          <w:szCs w:val="24"/>
        </w:rPr>
        <w:t xml:space="preserve"> </w:t>
      </w:r>
    </w:p>
    <w:p w14:paraId="59FA28EC" w14:textId="77777777" w:rsidR="00D0789A" w:rsidRDefault="00D0789A" w:rsidP="00D0789A">
      <w:pPr>
        <w:tabs>
          <w:tab w:val="left" w:pos="6480"/>
        </w:tabs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1178B8">
        <w:rPr>
          <w:rFonts w:ascii="Microsoft Sans Serif" w:hAnsi="Microsoft Sans Serif" w:cs="Microsoft Sans Serif"/>
          <w:b/>
          <w:bCs/>
          <w:szCs w:val="24"/>
        </w:rPr>
        <w:t>R-2018-3001104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1178B8">
        <w:rPr>
          <w:rFonts w:ascii="Microsoft Sans Serif" w:hAnsi="Microsoft Sans Serif" w:cs="Microsoft Sans Serif"/>
          <w:b/>
          <w:bCs/>
          <w:szCs w:val="24"/>
        </w:rPr>
        <w:t>C-2018-3001863</w:t>
      </w:r>
    </w:p>
    <w:p w14:paraId="6D00BDC6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R-2018-3001217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C-2018-3001917</w:t>
      </w:r>
    </w:p>
    <w:p w14:paraId="507D3F2D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R-2018-3001199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C-2018-3001913</w:t>
      </w:r>
    </w:p>
    <w:p w14:paraId="6FED9110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R-2018-3001132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C-2018-3001865</w:t>
      </w:r>
    </w:p>
    <w:p w14:paraId="07E30C5A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R-2018-3001135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C-2018-3001864</w:t>
      </w:r>
    </w:p>
    <w:p w14:paraId="2C5D7DC9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R-2018-3001133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C-2018-3001870</w:t>
      </w:r>
    </w:p>
    <w:p w14:paraId="19AF5E7D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R-2018-3001150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C-2018-3001871</w:t>
      </w:r>
    </w:p>
    <w:p w14:paraId="77C8AC69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R-2018-3001213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C-2018-3001916</w:t>
      </w:r>
    </w:p>
    <w:p w14:paraId="688B3187" w14:textId="77777777" w:rsidR="00D0789A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R-2018-3001201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C-2018-3001912</w:t>
      </w:r>
    </w:p>
    <w:p w14:paraId="3EF7EBC6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R-2019-3009237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C-2019-3009896</w:t>
      </w:r>
    </w:p>
    <w:p w14:paraId="481CDBB4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R-2019-3009336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C-2019-3009897</w:t>
      </w:r>
    </w:p>
    <w:p w14:paraId="16255AE4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R-2019-3007261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C-2019-3007887</w:t>
      </w:r>
    </w:p>
    <w:p w14:paraId="321C8FC8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R-2019-3009233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C-2019-3009881</w:t>
      </w:r>
    </w:p>
    <w:p w14:paraId="0CC4B2EB" w14:textId="77777777" w:rsidR="00D0789A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R-2019-3010106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C-2019-3010150</w:t>
      </w:r>
    </w:p>
    <w:p w14:paraId="71108AE1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R-2019-3010097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C-2019-3010148</w:t>
      </w:r>
    </w:p>
    <w:p w14:paraId="22ACCBB5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R-2019-3010100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C-2019-3010149</w:t>
      </w:r>
    </w:p>
    <w:p w14:paraId="5A0F9CDE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R-2019-3010101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C-2019-3010152</w:t>
      </w:r>
    </w:p>
    <w:p w14:paraId="2401E0BE" w14:textId="77777777" w:rsidR="00D0789A" w:rsidRPr="00265ED7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R-2019-3009230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265ED7">
        <w:rPr>
          <w:rFonts w:ascii="Microsoft Sans Serif" w:hAnsi="Microsoft Sans Serif" w:cs="Microsoft Sans Serif"/>
          <w:b/>
          <w:bCs/>
          <w:szCs w:val="24"/>
        </w:rPr>
        <w:t>C-2019-3009899</w:t>
      </w:r>
    </w:p>
    <w:p w14:paraId="7717A8AB" w14:textId="77777777" w:rsidR="00D0789A" w:rsidRPr="00B55A1D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265ED7">
        <w:rPr>
          <w:rFonts w:ascii="Microsoft Sans Serif" w:hAnsi="Microsoft Sans Serif" w:cs="Microsoft Sans Serif"/>
          <w:b/>
          <w:bCs/>
          <w:szCs w:val="24"/>
        </w:rPr>
        <w:t>R-2019-3009241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55A1D">
        <w:rPr>
          <w:rFonts w:ascii="Microsoft Sans Serif" w:hAnsi="Microsoft Sans Serif" w:cs="Microsoft Sans Serif"/>
          <w:b/>
          <w:bCs/>
          <w:szCs w:val="24"/>
        </w:rPr>
        <w:t>C-2019-3009894</w:t>
      </w:r>
    </w:p>
    <w:p w14:paraId="61AEAB8B" w14:textId="77777777" w:rsidR="00D0789A" w:rsidRPr="00B55A1D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B55A1D">
        <w:rPr>
          <w:rFonts w:ascii="Microsoft Sans Serif" w:hAnsi="Microsoft Sans Serif" w:cs="Microsoft Sans Serif"/>
          <w:b/>
          <w:bCs/>
          <w:szCs w:val="24"/>
        </w:rPr>
        <w:t>R-2019-3007258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55A1D">
        <w:rPr>
          <w:rFonts w:ascii="Microsoft Sans Serif" w:hAnsi="Microsoft Sans Serif" w:cs="Microsoft Sans Serif"/>
          <w:b/>
          <w:bCs/>
          <w:szCs w:val="24"/>
        </w:rPr>
        <w:t>C-2019-3007888</w:t>
      </w:r>
    </w:p>
    <w:p w14:paraId="04F7E46B" w14:textId="77777777" w:rsidR="00D0789A" w:rsidRPr="00B55A1D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B55A1D">
        <w:rPr>
          <w:rFonts w:ascii="Microsoft Sans Serif" w:hAnsi="Microsoft Sans Serif" w:cs="Microsoft Sans Serif"/>
          <w:b/>
          <w:bCs/>
          <w:szCs w:val="24"/>
        </w:rPr>
        <w:t>R-2019-3007949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55A1D">
        <w:rPr>
          <w:rFonts w:ascii="Microsoft Sans Serif" w:hAnsi="Microsoft Sans Serif" w:cs="Microsoft Sans Serif"/>
          <w:b/>
          <w:bCs/>
          <w:szCs w:val="24"/>
        </w:rPr>
        <w:t>C-2019-3008487</w:t>
      </w:r>
    </w:p>
    <w:p w14:paraId="35028615" w14:textId="77777777" w:rsidR="00D0789A" w:rsidRPr="00B55A1D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B55A1D">
        <w:rPr>
          <w:rFonts w:ascii="Microsoft Sans Serif" w:hAnsi="Microsoft Sans Serif" w:cs="Microsoft Sans Serif"/>
          <w:b/>
          <w:bCs/>
          <w:szCs w:val="24"/>
        </w:rPr>
        <w:t>R-2019-3007948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55A1D">
        <w:rPr>
          <w:rFonts w:ascii="Microsoft Sans Serif" w:hAnsi="Microsoft Sans Serif" w:cs="Microsoft Sans Serif"/>
          <w:b/>
          <w:bCs/>
          <w:szCs w:val="24"/>
        </w:rPr>
        <w:t>C-2019-3008478</w:t>
      </w:r>
    </w:p>
    <w:p w14:paraId="3CDEA9B9" w14:textId="77777777" w:rsidR="00D0789A" w:rsidRPr="00B55A1D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B55A1D">
        <w:rPr>
          <w:rFonts w:ascii="Microsoft Sans Serif" w:hAnsi="Microsoft Sans Serif" w:cs="Microsoft Sans Serif"/>
          <w:b/>
          <w:bCs/>
          <w:szCs w:val="24"/>
        </w:rPr>
        <w:t>R-2020-3016016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55A1D">
        <w:rPr>
          <w:rFonts w:ascii="Microsoft Sans Serif" w:hAnsi="Microsoft Sans Serif" w:cs="Microsoft Sans Serif"/>
          <w:b/>
          <w:bCs/>
          <w:szCs w:val="24"/>
        </w:rPr>
        <w:t>C-2020-3018508</w:t>
      </w:r>
    </w:p>
    <w:p w14:paraId="4D588F67" w14:textId="77777777" w:rsidR="00D0789A" w:rsidRDefault="00D0789A" w:rsidP="00D0789A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  <w:sectPr w:rsidR="00D0789A" w:rsidSect="004472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55A1D">
        <w:rPr>
          <w:rFonts w:ascii="Microsoft Sans Serif" w:hAnsi="Microsoft Sans Serif" w:cs="Microsoft Sans Serif"/>
          <w:b/>
          <w:bCs/>
          <w:szCs w:val="24"/>
        </w:rPr>
        <w:t>R-2020-3016018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55A1D">
        <w:rPr>
          <w:rFonts w:ascii="Microsoft Sans Serif" w:hAnsi="Microsoft Sans Serif" w:cs="Microsoft Sans Serif"/>
          <w:b/>
          <w:bCs/>
          <w:szCs w:val="24"/>
        </w:rPr>
        <w:t>C-2020-3018500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521ECBB" w14:textId="77777777" w:rsidR="00D0789A" w:rsidRDefault="00D0789A" w:rsidP="00D0789A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4183A98F" w14:textId="42DBD3DD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  <w:u w:val="single"/>
        </w:rPr>
      </w:pPr>
      <w:r w:rsidRPr="00F656EF">
        <w:rPr>
          <w:rFonts w:ascii="Microsoft Sans Serif" w:hAnsi="Microsoft Sans Serif" w:cs="Microsoft Sans Serif"/>
          <w:b/>
          <w:bCs/>
          <w:szCs w:val="24"/>
          <w:u w:val="single"/>
        </w:rPr>
        <w:t>2018</w:t>
      </w:r>
      <w:r w:rsidR="002B5183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-2020 </w:t>
      </w:r>
      <w:r w:rsidRPr="00F656EF">
        <w:rPr>
          <w:rFonts w:ascii="Microsoft Sans Serif" w:hAnsi="Microsoft Sans Serif" w:cs="Microsoft Sans Serif"/>
          <w:b/>
          <w:bCs/>
          <w:szCs w:val="24"/>
          <w:u w:val="single"/>
        </w:rPr>
        <w:t>PSI/SPI Proceedings</w:t>
      </w:r>
    </w:p>
    <w:p w14:paraId="730CB4CE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North Eastern Pennsylvania Telephone Company</w:t>
      </w:r>
    </w:p>
    <w:p w14:paraId="49812537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Consolidated Communications of Pennsylvania, Inc.</w:t>
      </w:r>
    </w:p>
    <w:p w14:paraId="7A7D9BD9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Hickory Telephone Company</w:t>
      </w:r>
    </w:p>
    <w:p w14:paraId="3FD0D11D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Lackawaxen Telecommunications Services, Inc</w:t>
      </w:r>
    </w:p>
    <w:p w14:paraId="48F313FC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Windstream Buffalo Valley, Inc</w:t>
      </w:r>
    </w:p>
    <w:p w14:paraId="30528B35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Windstream Conestoga, Inc</w:t>
      </w:r>
    </w:p>
    <w:p w14:paraId="69B32FDE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Windstream D&amp;E, Inc.</w:t>
      </w:r>
    </w:p>
    <w:p w14:paraId="1A4039A8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Windstream Pennsylvania, LLC</w:t>
      </w:r>
    </w:p>
    <w:p w14:paraId="2CF0ABFD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Bentleyville Communications Corporation</w:t>
      </w:r>
    </w:p>
    <w:p w14:paraId="2802C71A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Marianna &amp; Scenery Hill Telephone Company</w:t>
      </w:r>
    </w:p>
    <w:p w14:paraId="09A67049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Ironton Telephone Company</w:t>
      </w:r>
    </w:p>
    <w:p w14:paraId="7C708AEB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Citizens Telephone Company of Kecksburg</w:t>
      </w:r>
    </w:p>
    <w:p w14:paraId="048E4AF7" w14:textId="7777777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TDS Telecom/Mahanoy &amp; Mahantango Telephone Company</w:t>
      </w:r>
    </w:p>
    <w:p w14:paraId="55F187C1" w14:textId="23747DF7" w:rsidR="00D0789A" w:rsidRPr="00F656EF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TDS Telecom/Sugar Valley Telephone Company</w:t>
      </w:r>
    </w:p>
    <w:p w14:paraId="2DF1DF57" w14:textId="77777777" w:rsidR="00D0789A" w:rsidRDefault="00D0789A" w:rsidP="00D0789A">
      <w:pPr>
        <w:spacing w:line="240" w:lineRule="auto"/>
        <w:rPr>
          <w:rFonts w:ascii="Microsoft Sans Serif" w:hAnsi="Microsoft Sans Serif" w:cs="Microsoft Sans Serif"/>
          <w:b/>
          <w:bCs/>
          <w:szCs w:val="24"/>
        </w:rPr>
      </w:pPr>
      <w:r w:rsidRPr="00F656EF">
        <w:rPr>
          <w:rFonts w:ascii="Microsoft Sans Serif" w:hAnsi="Microsoft Sans Serif" w:cs="Microsoft Sans Serif"/>
          <w:b/>
          <w:bCs/>
          <w:szCs w:val="24"/>
        </w:rPr>
        <w:t>Office of Consumer Advocate vs Ironton Telephone Company</w:t>
      </w:r>
    </w:p>
    <w:p w14:paraId="59824A7E" w14:textId="77777777" w:rsidR="00D0789A" w:rsidRDefault="00D0789A" w:rsidP="00D0789A">
      <w:pPr>
        <w:rPr>
          <w:rFonts w:ascii="Microsoft Sans Serif" w:eastAsia="Microsoft Sans Serif" w:hAnsi="Microsoft Sans Serif" w:cs="Microsoft Sans Serif"/>
          <w:b/>
          <w:u w:val="single"/>
        </w:rPr>
        <w:sectPr w:rsidR="00D0789A" w:rsidSect="00D078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11D97C" w14:textId="77777777" w:rsidR="00D0789A" w:rsidRDefault="00D0789A" w:rsidP="00D0789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341706E0" w14:textId="77777777" w:rsidR="00D0789A" w:rsidRDefault="00D0789A" w:rsidP="00D0789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STEVEN C GRAY ESQUIRE</w:t>
      </w:r>
      <w:r>
        <w:rPr>
          <w:rFonts w:ascii="Microsoft Sans Serif" w:eastAsia="Microsoft Sans Serif" w:hAnsi="Microsoft Sans Serif" w:cs="Microsoft Sans Serif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</w:rPr>
        <w:cr/>
        <w:t>FORUM PLACE</w:t>
      </w:r>
      <w:r>
        <w:rPr>
          <w:rFonts w:ascii="Microsoft Sans Serif" w:eastAsia="Microsoft Sans Serif" w:hAnsi="Microsoft Sans Serif" w:cs="Microsoft Sans Serif"/>
        </w:rPr>
        <w:cr/>
        <w:t>555 WALNUT STREET 1ST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700D9">
        <w:rPr>
          <w:rFonts w:ascii="Microsoft Sans Serif" w:eastAsia="Microsoft Sans Serif" w:hAnsi="Microsoft Sans Serif" w:cs="Microsoft Sans Serif"/>
          <w:b/>
          <w:bCs/>
        </w:rPr>
        <w:t>717.783.2525</w:t>
      </w:r>
      <w:r w:rsidRPr="003700D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SGRAY@PA.GOV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BARRETT SHERIDAN ESQUIRE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555 WALNUT STREET 5TH FLOOR FORUM PLACE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700D9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3700D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BSHERIDAN@PAOCA.ORG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DEANNE M O'DELL ESQUIRE</w:t>
      </w:r>
      <w:r>
        <w:rPr>
          <w:rFonts w:ascii="Microsoft Sans Serif" w:eastAsia="Microsoft Sans Serif" w:hAnsi="Microsoft Sans Serif" w:cs="Microsoft Sans Serif"/>
        </w:rPr>
        <w:cr/>
        <w:t>SARAH C STONER ESQUIRE</w:t>
      </w:r>
      <w:r>
        <w:rPr>
          <w:rFonts w:ascii="Microsoft Sans Serif" w:eastAsia="Microsoft Sans Serif" w:hAnsi="Microsoft Sans Serif" w:cs="Microsoft Sans Serif"/>
        </w:rPr>
        <w:b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700D9">
        <w:rPr>
          <w:rFonts w:ascii="Microsoft Sans Serif" w:eastAsia="Microsoft Sans Serif" w:hAnsi="Microsoft Sans Serif" w:cs="Microsoft Sans Serif"/>
          <w:b/>
          <w:bCs/>
        </w:rPr>
        <w:t>717.255.3744</w:t>
      </w:r>
      <w:r w:rsidRPr="003700D9">
        <w:rPr>
          <w:rFonts w:ascii="Microsoft Sans Serif" w:eastAsia="Microsoft Sans Serif" w:hAnsi="Microsoft Sans Serif" w:cs="Microsoft Sans Serif"/>
          <w:b/>
          <w:bCs/>
        </w:rPr>
        <w:cr/>
        <w:t>717.237.6026</w:t>
      </w:r>
      <w:r w:rsidRPr="003700D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DODELL@ECKERTSEAMANS.COM</w:t>
      </w:r>
      <w:r>
        <w:rPr>
          <w:rFonts w:ascii="Microsoft Sans Serif" w:eastAsia="Microsoft Sans Serif" w:hAnsi="Microsoft Sans Serif" w:cs="Microsoft Sans Serif"/>
        </w:rPr>
        <w:cr/>
        <w:t>SSTONER@ECKERTSEAMANS.COM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4ED12B75" w14:textId="7D5B569F" w:rsidR="00D0789A" w:rsidRDefault="00D0789A" w:rsidP="00D0789A">
      <w:r>
        <w:rPr>
          <w:rFonts w:ascii="Microsoft Sans Serif" w:eastAsia="Microsoft Sans Serif" w:hAnsi="Microsoft Sans Serif" w:cs="Microsoft Sans Serif"/>
        </w:rPr>
        <w:t>LAUREN M BURGE ESQUIRE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600 GRANT STREET 44TH FLOOR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3700D9">
        <w:rPr>
          <w:rFonts w:ascii="Microsoft Sans Serif" w:eastAsia="Microsoft Sans Serif" w:hAnsi="Microsoft Sans Serif" w:cs="Microsoft Sans Serif"/>
          <w:b/>
          <w:bCs/>
        </w:rPr>
        <w:t>412.566.2146</w:t>
      </w:r>
      <w:r w:rsidRPr="003700D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LBURGE@ECKERTSEAMANS.COM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6B13C5D8" w14:textId="77777777" w:rsidR="00AE4979" w:rsidRDefault="00AE4979" w:rsidP="00AE4979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sectPr w:rsidR="00AE4979" w:rsidSect="0044727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6924" w14:textId="77777777" w:rsidR="005A2495" w:rsidRDefault="005A2495">
      <w:pPr>
        <w:spacing w:line="240" w:lineRule="auto"/>
      </w:pPr>
      <w:r>
        <w:separator/>
      </w:r>
    </w:p>
  </w:endnote>
  <w:endnote w:type="continuationSeparator" w:id="0">
    <w:p w14:paraId="0D6DB8BB" w14:textId="77777777" w:rsidR="005A2495" w:rsidRDefault="005A2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07408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23A049A" w14:textId="77777777" w:rsidR="00AE4979" w:rsidRPr="00AE4979" w:rsidRDefault="00AE4979">
        <w:pPr>
          <w:pStyle w:val="Footer"/>
          <w:jc w:val="center"/>
          <w:rPr>
            <w:sz w:val="20"/>
          </w:rPr>
        </w:pPr>
        <w:r w:rsidRPr="00AE4979">
          <w:rPr>
            <w:sz w:val="20"/>
          </w:rPr>
          <w:fldChar w:fldCharType="begin"/>
        </w:r>
        <w:r w:rsidRPr="00AE4979">
          <w:rPr>
            <w:sz w:val="20"/>
          </w:rPr>
          <w:instrText xml:space="preserve"> PAGE   \* MERGEFORMAT </w:instrText>
        </w:r>
        <w:r w:rsidRPr="00AE4979">
          <w:rPr>
            <w:sz w:val="20"/>
          </w:rPr>
          <w:fldChar w:fldCharType="separate"/>
        </w:r>
        <w:r w:rsidRPr="00AE4979">
          <w:rPr>
            <w:noProof/>
            <w:sz w:val="20"/>
          </w:rPr>
          <w:t>2</w:t>
        </w:r>
        <w:r w:rsidRPr="00AE4979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EDE8" w14:textId="77777777" w:rsidR="005A2495" w:rsidRDefault="005A2495">
      <w:pPr>
        <w:spacing w:line="240" w:lineRule="auto"/>
      </w:pPr>
      <w:r>
        <w:separator/>
      </w:r>
    </w:p>
  </w:footnote>
  <w:footnote w:type="continuationSeparator" w:id="0">
    <w:p w14:paraId="4BF143B9" w14:textId="77777777" w:rsidR="005A2495" w:rsidRDefault="005A24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68332214">
    <w:abstractNumId w:val="0"/>
  </w:num>
  <w:num w:numId="2" w16cid:durableId="29754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09E9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5DCE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3448"/>
    <w:rsid w:val="000845A4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31D"/>
    <w:rsid w:val="00094E20"/>
    <w:rsid w:val="00096B3F"/>
    <w:rsid w:val="00097D77"/>
    <w:rsid w:val="000A2192"/>
    <w:rsid w:val="000A4551"/>
    <w:rsid w:val="000A4E7A"/>
    <w:rsid w:val="000A51D5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5C1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3480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202D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255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42D5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2811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5D0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696"/>
    <w:rsid w:val="002A5F4D"/>
    <w:rsid w:val="002A70E9"/>
    <w:rsid w:val="002A7A0A"/>
    <w:rsid w:val="002B0D61"/>
    <w:rsid w:val="002B0E41"/>
    <w:rsid w:val="002B2AF4"/>
    <w:rsid w:val="002B3E20"/>
    <w:rsid w:val="002B5183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4DCE"/>
    <w:rsid w:val="003151E4"/>
    <w:rsid w:val="003156D7"/>
    <w:rsid w:val="00317261"/>
    <w:rsid w:val="0032130D"/>
    <w:rsid w:val="00321DB1"/>
    <w:rsid w:val="00324D62"/>
    <w:rsid w:val="00326EEE"/>
    <w:rsid w:val="00326F3E"/>
    <w:rsid w:val="00330A67"/>
    <w:rsid w:val="0033285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4ABF"/>
    <w:rsid w:val="00396333"/>
    <w:rsid w:val="00396ADD"/>
    <w:rsid w:val="00396C98"/>
    <w:rsid w:val="0039716B"/>
    <w:rsid w:val="003A0114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7663"/>
    <w:rsid w:val="003C1A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0BE4"/>
    <w:rsid w:val="003E1442"/>
    <w:rsid w:val="003E16CD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4CA1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1EAF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3156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8E5"/>
    <w:rsid w:val="00536ABE"/>
    <w:rsid w:val="00540B74"/>
    <w:rsid w:val="00540B8B"/>
    <w:rsid w:val="00540ED6"/>
    <w:rsid w:val="00541C1D"/>
    <w:rsid w:val="005449AC"/>
    <w:rsid w:val="00544A16"/>
    <w:rsid w:val="005472EC"/>
    <w:rsid w:val="00547655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495"/>
    <w:rsid w:val="005A2923"/>
    <w:rsid w:val="005A3759"/>
    <w:rsid w:val="005A436D"/>
    <w:rsid w:val="005A44D9"/>
    <w:rsid w:val="005A5826"/>
    <w:rsid w:val="005A6ADE"/>
    <w:rsid w:val="005B364C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E7FF1"/>
    <w:rsid w:val="005F064D"/>
    <w:rsid w:val="005F0823"/>
    <w:rsid w:val="005F512E"/>
    <w:rsid w:val="005F58F2"/>
    <w:rsid w:val="005F5A21"/>
    <w:rsid w:val="005F5D75"/>
    <w:rsid w:val="005F6A04"/>
    <w:rsid w:val="00600458"/>
    <w:rsid w:val="0060118D"/>
    <w:rsid w:val="0060369E"/>
    <w:rsid w:val="00603824"/>
    <w:rsid w:val="0060530E"/>
    <w:rsid w:val="00605D75"/>
    <w:rsid w:val="006073B5"/>
    <w:rsid w:val="00607987"/>
    <w:rsid w:val="00610CE1"/>
    <w:rsid w:val="006113D8"/>
    <w:rsid w:val="00612C6B"/>
    <w:rsid w:val="006151E3"/>
    <w:rsid w:val="00616232"/>
    <w:rsid w:val="00616C86"/>
    <w:rsid w:val="00620850"/>
    <w:rsid w:val="00620DB5"/>
    <w:rsid w:val="00621A59"/>
    <w:rsid w:val="0062201A"/>
    <w:rsid w:val="006225AC"/>
    <w:rsid w:val="006230A9"/>
    <w:rsid w:val="00623799"/>
    <w:rsid w:val="00623E0D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23C3"/>
    <w:rsid w:val="006540C5"/>
    <w:rsid w:val="006543FB"/>
    <w:rsid w:val="006549F5"/>
    <w:rsid w:val="00655505"/>
    <w:rsid w:val="00655AA7"/>
    <w:rsid w:val="00655F80"/>
    <w:rsid w:val="00656541"/>
    <w:rsid w:val="0065681B"/>
    <w:rsid w:val="00660216"/>
    <w:rsid w:val="006621E9"/>
    <w:rsid w:val="00662904"/>
    <w:rsid w:val="00664A57"/>
    <w:rsid w:val="00664C73"/>
    <w:rsid w:val="00671999"/>
    <w:rsid w:val="00673CDE"/>
    <w:rsid w:val="006764EA"/>
    <w:rsid w:val="00677DDE"/>
    <w:rsid w:val="00680A31"/>
    <w:rsid w:val="00680B65"/>
    <w:rsid w:val="0068101E"/>
    <w:rsid w:val="00681287"/>
    <w:rsid w:val="006815A6"/>
    <w:rsid w:val="00681FD9"/>
    <w:rsid w:val="00682825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B6E6D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3BBE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07F72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3BB1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67B18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240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B1A"/>
    <w:rsid w:val="007E1DB4"/>
    <w:rsid w:val="007E5866"/>
    <w:rsid w:val="007F07AF"/>
    <w:rsid w:val="007F2A44"/>
    <w:rsid w:val="007F3E2D"/>
    <w:rsid w:val="007F625F"/>
    <w:rsid w:val="007F6E2B"/>
    <w:rsid w:val="007F7699"/>
    <w:rsid w:val="007F773D"/>
    <w:rsid w:val="008003C8"/>
    <w:rsid w:val="00802118"/>
    <w:rsid w:val="008026B9"/>
    <w:rsid w:val="00804065"/>
    <w:rsid w:val="008040EB"/>
    <w:rsid w:val="008047DD"/>
    <w:rsid w:val="0080611B"/>
    <w:rsid w:val="00806213"/>
    <w:rsid w:val="008121D7"/>
    <w:rsid w:val="008124F3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136"/>
    <w:rsid w:val="00836409"/>
    <w:rsid w:val="00836415"/>
    <w:rsid w:val="00836B47"/>
    <w:rsid w:val="00840A53"/>
    <w:rsid w:val="00842027"/>
    <w:rsid w:val="008427B3"/>
    <w:rsid w:val="008428A1"/>
    <w:rsid w:val="0085047D"/>
    <w:rsid w:val="008524EA"/>
    <w:rsid w:val="0085263B"/>
    <w:rsid w:val="00852BA6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035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4319"/>
    <w:rsid w:val="0089667B"/>
    <w:rsid w:val="0089728F"/>
    <w:rsid w:val="008A0874"/>
    <w:rsid w:val="008A0FF6"/>
    <w:rsid w:val="008A28F5"/>
    <w:rsid w:val="008A32C2"/>
    <w:rsid w:val="008A51AD"/>
    <w:rsid w:val="008A7E42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0B8A"/>
    <w:rsid w:val="008E1BF6"/>
    <w:rsid w:val="008E2DA8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6B49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A61"/>
    <w:rsid w:val="00A77C4C"/>
    <w:rsid w:val="00A8008F"/>
    <w:rsid w:val="00A8092D"/>
    <w:rsid w:val="00A80D3B"/>
    <w:rsid w:val="00A80E74"/>
    <w:rsid w:val="00A823F6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95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BE3"/>
    <w:rsid w:val="00AC0D42"/>
    <w:rsid w:val="00AC2C30"/>
    <w:rsid w:val="00AC350C"/>
    <w:rsid w:val="00AC3558"/>
    <w:rsid w:val="00AC3A1B"/>
    <w:rsid w:val="00AC46EE"/>
    <w:rsid w:val="00AC5254"/>
    <w:rsid w:val="00AC60E5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979"/>
    <w:rsid w:val="00AE4BA3"/>
    <w:rsid w:val="00AE7E8A"/>
    <w:rsid w:val="00AF2446"/>
    <w:rsid w:val="00AF32D8"/>
    <w:rsid w:val="00AF3F64"/>
    <w:rsid w:val="00AF40CA"/>
    <w:rsid w:val="00AF4C64"/>
    <w:rsid w:val="00AF70FF"/>
    <w:rsid w:val="00B01BE5"/>
    <w:rsid w:val="00B02385"/>
    <w:rsid w:val="00B03878"/>
    <w:rsid w:val="00B06A1B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16BC"/>
    <w:rsid w:val="00B635A5"/>
    <w:rsid w:val="00B63846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E773E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37062"/>
    <w:rsid w:val="00C41646"/>
    <w:rsid w:val="00C4383B"/>
    <w:rsid w:val="00C4601A"/>
    <w:rsid w:val="00C478FE"/>
    <w:rsid w:val="00C502DD"/>
    <w:rsid w:val="00C514D6"/>
    <w:rsid w:val="00C541C8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50B"/>
    <w:rsid w:val="00C76F9B"/>
    <w:rsid w:val="00C77064"/>
    <w:rsid w:val="00C77E9A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507A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0789A"/>
    <w:rsid w:val="00D078BA"/>
    <w:rsid w:val="00D10843"/>
    <w:rsid w:val="00D11B6A"/>
    <w:rsid w:val="00D13B2D"/>
    <w:rsid w:val="00D151D1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6DD2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12F8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1092"/>
    <w:rsid w:val="00DB2654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6D9"/>
    <w:rsid w:val="00DD5F86"/>
    <w:rsid w:val="00DD6047"/>
    <w:rsid w:val="00DD6104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3E97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4858"/>
    <w:rsid w:val="00E257AB"/>
    <w:rsid w:val="00E27B23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0F2C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45E7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12D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6725F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63D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D6E05"/>
    <w:rsid w:val="00FE0E57"/>
    <w:rsid w:val="00FE263F"/>
    <w:rsid w:val="00FE486C"/>
    <w:rsid w:val="00FE4BFD"/>
    <w:rsid w:val="00FE578A"/>
    <w:rsid w:val="00FE627E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thaas@p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9" ma:contentTypeDescription="Create a new document." ma:contentTypeScope="" ma:versionID="b56fac310b3330d17050a4df5cf462ce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32f071874acd612b3dc024c0af5cf803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FA5EF-1E0A-4401-B1E3-7F9DAF6E9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89B42-1936-4304-85BB-A1A01D7F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1979C-46E0-4EE5-81BD-3DD3E88824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Christy Krahel</cp:lastModifiedBy>
  <cp:revision>24</cp:revision>
  <cp:lastPrinted>2015-04-22T15:01:00Z</cp:lastPrinted>
  <dcterms:created xsi:type="dcterms:W3CDTF">2023-01-03T19:30:00Z</dcterms:created>
  <dcterms:modified xsi:type="dcterms:W3CDTF">2023-01-04T12:26:00Z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