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9785" w14:textId="77777777" w:rsidR="00D80111" w:rsidRPr="00D80111" w:rsidRDefault="00D80111" w:rsidP="00D80111">
      <w:pPr>
        <w:autoSpaceDE w:val="0"/>
        <w:autoSpaceDN w:val="0"/>
        <w:spacing w:after="0" w:line="240" w:lineRule="auto"/>
        <w:jc w:val="center"/>
        <w:rPr>
          <w:rFonts w:eastAsia="Times New Roman" w:cs="Times New Roman"/>
          <w:b/>
          <w:szCs w:val="24"/>
        </w:rPr>
      </w:pPr>
      <w:r w:rsidRPr="00D80111">
        <w:rPr>
          <w:rFonts w:eastAsia="Times New Roman" w:cs="Times New Roman"/>
          <w:b/>
          <w:szCs w:val="24"/>
        </w:rPr>
        <w:t>BEFORE THE</w:t>
      </w:r>
    </w:p>
    <w:p w14:paraId="1B568F14" w14:textId="77777777" w:rsidR="00D80111" w:rsidRPr="00D80111" w:rsidRDefault="00D80111" w:rsidP="00D80111">
      <w:pPr>
        <w:tabs>
          <w:tab w:val="center" w:pos="4680"/>
        </w:tabs>
        <w:suppressAutoHyphens/>
        <w:autoSpaceDE w:val="0"/>
        <w:autoSpaceDN w:val="0"/>
        <w:spacing w:after="0" w:line="240" w:lineRule="auto"/>
        <w:jc w:val="center"/>
        <w:rPr>
          <w:rFonts w:eastAsia="Times New Roman" w:cs="Times New Roman"/>
          <w:b/>
          <w:bCs/>
          <w:spacing w:val="-3"/>
          <w:szCs w:val="24"/>
        </w:rPr>
      </w:pPr>
      <w:r w:rsidRPr="00D80111">
        <w:rPr>
          <w:rFonts w:eastAsia="Times New Roman" w:cs="Times New Roman"/>
          <w:b/>
          <w:bCs/>
          <w:spacing w:val="-3"/>
          <w:szCs w:val="24"/>
        </w:rPr>
        <w:t>PENNSYLVANIA PUBLIC UTILITY COMMISSION</w:t>
      </w:r>
    </w:p>
    <w:p w14:paraId="62BBA9DC" w14:textId="77777777" w:rsidR="00D80111" w:rsidRPr="00D80111" w:rsidRDefault="00D80111" w:rsidP="00D80111">
      <w:pPr>
        <w:tabs>
          <w:tab w:val="left" w:pos="-720"/>
        </w:tabs>
        <w:suppressAutoHyphens/>
        <w:autoSpaceDE w:val="0"/>
        <w:autoSpaceDN w:val="0"/>
        <w:spacing w:after="0" w:line="240" w:lineRule="auto"/>
        <w:rPr>
          <w:rFonts w:eastAsia="Times New Roman" w:cs="Times New Roman"/>
          <w:spacing w:val="-3"/>
          <w:szCs w:val="24"/>
        </w:rPr>
      </w:pPr>
    </w:p>
    <w:p w14:paraId="54705495" w14:textId="77777777" w:rsidR="00D80111" w:rsidRPr="00D80111" w:rsidRDefault="00D80111" w:rsidP="00D80111">
      <w:pPr>
        <w:tabs>
          <w:tab w:val="left" w:pos="-720"/>
        </w:tabs>
        <w:suppressAutoHyphens/>
        <w:autoSpaceDE w:val="0"/>
        <w:autoSpaceDN w:val="0"/>
        <w:spacing w:after="0" w:line="240" w:lineRule="auto"/>
        <w:rPr>
          <w:rFonts w:eastAsia="Times New Roman" w:cs="Times New Roman"/>
          <w:spacing w:val="-3"/>
          <w:szCs w:val="24"/>
        </w:rPr>
      </w:pPr>
    </w:p>
    <w:p w14:paraId="7469B50A" w14:textId="77777777" w:rsidR="00D80111" w:rsidRPr="00D80111" w:rsidRDefault="00D80111" w:rsidP="00D80111">
      <w:pPr>
        <w:tabs>
          <w:tab w:val="left" w:pos="-720"/>
        </w:tabs>
        <w:suppressAutoHyphens/>
        <w:autoSpaceDE w:val="0"/>
        <w:autoSpaceDN w:val="0"/>
        <w:spacing w:after="0" w:line="240" w:lineRule="auto"/>
        <w:rPr>
          <w:rFonts w:eastAsia="Times New Roman" w:cs="Times New Roman"/>
          <w:spacing w:val="-3"/>
          <w:szCs w:val="24"/>
        </w:rPr>
      </w:pPr>
    </w:p>
    <w:p w14:paraId="16532377" w14:textId="77777777" w:rsidR="00D80111" w:rsidRPr="00D80111" w:rsidRDefault="00D80111" w:rsidP="00D80111">
      <w:pPr>
        <w:tabs>
          <w:tab w:val="left" w:pos="-720"/>
        </w:tabs>
        <w:suppressAutoHyphens/>
        <w:autoSpaceDE w:val="0"/>
        <w:autoSpaceDN w:val="0"/>
        <w:spacing w:after="0" w:line="240" w:lineRule="auto"/>
        <w:jc w:val="both"/>
        <w:rPr>
          <w:rFonts w:eastAsia="Times New Roman" w:cs="Times New Roman"/>
          <w:spacing w:val="-3"/>
          <w:szCs w:val="24"/>
        </w:rPr>
      </w:pPr>
      <w:r w:rsidRPr="00D80111">
        <w:rPr>
          <w:rFonts w:eastAsia="Times New Roman" w:cs="Times New Roman"/>
          <w:spacing w:val="-3"/>
          <w:szCs w:val="24"/>
        </w:rPr>
        <w:t>Karen Feitt &amp; Higinio Mendoza Jr.</w:t>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fldChar w:fldCharType="begin"/>
      </w:r>
      <w:r w:rsidRPr="00D80111">
        <w:rPr>
          <w:rFonts w:eastAsia="Times New Roman" w:cs="Times New Roman"/>
          <w:spacing w:val="-3"/>
          <w:szCs w:val="24"/>
        </w:rPr>
        <w:instrText>fillin "Complainant's name" \d ""</w:instrText>
      </w:r>
      <w:r w:rsidRPr="00D80111">
        <w:rPr>
          <w:rFonts w:eastAsia="Times New Roman" w:cs="Times New Roman"/>
          <w:spacing w:val="-3"/>
          <w:szCs w:val="24"/>
        </w:rPr>
        <w:fldChar w:fldCharType="end"/>
      </w:r>
      <w:r w:rsidRPr="00D80111">
        <w:rPr>
          <w:rFonts w:eastAsia="Times New Roman" w:cs="Times New Roman"/>
          <w:spacing w:val="-3"/>
          <w:szCs w:val="24"/>
        </w:rPr>
        <w:t>:</w:t>
      </w:r>
    </w:p>
    <w:p w14:paraId="0E845630" w14:textId="77777777" w:rsidR="00D80111" w:rsidRPr="00D80111" w:rsidRDefault="00D80111" w:rsidP="00D80111">
      <w:pPr>
        <w:tabs>
          <w:tab w:val="left" w:pos="-720"/>
        </w:tabs>
        <w:suppressAutoHyphens/>
        <w:autoSpaceDE w:val="0"/>
        <w:autoSpaceDN w:val="0"/>
        <w:spacing w:after="0" w:line="240" w:lineRule="auto"/>
        <w:jc w:val="both"/>
        <w:rPr>
          <w:rFonts w:eastAsia="Times New Roman" w:cs="Times New Roman"/>
          <w:spacing w:val="-3"/>
          <w:szCs w:val="24"/>
        </w:rPr>
      </w:pP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t>:</w:t>
      </w:r>
    </w:p>
    <w:p w14:paraId="05EB2DA2" w14:textId="77777777" w:rsidR="00D80111" w:rsidRPr="00D80111" w:rsidRDefault="00D80111" w:rsidP="00D80111">
      <w:pPr>
        <w:tabs>
          <w:tab w:val="left" w:pos="-720"/>
        </w:tabs>
        <w:suppressAutoHyphens/>
        <w:autoSpaceDE w:val="0"/>
        <w:autoSpaceDN w:val="0"/>
        <w:spacing w:after="0" w:line="240" w:lineRule="auto"/>
        <w:jc w:val="both"/>
        <w:rPr>
          <w:rFonts w:eastAsia="Times New Roman" w:cs="Times New Roman"/>
          <w:spacing w:val="-3"/>
          <w:szCs w:val="24"/>
        </w:rPr>
      </w:pPr>
      <w:r w:rsidRPr="00D80111">
        <w:rPr>
          <w:rFonts w:eastAsia="Times New Roman" w:cs="Times New Roman"/>
          <w:spacing w:val="-3"/>
          <w:szCs w:val="24"/>
        </w:rPr>
        <w:tab/>
        <w:t>v.</w:t>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t>:</w:t>
      </w:r>
      <w:r w:rsidRPr="00D80111">
        <w:rPr>
          <w:rFonts w:eastAsia="Times New Roman" w:cs="Times New Roman"/>
          <w:spacing w:val="-3"/>
          <w:szCs w:val="24"/>
        </w:rPr>
        <w:tab/>
      </w:r>
      <w:r w:rsidRPr="00D80111">
        <w:rPr>
          <w:rFonts w:eastAsia="Times New Roman" w:cs="Times New Roman"/>
          <w:spacing w:val="-3"/>
          <w:szCs w:val="24"/>
        </w:rPr>
        <w:tab/>
        <w:t>C-2022-3037095</w:t>
      </w:r>
      <w:r w:rsidRPr="00D80111">
        <w:rPr>
          <w:rFonts w:eastAsia="Times New Roman" w:cs="Times New Roman"/>
          <w:spacing w:val="-3"/>
          <w:szCs w:val="24"/>
        </w:rPr>
        <w:fldChar w:fldCharType="begin"/>
      </w:r>
      <w:r w:rsidRPr="00D80111">
        <w:rPr>
          <w:rFonts w:eastAsia="Times New Roman" w:cs="Times New Roman"/>
          <w:spacing w:val="-3"/>
          <w:szCs w:val="24"/>
        </w:rPr>
        <w:instrText>fillin "Docket No." \d ""</w:instrText>
      </w:r>
      <w:r w:rsidRPr="00D80111">
        <w:rPr>
          <w:rFonts w:eastAsia="Times New Roman" w:cs="Times New Roman"/>
          <w:spacing w:val="-3"/>
          <w:szCs w:val="24"/>
        </w:rPr>
        <w:fldChar w:fldCharType="end"/>
      </w:r>
    </w:p>
    <w:p w14:paraId="2A424A30" w14:textId="77777777" w:rsidR="00D80111" w:rsidRPr="00D80111" w:rsidRDefault="00D80111" w:rsidP="00D80111">
      <w:pPr>
        <w:tabs>
          <w:tab w:val="left" w:pos="-720"/>
        </w:tabs>
        <w:suppressAutoHyphens/>
        <w:autoSpaceDE w:val="0"/>
        <w:autoSpaceDN w:val="0"/>
        <w:spacing w:after="0" w:line="240" w:lineRule="auto"/>
        <w:jc w:val="both"/>
        <w:rPr>
          <w:rFonts w:eastAsia="Times New Roman" w:cs="Times New Roman"/>
          <w:spacing w:val="-3"/>
          <w:szCs w:val="24"/>
        </w:rPr>
      </w:pP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r>
      <w:r w:rsidRPr="00D80111">
        <w:rPr>
          <w:rFonts w:eastAsia="Times New Roman" w:cs="Times New Roman"/>
          <w:spacing w:val="-3"/>
          <w:szCs w:val="24"/>
        </w:rPr>
        <w:tab/>
        <w:t>:</w:t>
      </w:r>
    </w:p>
    <w:p w14:paraId="4C24DEF7" w14:textId="77777777" w:rsidR="00D80111" w:rsidRPr="00D80111" w:rsidRDefault="00D80111" w:rsidP="00D80111">
      <w:pPr>
        <w:tabs>
          <w:tab w:val="left" w:pos="-720"/>
          <w:tab w:val="left" w:pos="5040"/>
        </w:tabs>
        <w:suppressAutoHyphens/>
        <w:autoSpaceDE w:val="0"/>
        <w:autoSpaceDN w:val="0"/>
        <w:spacing w:after="0" w:line="240" w:lineRule="auto"/>
        <w:jc w:val="both"/>
        <w:rPr>
          <w:rFonts w:eastAsia="Times New Roman" w:cs="Times New Roman"/>
          <w:spacing w:val="-3"/>
          <w:szCs w:val="24"/>
        </w:rPr>
      </w:pPr>
      <w:r w:rsidRPr="00D80111">
        <w:rPr>
          <w:rFonts w:eastAsia="Times New Roman" w:cs="Times New Roman"/>
          <w:spacing w:val="-3"/>
          <w:szCs w:val="24"/>
        </w:rPr>
        <w:t>Duquesne Light Company</w:t>
      </w:r>
      <w:r w:rsidRPr="00D80111">
        <w:rPr>
          <w:rFonts w:eastAsia="Times New Roman" w:cs="Times New Roman"/>
          <w:spacing w:val="-3"/>
          <w:szCs w:val="24"/>
        </w:rPr>
        <w:tab/>
        <w:t>:</w:t>
      </w:r>
    </w:p>
    <w:p w14:paraId="3D8A872B" w14:textId="77777777" w:rsidR="00D80111" w:rsidRPr="00D80111" w:rsidRDefault="00D80111" w:rsidP="00D80111">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06704382" w14:textId="77777777" w:rsidR="00D80111" w:rsidRPr="00D80111" w:rsidRDefault="00D80111" w:rsidP="00D80111">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1BDA7F43" w14:textId="77777777" w:rsidR="00D80111" w:rsidRPr="00D80111" w:rsidRDefault="00D80111" w:rsidP="00D80111">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58F014BC" w14:textId="2280521E" w:rsidR="00BD3768" w:rsidRPr="00FA321C" w:rsidRDefault="00BD3768" w:rsidP="00BB78A6">
      <w:pPr>
        <w:spacing w:after="0" w:line="240" w:lineRule="auto"/>
        <w:jc w:val="center"/>
        <w:rPr>
          <w:b/>
          <w:bCs/>
        </w:rPr>
      </w:pPr>
      <w:r w:rsidRPr="00FA321C">
        <w:rPr>
          <w:b/>
          <w:bCs/>
        </w:rPr>
        <w:t>INTERIM ORDER</w:t>
      </w:r>
    </w:p>
    <w:p w14:paraId="7946D02E" w14:textId="73DE303F" w:rsidR="00BB78A6" w:rsidRPr="00FA321C" w:rsidRDefault="00D80111" w:rsidP="00BB78A6">
      <w:pPr>
        <w:spacing w:after="0" w:line="240" w:lineRule="auto"/>
        <w:jc w:val="center"/>
        <w:rPr>
          <w:b/>
          <w:bCs/>
        </w:rPr>
      </w:pPr>
      <w:r>
        <w:rPr>
          <w:b/>
          <w:bCs/>
        </w:rPr>
        <w:t>SUSTAINING</w:t>
      </w:r>
      <w:r w:rsidR="00BD3768" w:rsidRPr="00FA321C">
        <w:rPr>
          <w:b/>
          <w:bCs/>
        </w:rPr>
        <w:t xml:space="preserve"> PRELIMINARY OBJECTIONS AND </w:t>
      </w:r>
    </w:p>
    <w:p w14:paraId="2FDB0D62" w14:textId="5F23BE42" w:rsidR="00BD3768" w:rsidRPr="00FA321C" w:rsidRDefault="00BD3768" w:rsidP="00BB78A6">
      <w:pPr>
        <w:spacing w:after="0" w:line="240" w:lineRule="auto"/>
        <w:jc w:val="center"/>
        <w:rPr>
          <w:u w:val="single"/>
        </w:rPr>
      </w:pPr>
      <w:r w:rsidRPr="00FA321C">
        <w:rPr>
          <w:b/>
          <w:bCs/>
          <w:u w:val="single"/>
        </w:rPr>
        <w:t>REFERRING COMPLAINT TO MEDIATION</w:t>
      </w:r>
    </w:p>
    <w:p w14:paraId="0C5DCE55" w14:textId="05C1598A" w:rsidR="00BD3768" w:rsidRDefault="00BD3768" w:rsidP="007D4B40">
      <w:pPr>
        <w:spacing w:after="0"/>
      </w:pPr>
    </w:p>
    <w:p w14:paraId="07344746" w14:textId="387E530C" w:rsidR="00BD3768" w:rsidRDefault="00BD3768" w:rsidP="007D4B40">
      <w:pPr>
        <w:spacing w:after="0"/>
      </w:pPr>
      <w:r>
        <w:tab/>
      </w:r>
      <w:r w:rsidR="00B15E91">
        <w:tab/>
      </w:r>
      <w:r>
        <w:t>On December 5, 2022, Karen Feitt and Higinio Mendoza (Complainants) filed a formal complaint against Duquesne Light Company (DLC).  Complainants checked the boxes indicating that the utility is threatening to terminate their service, that they would like a payment arrangement and that there are incorrect charges on their bill.  Specifically, they state that the June 2022 bill indicated a credit but that “the bill details did not disclose a credit balance.”  They further explain that several provisions of Truth in Lending Act and provisions of UCC</w:t>
      </w:r>
      <w:r w:rsidR="00FF61B7">
        <w:t xml:space="preserve">, among other provisions of federal law, </w:t>
      </w:r>
      <w:r>
        <w:t xml:space="preserve">require DLC to issue a refund.  The Complainants also note that they are willing to engage in mediation </w:t>
      </w:r>
      <w:proofErr w:type="gramStart"/>
      <w:r>
        <w:t>in order to</w:t>
      </w:r>
      <w:proofErr w:type="gramEnd"/>
      <w:r>
        <w:t xml:space="preserve"> resolve the complaint.</w:t>
      </w:r>
    </w:p>
    <w:p w14:paraId="6144CC5F" w14:textId="77777777" w:rsidR="007D4B40" w:rsidRDefault="007D4B40" w:rsidP="007D4B40">
      <w:pPr>
        <w:spacing w:after="0"/>
      </w:pPr>
    </w:p>
    <w:p w14:paraId="6594C19F" w14:textId="276150A0" w:rsidR="00BD3768" w:rsidRDefault="00BD3768" w:rsidP="007D4B40">
      <w:pPr>
        <w:spacing w:after="0"/>
      </w:pPr>
      <w:r>
        <w:tab/>
      </w:r>
      <w:r>
        <w:tab/>
        <w:t xml:space="preserve">DLC filed an answer on December 21, 2022.  DLC admits to issuing a termination notice to the </w:t>
      </w:r>
      <w:proofErr w:type="gramStart"/>
      <w:r>
        <w:t>Complainants, but</w:t>
      </w:r>
      <w:proofErr w:type="gramEnd"/>
      <w:r>
        <w:t xml:space="preserve"> denies that there are any incorrect charges on the Complainants’ bill.</w:t>
      </w:r>
      <w:r w:rsidR="00FF61B7">
        <w:t xml:space="preserve">  DLC also requests mediation to resolve the dispute.</w:t>
      </w:r>
      <w:r w:rsidR="00047ED6">
        <w:rPr>
          <w:rStyle w:val="FootnoteReference"/>
        </w:rPr>
        <w:footnoteReference w:id="1"/>
      </w:r>
      <w:r w:rsidR="00FF61B7">
        <w:t xml:space="preserve"> </w:t>
      </w:r>
      <w:r>
        <w:t xml:space="preserve"> </w:t>
      </w:r>
    </w:p>
    <w:p w14:paraId="5B5EC41E" w14:textId="77777777" w:rsidR="007D4B40" w:rsidRDefault="007D4B40" w:rsidP="007D4B40">
      <w:pPr>
        <w:spacing w:after="0"/>
      </w:pPr>
    </w:p>
    <w:p w14:paraId="65FB4236" w14:textId="5D96A35D" w:rsidR="00FF61B7" w:rsidRDefault="00FF61B7" w:rsidP="007D4B40">
      <w:pPr>
        <w:spacing w:after="0"/>
      </w:pPr>
      <w:r>
        <w:tab/>
      </w:r>
      <w:r>
        <w:tab/>
        <w:t>DLC also filed preliminary objections on December 21, 2022.  DLC alleges that the Complaints allegations that DLC violated the Fair Debt Collection Practice Act</w:t>
      </w:r>
      <w:r w:rsidR="00E74ABA">
        <w:rPr>
          <w:rStyle w:val="FootnoteReference"/>
        </w:rPr>
        <w:footnoteReference w:id="2"/>
      </w:r>
      <w:r>
        <w:t xml:space="preserve">, the Fair </w:t>
      </w:r>
      <w:r>
        <w:lastRenderedPageBreak/>
        <w:t>Credit Reporting Act</w:t>
      </w:r>
      <w:r w:rsidR="00E74ABA">
        <w:rPr>
          <w:rStyle w:val="FootnoteReference"/>
        </w:rPr>
        <w:footnoteReference w:id="3"/>
      </w:r>
      <w:r>
        <w:t>, the Truth in Lending Act</w:t>
      </w:r>
      <w:r w:rsidR="00E74ABA">
        <w:rPr>
          <w:rStyle w:val="FootnoteReference"/>
        </w:rPr>
        <w:footnoteReference w:id="4"/>
      </w:r>
      <w:r>
        <w:t xml:space="preserve"> at the Uniform Commercial Code must be dismissed because the Commission does not have jurisdiction to adjudicate claims arising out of federal law.</w:t>
      </w:r>
    </w:p>
    <w:p w14:paraId="77061946" w14:textId="77777777" w:rsidR="007D4B40" w:rsidRDefault="007D4B40" w:rsidP="007D4B40">
      <w:pPr>
        <w:spacing w:after="0"/>
      </w:pPr>
    </w:p>
    <w:p w14:paraId="61FEA70D" w14:textId="40048140" w:rsidR="003F2EB5" w:rsidRDefault="003F2EB5" w:rsidP="007D4B40">
      <w:pPr>
        <w:spacing w:after="0"/>
      </w:pPr>
      <w:r>
        <w:tab/>
      </w:r>
      <w:r>
        <w:tab/>
        <w:t>The Complainants filed a response to DLC’s preliminary objections on January</w:t>
      </w:r>
      <w:r w:rsidR="00382CAA">
        <w:t xml:space="preserve"> 4, 2022.</w:t>
      </w:r>
      <w:r w:rsidR="00695DDB">
        <w:t xml:space="preserve">  In response, the Complainants concede that </w:t>
      </w:r>
      <w:r w:rsidR="0019211D">
        <w:t xml:space="preserve">the Commission does not have jurisdiction to adjudicate claims regarding the Fair Debt Collection Practice Act, the Fair Credit Reporting </w:t>
      </w:r>
      <w:proofErr w:type="gramStart"/>
      <w:r w:rsidR="0019211D">
        <w:t>Act</w:t>
      </w:r>
      <w:proofErr w:type="gramEnd"/>
      <w:r w:rsidR="0019211D">
        <w:t xml:space="preserve"> and the Truth in Lending Act.</w:t>
      </w:r>
      <w:r w:rsidR="00FB0AD9">
        <w:t xml:space="preserve"> (Complainants Response </w:t>
      </w:r>
      <w:r w:rsidR="00FB0AD9">
        <w:rPr>
          <w:rFonts w:cs="Times New Roman"/>
        </w:rPr>
        <w:t>¶</w:t>
      </w:r>
      <w:r w:rsidR="005F6930">
        <w:rPr>
          <w:rFonts w:cs="Times New Roman"/>
        </w:rPr>
        <w:t>¶</w:t>
      </w:r>
      <w:r w:rsidR="00FB0AD9">
        <w:t xml:space="preserve"> </w:t>
      </w:r>
      <w:r w:rsidR="005F6930">
        <w:t>I.</w:t>
      </w:r>
      <w:r w:rsidR="00FB0AD9">
        <w:t>3</w:t>
      </w:r>
      <w:r w:rsidR="005F6930">
        <w:t>; II.3</w:t>
      </w:r>
      <w:r w:rsidR="00FB0AD9">
        <w:t>)</w:t>
      </w:r>
      <w:r w:rsidR="00E10FFA">
        <w:t>.  However, the Complainants argue that the Commission does have jurisdiction to consider their claim that there are incorrect charges on their bill.</w:t>
      </w:r>
    </w:p>
    <w:p w14:paraId="07DF409B" w14:textId="77777777" w:rsidR="007D4B40" w:rsidRDefault="007D4B40" w:rsidP="007D4B40">
      <w:pPr>
        <w:spacing w:after="0"/>
      </w:pPr>
    </w:p>
    <w:p w14:paraId="167FC10D" w14:textId="36C9BB0A" w:rsidR="00176FDE" w:rsidRDefault="00176FDE" w:rsidP="007D4B40">
      <w:pPr>
        <w:spacing w:after="0"/>
      </w:pPr>
      <w:r>
        <w:tab/>
      </w:r>
      <w:r>
        <w:tab/>
      </w:r>
      <w:r w:rsidR="000F6D43">
        <w:t xml:space="preserve">This matter was assigned to me on </w:t>
      </w:r>
      <w:r w:rsidR="00E96C7E">
        <w:t xml:space="preserve">January 6, </w:t>
      </w:r>
      <w:proofErr w:type="gramStart"/>
      <w:r w:rsidR="00E96C7E">
        <w:t>2023</w:t>
      </w:r>
      <w:proofErr w:type="gramEnd"/>
      <w:r w:rsidR="00E96C7E">
        <w:t xml:space="preserve"> and</w:t>
      </w:r>
      <w:r w:rsidR="000F6D43">
        <w:t xml:space="preserve"> scheduled for a hearing on March 14, 2023.</w:t>
      </w:r>
    </w:p>
    <w:p w14:paraId="0D76639E" w14:textId="77777777" w:rsidR="007D4B40" w:rsidRDefault="007D4B40" w:rsidP="007D4B40">
      <w:pPr>
        <w:spacing w:after="0"/>
      </w:pPr>
    </w:p>
    <w:p w14:paraId="30CA983E" w14:textId="11D8558E" w:rsidR="003650E1" w:rsidRDefault="003650E1" w:rsidP="007D4B40">
      <w:pPr>
        <w:spacing w:after="0"/>
      </w:pPr>
      <w:r>
        <w:tab/>
      </w:r>
      <w:r>
        <w:tab/>
        <w:t>Preliminary objection practice before the Commission is similar to Pennsylvania civil practice respecting preliminary objections.</w:t>
      </w:r>
      <w:r>
        <w:rPr>
          <w:rStyle w:val="FootnoteReference"/>
        </w:rPr>
        <w:footnoteReference w:id="5"/>
      </w:r>
      <w:r>
        <w:t xml:space="preserve">  In deciding the preliminary objections, the Commission must determine whether, based on well-pleaded factual averments of the petitioners, recovery or relief is possible.</w:t>
      </w:r>
      <w:r>
        <w:rPr>
          <w:rStyle w:val="FootnoteReference"/>
        </w:rPr>
        <w:footnoteReference w:id="6"/>
      </w:r>
      <w:r>
        <w:t xml:space="preserve">  Any doubt must be resolved in favor of the non-moving party by refusing to sustain the preliminary objections.</w:t>
      </w:r>
      <w:r>
        <w:rPr>
          <w:rStyle w:val="FootnoteReference"/>
        </w:rPr>
        <w:footnoteReference w:id="7"/>
      </w:r>
      <w:r>
        <w:t xml:space="preserve">  All of the non-moving party’s averments in the complaint must be viewed as true for purposes of deciding the preliminary objections, and only those facts specifically admitted may be considered against the non-moving party.</w:t>
      </w:r>
      <w:r>
        <w:rPr>
          <w:rStyle w:val="FootnoteReference"/>
        </w:rPr>
        <w:footnoteReference w:id="8"/>
      </w:r>
    </w:p>
    <w:p w14:paraId="3356E20F" w14:textId="77777777" w:rsidR="007D4B40" w:rsidRDefault="007D4B40" w:rsidP="007D4B40">
      <w:pPr>
        <w:spacing w:after="0"/>
      </w:pPr>
    </w:p>
    <w:p w14:paraId="683E4294" w14:textId="7A2A814D" w:rsidR="002E77A4" w:rsidRDefault="00612294" w:rsidP="007D4B40">
      <w:pPr>
        <w:spacing w:after="0"/>
      </w:pPr>
      <w:r>
        <w:lastRenderedPageBreak/>
        <w:tab/>
      </w:r>
      <w:r w:rsidR="005F54BB">
        <w:tab/>
        <w:t>It is well-settled that the Commission does not have jurisdiction to resolve claims that arise under federal law.</w:t>
      </w:r>
      <w:r w:rsidR="00D00092">
        <w:rPr>
          <w:rStyle w:val="FootnoteReference"/>
        </w:rPr>
        <w:footnoteReference w:id="9"/>
      </w:r>
      <w:r w:rsidR="005F54BB">
        <w:t xml:space="preserve">  The </w:t>
      </w:r>
      <w:r w:rsidR="00F10CD6">
        <w:t xml:space="preserve">Complainants concede that the Commission does not have jurisdiction to adjudicate their claims pursuant to federal </w:t>
      </w:r>
      <w:r w:rsidR="000A30F3">
        <w:t>law.</w:t>
      </w:r>
      <w:r w:rsidR="00D00092">
        <w:t xml:space="preserve">  </w:t>
      </w:r>
      <w:r w:rsidR="006017AC">
        <w:t>Therefore,</w:t>
      </w:r>
      <w:r w:rsidR="00D00092">
        <w:t xml:space="preserve"> </w:t>
      </w:r>
      <w:r w:rsidR="00F10CD6">
        <w:t xml:space="preserve">DLC’s preliminary objections will be </w:t>
      </w:r>
      <w:r w:rsidR="00282C01">
        <w:t>sustained</w:t>
      </w:r>
      <w:r w:rsidR="00F10CD6">
        <w:t>.</w:t>
      </w:r>
      <w:r w:rsidR="00BB78A6">
        <w:t xml:space="preserve">  </w:t>
      </w:r>
    </w:p>
    <w:p w14:paraId="3B703CB1" w14:textId="77777777" w:rsidR="007D4B40" w:rsidRDefault="007D4B40" w:rsidP="007D4B40">
      <w:pPr>
        <w:spacing w:after="0"/>
      </w:pPr>
    </w:p>
    <w:p w14:paraId="1A981EE3" w14:textId="5BD51822" w:rsidR="006957F5" w:rsidRDefault="002E77A4" w:rsidP="007D4B40">
      <w:pPr>
        <w:spacing w:after="0"/>
      </w:pPr>
      <w:r>
        <w:tab/>
      </w:r>
      <w:r>
        <w:tab/>
        <w:t xml:space="preserve">DLC does not seeks dismissal of the complaint in its entirety.  Therefore, the Complainants’ </w:t>
      </w:r>
      <w:r w:rsidR="00CF1C1C">
        <w:t xml:space="preserve">may proceed with their </w:t>
      </w:r>
      <w:r>
        <w:t xml:space="preserve">claim that there are incorrect charges on their </w:t>
      </w:r>
      <w:r w:rsidR="00CF1C1C">
        <w:t>June 2022.</w:t>
      </w:r>
      <w:r w:rsidR="00B21FEC">
        <w:t xml:space="preserve"> As the Complainants have appeared before this Commission on several occasions, they are aware</w:t>
      </w:r>
      <w:r w:rsidR="00214C93">
        <w:t xml:space="preserve"> that they bear the burden of proving</w:t>
      </w:r>
      <w:r w:rsidR="00026FAC">
        <w:t xml:space="preserve"> that the utility is responsible or accountable for the problem described in the complaint </w:t>
      </w:r>
      <w:proofErr w:type="gramStart"/>
      <w:r w:rsidR="00026FAC">
        <w:t>in order to</w:t>
      </w:r>
      <w:proofErr w:type="gramEnd"/>
      <w:r w:rsidR="00026FAC">
        <w:t xml:space="preserve"> prevail.</w:t>
      </w:r>
      <w:r w:rsidR="00026FAC">
        <w:rPr>
          <w:rStyle w:val="FootnoteReference"/>
        </w:rPr>
        <w:footnoteReference w:id="10"/>
      </w:r>
    </w:p>
    <w:p w14:paraId="190BB548" w14:textId="77777777" w:rsidR="007D4B40" w:rsidRDefault="007D4B40" w:rsidP="007D4B40">
      <w:pPr>
        <w:spacing w:after="0"/>
      </w:pPr>
    </w:p>
    <w:p w14:paraId="40840695" w14:textId="71365854" w:rsidR="005F54BB" w:rsidRDefault="005F54BB" w:rsidP="007D4B40">
      <w:pPr>
        <w:spacing w:after="0"/>
        <w:rPr>
          <w:szCs w:val="24"/>
        </w:rPr>
      </w:pPr>
      <w:r>
        <w:tab/>
      </w:r>
      <w:r w:rsidRPr="00514C00">
        <w:rPr>
          <w:szCs w:val="24"/>
        </w:rPr>
        <w:tab/>
        <w:t xml:space="preserve">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w:t>
      </w:r>
      <w:proofErr w:type="gramStart"/>
      <w:r w:rsidRPr="00514C00">
        <w:rPr>
          <w:szCs w:val="24"/>
        </w:rPr>
        <w:t>make a decision</w:t>
      </w:r>
      <w:proofErr w:type="gramEnd"/>
      <w:r w:rsidRPr="00514C00">
        <w:rPr>
          <w:szCs w:val="24"/>
        </w:rPr>
        <w:t>.  Instead, the mediator assists the parties in their efforts to come to an agreement thereby avoiding the time, expense, and uncertainty of litigation.  Mediation is an informal process where the parties can discuss a full range of settlement options beyond those which can be ordered by the Commission in the formal adjudication process.</w:t>
      </w:r>
      <w:r w:rsidR="008514B9">
        <w:rPr>
          <w:szCs w:val="24"/>
        </w:rPr>
        <w:t xml:space="preserve">  Both parties have expressed a desire for the assistance of mediation to resolve their dispute.  Therefore, the hearing will be cancelled</w:t>
      </w:r>
      <w:r w:rsidR="004C032F">
        <w:rPr>
          <w:szCs w:val="24"/>
        </w:rPr>
        <w:t>.</w:t>
      </w:r>
    </w:p>
    <w:p w14:paraId="4CE7922A" w14:textId="00D80255" w:rsidR="007D4B40" w:rsidRDefault="007D4B40" w:rsidP="007D4B40">
      <w:pPr>
        <w:spacing w:after="0"/>
        <w:rPr>
          <w:szCs w:val="24"/>
        </w:rPr>
      </w:pPr>
    </w:p>
    <w:p w14:paraId="79DE32E5" w14:textId="5C5367FD" w:rsidR="007D4B40" w:rsidRDefault="007D4B40" w:rsidP="007D4B40">
      <w:pPr>
        <w:spacing w:after="0"/>
        <w:rPr>
          <w:szCs w:val="24"/>
        </w:rPr>
      </w:pPr>
    </w:p>
    <w:p w14:paraId="06C93067" w14:textId="6F528A93" w:rsidR="007D4B40" w:rsidRDefault="007D4B40" w:rsidP="007D4B40">
      <w:pPr>
        <w:spacing w:after="0"/>
        <w:rPr>
          <w:szCs w:val="24"/>
        </w:rPr>
      </w:pPr>
    </w:p>
    <w:p w14:paraId="4C9B1B38" w14:textId="757009E2" w:rsidR="007D4B40" w:rsidRDefault="007D4B40" w:rsidP="007D4B40">
      <w:pPr>
        <w:spacing w:after="0"/>
        <w:rPr>
          <w:szCs w:val="24"/>
        </w:rPr>
      </w:pPr>
    </w:p>
    <w:p w14:paraId="66381B6F" w14:textId="77777777" w:rsidR="007D4B40" w:rsidRDefault="007D4B40" w:rsidP="007D4B40">
      <w:pPr>
        <w:spacing w:after="0"/>
        <w:rPr>
          <w:szCs w:val="24"/>
        </w:rPr>
      </w:pPr>
    </w:p>
    <w:p w14:paraId="0FF35A30" w14:textId="77777777" w:rsidR="007D4B40" w:rsidRDefault="007D4B40" w:rsidP="007D4B40">
      <w:pPr>
        <w:spacing w:after="0"/>
        <w:rPr>
          <w:szCs w:val="24"/>
        </w:rPr>
      </w:pPr>
    </w:p>
    <w:p w14:paraId="42F4040C" w14:textId="118166BD" w:rsidR="00F0679C" w:rsidRDefault="00F0679C" w:rsidP="007D4B40">
      <w:pPr>
        <w:spacing w:after="0"/>
        <w:rPr>
          <w:szCs w:val="24"/>
        </w:rPr>
      </w:pPr>
      <w:r>
        <w:rPr>
          <w:szCs w:val="24"/>
        </w:rPr>
        <w:lastRenderedPageBreak/>
        <w:tab/>
      </w:r>
      <w:r w:rsidR="007D4B40">
        <w:rPr>
          <w:szCs w:val="24"/>
        </w:rPr>
        <w:tab/>
      </w:r>
      <w:r>
        <w:rPr>
          <w:szCs w:val="24"/>
        </w:rPr>
        <w:t xml:space="preserve">THEREFORE, </w:t>
      </w:r>
    </w:p>
    <w:p w14:paraId="3AFEDE18" w14:textId="77777777" w:rsidR="007D4B40" w:rsidRDefault="007D4B40" w:rsidP="007D4B40">
      <w:pPr>
        <w:spacing w:after="0"/>
        <w:rPr>
          <w:szCs w:val="24"/>
        </w:rPr>
      </w:pPr>
    </w:p>
    <w:p w14:paraId="24012274" w14:textId="2C4F2C57" w:rsidR="00F0679C" w:rsidRDefault="00653A88" w:rsidP="007D4B40">
      <w:pPr>
        <w:spacing w:after="0"/>
        <w:rPr>
          <w:szCs w:val="24"/>
        </w:rPr>
      </w:pPr>
      <w:r>
        <w:rPr>
          <w:szCs w:val="24"/>
        </w:rPr>
        <w:tab/>
      </w:r>
      <w:r w:rsidR="007D4B40">
        <w:rPr>
          <w:szCs w:val="24"/>
        </w:rPr>
        <w:tab/>
      </w:r>
      <w:r w:rsidR="00F0679C">
        <w:rPr>
          <w:szCs w:val="24"/>
        </w:rPr>
        <w:t>IT IS ORDERED:</w:t>
      </w:r>
    </w:p>
    <w:p w14:paraId="7E1E4239" w14:textId="77777777" w:rsidR="007D4B40" w:rsidRDefault="007D4B40" w:rsidP="007D4B40">
      <w:pPr>
        <w:spacing w:after="0"/>
        <w:rPr>
          <w:szCs w:val="24"/>
        </w:rPr>
      </w:pPr>
    </w:p>
    <w:p w14:paraId="4E2E7AEE" w14:textId="69DF7D1D" w:rsidR="00A743D2" w:rsidRDefault="00F0679C" w:rsidP="007D4B40">
      <w:pPr>
        <w:spacing w:after="0"/>
        <w:rPr>
          <w:szCs w:val="24"/>
        </w:rPr>
      </w:pPr>
      <w:r>
        <w:rPr>
          <w:szCs w:val="24"/>
        </w:rPr>
        <w:tab/>
      </w:r>
      <w:r>
        <w:rPr>
          <w:szCs w:val="24"/>
        </w:rPr>
        <w:tab/>
        <w:t>1.</w:t>
      </w:r>
      <w:r>
        <w:rPr>
          <w:szCs w:val="24"/>
        </w:rPr>
        <w:tab/>
        <w:t xml:space="preserve">That the preliminary objections of Duquesne Light Company are </w:t>
      </w:r>
      <w:r w:rsidR="00DD1450">
        <w:rPr>
          <w:szCs w:val="24"/>
        </w:rPr>
        <w:t>sustained</w:t>
      </w:r>
      <w:r>
        <w:rPr>
          <w:szCs w:val="24"/>
        </w:rPr>
        <w:t>.</w:t>
      </w:r>
      <w:r w:rsidR="00DD1450">
        <w:rPr>
          <w:szCs w:val="24"/>
        </w:rPr>
        <w:t xml:space="preserve">  </w:t>
      </w:r>
    </w:p>
    <w:p w14:paraId="3DCFBDD7" w14:textId="77777777" w:rsidR="007D4B40" w:rsidRDefault="007D4B40" w:rsidP="007D4B40">
      <w:pPr>
        <w:spacing w:after="0"/>
        <w:rPr>
          <w:szCs w:val="24"/>
        </w:rPr>
      </w:pPr>
    </w:p>
    <w:p w14:paraId="3462CF9B" w14:textId="65B2C80E" w:rsidR="00282C01" w:rsidRDefault="00282C01" w:rsidP="007D4B40">
      <w:pPr>
        <w:spacing w:after="0"/>
        <w:rPr>
          <w:szCs w:val="24"/>
        </w:rPr>
      </w:pPr>
      <w:r>
        <w:rPr>
          <w:szCs w:val="24"/>
        </w:rPr>
        <w:tab/>
      </w:r>
      <w:r>
        <w:rPr>
          <w:szCs w:val="24"/>
        </w:rPr>
        <w:tab/>
        <w:t>2.</w:t>
      </w:r>
      <w:r>
        <w:rPr>
          <w:szCs w:val="24"/>
        </w:rPr>
        <w:tab/>
        <w:t xml:space="preserve">That the hearing scheduled for March </w:t>
      </w:r>
      <w:r w:rsidR="000D0A5A">
        <w:rPr>
          <w:szCs w:val="24"/>
        </w:rPr>
        <w:t xml:space="preserve">14, </w:t>
      </w:r>
      <w:proofErr w:type="gramStart"/>
      <w:r w:rsidR="000D0A5A">
        <w:rPr>
          <w:szCs w:val="24"/>
        </w:rPr>
        <w:t>2023</w:t>
      </w:r>
      <w:proofErr w:type="gramEnd"/>
      <w:r w:rsidR="000D0A5A">
        <w:rPr>
          <w:szCs w:val="24"/>
        </w:rPr>
        <w:t xml:space="preserve"> be</w:t>
      </w:r>
      <w:r w:rsidR="00B10F84">
        <w:rPr>
          <w:szCs w:val="24"/>
        </w:rPr>
        <w:t xml:space="preserve"> cancelled.</w:t>
      </w:r>
    </w:p>
    <w:p w14:paraId="16B1B0F5" w14:textId="77777777" w:rsidR="007D4B40" w:rsidRDefault="007D4B40" w:rsidP="007D4B40">
      <w:pPr>
        <w:spacing w:after="0"/>
        <w:rPr>
          <w:szCs w:val="24"/>
        </w:rPr>
      </w:pPr>
    </w:p>
    <w:p w14:paraId="043DAC64" w14:textId="2358C5D0" w:rsidR="00690F07" w:rsidRDefault="00A743D2" w:rsidP="007D4B40">
      <w:pPr>
        <w:spacing w:after="0"/>
        <w:rPr>
          <w:szCs w:val="24"/>
        </w:rPr>
      </w:pPr>
      <w:r>
        <w:rPr>
          <w:szCs w:val="24"/>
        </w:rPr>
        <w:tab/>
      </w:r>
      <w:r>
        <w:rPr>
          <w:szCs w:val="24"/>
        </w:rPr>
        <w:tab/>
      </w:r>
      <w:r w:rsidR="007D4B40">
        <w:rPr>
          <w:szCs w:val="24"/>
        </w:rPr>
        <w:t>3</w:t>
      </w:r>
      <w:r>
        <w:rPr>
          <w:szCs w:val="24"/>
        </w:rPr>
        <w:t>.</w:t>
      </w:r>
      <w:r>
        <w:rPr>
          <w:szCs w:val="24"/>
        </w:rPr>
        <w:tab/>
      </w:r>
      <w:r w:rsidR="00690F07" w:rsidRPr="00514C00">
        <w:rPr>
          <w:szCs w:val="24"/>
        </w:rPr>
        <w:t>That the case is hereby referred to the Commission’s Mediation Unit for the Commission’s mediation review process.</w:t>
      </w:r>
    </w:p>
    <w:p w14:paraId="3A68D9C0" w14:textId="3234BCE9" w:rsidR="00F0679C" w:rsidRPr="00514C00" w:rsidRDefault="00F0679C" w:rsidP="007D4B40">
      <w:pPr>
        <w:spacing w:after="0"/>
        <w:rPr>
          <w:szCs w:val="24"/>
        </w:rPr>
      </w:pPr>
    </w:p>
    <w:p w14:paraId="0212AE1D" w14:textId="2C3FFA02" w:rsidR="005F54BB" w:rsidRDefault="005F54BB" w:rsidP="007D4B40">
      <w:pPr>
        <w:spacing w:after="0"/>
      </w:pPr>
    </w:p>
    <w:p w14:paraId="5E4CF308" w14:textId="5238B210" w:rsidR="007D4B40" w:rsidRPr="009A06F0" w:rsidRDefault="007D4B40" w:rsidP="007D4B40">
      <w:pPr>
        <w:tabs>
          <w:tab w:val="left" w:pos="360"/>
        </w:tabs>
        <w:spacing w:after="0" w:line="240" w:lineRule="auto"/>
        <w:jc w:val="both"/>
        <w:rPr>
          <w:rFonts w:eastAsia="SimSun"/>
        </w:rPr>
      </w:pPr>
      <w:r>
        <w:rPr>
          <w:szCs w:val="24"/>
        </w:rPr>
        <w:t xml:space="preserve">Date:  </w:t>
      </w:r>
      <w:r>
        <w:rPr>
          <w:szCs w:val="24"/>
          <w:u w:val="single"/>
        </w:rPr>
        <w:t>January 9, 2023</w:t>
      </w:r>
      <w:r>
        <w:rPr>
          <w:rFonts w:eastAsia="SimSun"/>
        </w:rPr>
        <w:tab/>
        <w:t xml:space="preserve"> </w:t>
      </w:r>
      <w:r>
        <w:rPr>
          <w:rFonts w:eastAsia="SimSun"/>
        </w:rPr>
        <w:tab/>
      </w:r>
      <w:r>
        <w:rPr>
          <w:rFonts w:eastAsia="SimSun"/>
        </w:rPr>
        <w:tab/>
      </w:r>
      <w:r>
        <w:rPr>
          <w:rFonts w:eastAsia="SimSun"/>
        </w:rPr>
        <w:tab/>
      </w:r>
      <w:r w:rsidRPr="00BB73E8">
        <w:rPr>
          <w:rFonts w:eastAsia="SimSun"/>
          <w:u w:val="single"/>
        </w:rPr>
        <w:t>__________________/s/_______________</w:t>
      </w:r>
    </w:p>
    <w:p w14:paraId="49147131" w14:textId="77777777" w:rsidR="007D4B40" w:rsidRPr="009A06F0" w:rsidRDefault="007D4B40" w:rsidP="007D4B40">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Mary D. Long</w:t>
      </w:r>
    </w:p>
    <w:p w14:paraId="3047453C" w14:textId="77777777" w:rsidR="007D4B40" w:rsidRDefault="007D4B40" w:rsidP="007D4B40">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Administrative Law Judge</w:t>
      </w:r>
    </w:p>
    <w:p w14:paraId="2D66DD85" w14:textId="77777777" w:rsidR="007D4B40" w:rsidRDefault="007D4B40" w:rsidP="007D4B40">
      <w:pPr>
        <w:spacing w:after="0"/>
      </w:pPr>
    </w:p>
    <w:sectPr w:rsidR="007D4B40" w:rsidSect="00D6142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6599" w14:textId="77777777" w:rsidR="00E53575" w:rsidRDefault="00E53575" w:rsidP="00FF61B7">
      <w:pPr>
        <w:spacing w:after="0" w:line="240" w:lineRule="auto"/>
      </w:pPr>
      <w:r>
        <w:separator/>
      </w:r>
    </w:p>
  </w:endnote>
  <w:endnote w:type="continuationSeparator" w:id="0">
    <w:p w14:paraId="65DB4E5B" w14:textId="77777777" w:rsidR="00E53575" w:rsidRDefault="00E53575" w:rsidP="00FF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05023656"/>
      <w:docPartObj>
        <w:docPartGallery w:val="Page Numbers (Bottom of Page)"/>
        <w:docPartUnique/>
      </w:docPartObj>
    </w:sdtPr>
    <w:sdtEndPr>
      <w:rPr>
        <w:noProof/>
      </w:rPr>
    </w:sdtEndPr>
    <w:sdtContent>
      <w:p w14:paraId="7FB9F1CA" w14:textId="35A083DF" w:rsidR="00D6142F" w:rsidRPr="000C72CD" w:rsidRDefault="00D6142F" w:rsidP="000C72CD">
        <w:pPr>
          <w:pStyle w:val="Footer"/>
          <w:jc w:val="center"/>
          <w:rPr>
            <w:sz w:val="20"/>
            <w:szCs w:val="20"/>
          </w:rPr>
        </w:pPr>
        <w:r w:rsidRPr="000C72CD">
          <w:rPr>
            <w:sz w:val="20"/>
            <w:szCs w:val="20"/>
          </w:rPr>
          <w:fldChar w:fldCharType="begin"/>
        </w:r>
        <w:r w:rsidRPr="000C72CD">
          <w:rPr>
            <w:sz w:val="20"/>
            <w:szCs w:val="20"/>
          </w:rPr>
          <w:instrText xml:space="preserve"> PAGE   \* MERGEFORMAT </w:instrText>
        </w:r>
        <w:r w:rsidRPr="000C72CD">
          <w:rPr>
            <w:sz w:val="20"/>
            <w:szCs w:val="20"/>
          </w:rPr>
          <w:fldChar w:fldCharType="separate"/>
        </w:r>
        <w:r w:rsidRPr="000C72CD">
          <w:rPr>
            <w:noProof/>
            <w:sz w:val="20"/>
            <w:szCs w:val="20"/>
          </w:rPr>
          <w:t>2</w:t>
        </w:r>
        <w:r w:rsidRPr="000C72C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9AA9" w14:textId="77777777" w:rsidR="00E53575" w:rsidRDefault="00E53575" w:rsidP="00FF61B7">
      <w:pPr>
        <w:spacing w:after="0" w:line="240" w:lineRule="auto"/>
      </w:pPr>
      <w:r>
        <w:separator/>
      </w:r>
    </w:p>
  </w:footnote>
  <w:footnote w:type="continuationSeparator" w:id="0">
    <w:p w14:paraId="5FB86EFB" w14:textId="77777777" w:rsidR="00E53575" w:rsidRDefault="00E53575" w:rsidP="00FF61B7">
      <w:pPr>
        <w:spacing w:after="0" w:line="240" w:lineRule="auto"/>
      </w:pPr>
      <w:r>
        <w:continuationSeparator/>
      </w:r>
    </w:p>
  </w:footnote>
  <w:footnote w:id="1">
    <w:p w14:paraId="582DBCD9" w14:textId="41A86F3F" w:rsidR="00047ED6" w:rsidRDefault="00252E71" w:rsidP="007D4B40">
      <w:pPr>
        <w:pStyle w:val="FootnoteText"/>
        <w:ind w:firstLine="720"/>
      </w:pPr>
      <w:r>
        <w:tab/>
      </w:r>
      <w:r w:rsidR="00047ED6">
        <w:rPr>
          <w:rStyle w:val="FootnoteReference"/>
        </w:rPr>
        <w:footnoteRef/>
      </w:r>
      <w:r w:rsidR="00047ED6">
        <w:t xml:space="preserve"> </w:t>
      </w:r>
      <w:r w:rsidR="00047ED6">
        <w:tab/>
        <w:t>DLC notes that Mr. Mendoza is not an attorney licensed to practice law and that he cannot represent Ms. Feitt in that capacity.</w:t>
      </w:r>
      <w:r w:rsidR="003E32F9">
        <w:t xml:space="preserve">  I note, however, that Ms. Feitt and Mr. Mendoza state that they are </w:t>
      </w:r>
      <w:proofErr w:type="gramStart"/>
      <w:r w:rsidR="003E32F9">
        <w:t>spouses</w:t>
      </w:r>
      <w:proofErr w:type="gramEnd"/>
      <w:r w:rsidR="003E32F9">
        <w:t xml:space="preserve"> and both appear to be listed as account holders at the service address.  See DLC. Answer,  Ex. C.</w:t>
      </w:r>
      <w:r w:rsidR="00F32723">
        <w:t xml:space="preserve"> Therefore, it appears that they are both responsible for the bill.</w:t>
      </w:r>
    </w:p>
  </w:footnote>
  <w:footnote w:id="2">
    <w:p w14:paraId="5D20086E" w14:textId="75C0993A" w:rsidR="00E74ABA" w:rsidRDefault="00252E71" w:rsidP="007D4B40">
      <w:pPr>
        <w:pStyle w:val="FootnoteText"/>
        <w:ind w:firstLine="720"/>
      </w:pPr>
      <w:r>
        <w:tab/>
      </w:r>
      <w:r w:rsidR="00E74ABA">
        <w:rPr>
          <w:rStyle w:val="FootnoteReference"/>
        </w:rPr>
        <w:footnoteRef/>
      </w:r>
      <w:r w:rsidR="00E74ABA">
        <w:t xml:space="preserve"> </w:t>
      </w:r>
      <w:r w:rsidR="006B1C95">
        <w:tab/>
        <w:t xml:space="preserve">15 U.S.C. </w:t>
      </w:r>
      <w:r w:rsidR="006B1C95">
        <w:rPr>
          <w:rFonts w:cs="Times New Roman"/>
        </w:rPr>
        <w:t>§</w:t>
      </w:r>
      <w:r w:rsidR="00AF3B6E">
        <w:rPr>
          <w:rFonts w:cs="Times New Roman"/>
        </w:rPr>
        <w:t xml:space="preserve"> 1692 </w:t>
      </w:r>
      <w:r w:rsidR="00AF3B6E" w:rsidRPr="00AF3B6E">
        <w:rPr>
          <w:rFonts w:cs="Times New Roman"/>
          <w:i/>
          <w:iCs/>
        </w:rPr>
        <w:t>et seq</w:t>
      </w:r>
      <w:r w:rsidR="00AF3B6E">
        <w:rPr>
          <w:rFonts w:cs="Times New Roman"/>
        </w:rPr>
        <w:t>.</w:t>
      </w:r>
    </w:p>
  </w:footnote>
  <w:footnote w:id="3">
    <w:p w14:paraId="1D93921E" w14:textId="78C34200" w:rsidR="00E74ABA" w:rsidRDefault="00252E71" w:rsidP="007D4B40">
      <w:pPr>
        <w:pStyle w:val="FootnoteText"/>
        <w:ind w:firstLine="720"/>
      </w:pPr>
      <w:r>
        <w:tab/>
      </w:r>
      <w:r w:rsidR="00E74ABA">
        <w:rPr>
          <w:rStyle w:val="FootnoteReference"/>
        </w:rPr>
        <w:footnoteRef/>
      </w:r>
      <w:r w:rsidR="00E74ABA">
        <w:t xml:space="preserve"> </w:t>
      </w:r>
      <w:r w:rsidR="00AF3B6E">
        <w:tab/>
        <w:t xml:space="preserve">15 U.S.C. </w:t>
      </w:r>
      <w:r w:rsidR="00AF3B6E">
        <w:rPr>
          <w:rFonts w:cs="Times New Roman"/>
        </w:rPr>
        <w:t>§ 16</w:t>
      </w:r>
      <w:r w:rsidR="00625BC4">
        <w:rPr>
          <w:rFonts w:cs="Times New Roman"/>
        </w:rPr>
        <w:t>81</w:t>
      </w:r>
      <w:r w:rsidR="00AF3B6E">
        <w:rPr>
          <w:rFonts w:cs="Times New Roman"/>
        </w:rPr>
        <w:t xml:space="preserve"> </w:t>
      </w:r>
      <w:r w:rsidR="00AF3B6E" w:rsidRPr="00AF3B6E">
        <w:rPr>
          <w:rFonts w:cs="Times New Roman"/>
          <w:i/>
          <w:iCs/>
        </w:rPr>
        <w:t>et seq</w:t>
      </w:r>
      <w:r w:rsidR="000F7767">
        <w:rPr>
          <w:rFonts w:cs="Times New Roman"/>
          <w:i/>
          <w:iCs/>
        </w:rPr>
        <w:t>.</w:t>
      </w:r>
    </w:p>
  </w:footnote>
  <w:footnote w:id="4">
    <w:p w14:paraId="5A41E4AF" w14:textId="75C7E49F" w:rsidR="00E74ABA" w:rsidRDefault="00252E71" w:rsidP="007D4B40">
      <w:pPr>
        <w:pStyle w:val="FootnoteText"/>
        <w:ind w:firstLine="720"/>
      </w:pPr>
      <w:r>
        <w:tab/>
      </w:r>
      <w:r w:rsidR="00E74ABA">
        <w:rPr>
          <w:rStyle w:val="FootnoteReference"/>
        </w:rPr>
        <w:footnoteRef/>
      </w:r>
      <w:r w:rsidR="00E74ABA">
        <w:t xml:space="preserve"> </w:t>
      </w:r>
      <w:r w:rsidR="00AF3B6E">
        <w:tab/>
        <w:t xml:space="preserve">15 U.S.C. </w:t>
      </w:r>
      <w:r w:rsidR="00AF3B6E">
        <w:rPr>
          <w:rFonts w:cs="Times New Roman"/>
        </w:rPr>
        <w:t>§ 16</w:t>
      </w:r>
      <w:r w:rsidR="00625BC4">
        <w:rPr>
          <w:rFonts w:cs="Times New Roman"/>
        </w:rPr>
        <w:t>01</w:t>
      </w:r>
      <w:r w:rsidR="00AF3B6E">
        <w:rPr>
          <w:rFonts w:cs="Times New Roman"/>
        </w:rPr>
        <w:t xml:space="preserve"> </w:t>
      </w:r>
      <w:r w:rsidR="00AF3B6E" w:rsidRPr="00AF3B6E">
        <w:rPr>
          <w:rFonts w:cs="Times New Roman"/>
          <w:i/>
          <w:iCs/>
        </w:rPr>
        <w:t>et seq</w:t>
      </w:r>
      <w:r w:rsidR="000F7767">
        <w:rPr>
          <w:rFonts w:cs="Times New Roman"/>
          <w:i/>
          <w:iCs/>
        </w:rPr>
        <w:t>.</w:t>
      </w:r>
    </w:p>
  </w:footnote>
  <w:footnote w:id="5">
    <w:p w14:paraId="40E6C68C" w14:textId="05362918" w:rsidR="003650E1" w:rsidRDefault="003650E1" w:rsidP="007D4B40">
      <w:pPr>
        <w:pStyle w:val="FootnoteText"/>
        <w:ind w:firstLine="720"/>
      </w:pPr>
      <w:r>
        <w:tab/>
      </w: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footnote>
  <w:footnote w:id="6">
    <w:p w14:paraId="0B5D3DCC" w14:textId="183B2C0C" w:rsidR="003650E1" w:rsidRDefault="003650E1" w:rsidP="007D4B40">
      <w:pPr>
        <w:pStyle w:val="FootnoteText"/>
        <w:ind w:firstLine="720"/>
      </w:pPr>
      <w:r>
        <w:tab/>
      </w:r>
      <w:r>
        <w:rPr>
          <w:rStyle w:val="FootnoteReference"/>
        </w:rPr>
        <w:footnoteRef/>
      </w:r>
      <w:r>
        <w:t xml:space="preserve"> </w:t>
      </w:r>
      <w:r>
        <w:tab/>
      </w:r>
      <w:r>
        <w:rPr>
          <w:i/>
        </w:rPr>
        <w:t>Dept. of Auditor General v. SERS</w:t>
      </w:r>
      <w:r w:rsidRPr="00AB2BD8">
        <w:t>,</w:t>
      </w:r>
      <w:r>
        <w:t xml:space="preserve"> 836 A.2d 1053, 1064 (Pa. Cmwlth. 2003); </w:t>
      </w:r>
      <w:r w:rsidRPr="00B908F9">
        <w:rPr>
          <w:i/>
        </w:rPr>
        <w:t>P.J.S. v. Pa. State Ethics Comm’n</w:t>
      </w:r>
      <w:r>
        <w:t>, 669 A.2d 1105 (Pa. Cmwlth. 1996).</w:t>
      </w:r>
    </w:p>
  </w:footnote>
  <w:footnote w:id="7">
    <w:p w14:paraId="2CB5F263" w14:textId="371D4962" w:rsidR="003650E1" w:rsidRDefault="003650E1" w:rsidP="007D4B40">
      <w:pPr>
        <w:pStyle w:val="FootnoteText"/>
        <w:ind w:firstLine="720"/>
      </w:pPr>
      <w:r>
        <w:tab/>
      </w:r>
      <w:r>
        <w:rPr>
          <w:rStyle w:val="FootnoteReference"/>
        </w:rPr>
        <w:footnoteRef/>
      </w:r>
      <w:r>
        <w:t xml:space="preserve"> </w:t>
      </w:r>
      <w:r>
        <w:tab/>
      </w:r>
      <w:r w:rsidRPr="00B908F9">
        <w:rPr>
          <w:i/>
        </w:rPr>
        <w:t>Boyd v. Ward</w:t>
      </w:r>
      <w:r>
        <w:t xml:space="preserve">, 802 A.2d 705 (Pa. Cmwlth. 2002).  </w:t>
      </w:r>
    </w:p>
  </w:footnote>
  <w:footnote w:id="8">
    <w:p w14:paraId="0C0CCD45" w14:textId="706C3469" w:rsidR="003650E1" w:rsidRDefault="003650E1" w:rsidP="007D4B40">
      <w:pPr>
        <w:pStyle w:val="FootnoteText"/>
        <w:ind w:firstLine="720"/>
      </w:pPr>
      <w:r>
        <w:tab/>
      </w:r>
      <w:r>
        <w:rPr>
          <w:rStyle w:val="FootnoteReference"/>
        </w:rPr>
        <w:footnoteRef/>
      </w:r>
      <w:r>
        <w:t xml:space="preserve"> </w:t>
      </w:r>
      <w:r>
        <w:tab/>
      </w:r>
      <w:r w:rsidRPr="005221D7">
        <w:rPr>
          <w:i/>
        </w:rPr>
        <w:t>Ridge v. State Employees’ Retirement Board</w:t>
      </w:r>
      <w:r>
        <w:t xml:space="preserve">, 690 A.2d 1312 (Pa. Cmwlth. 1997).  </w:t>
      </w:r>
    </w:p>
  </w:footnote>
  <w:footnote w:id="9">
    <w:p w14:paraId="51E2B0FF" w14:textId="0223A1C6" w:rsidR="00D00092" w:rsidRPr="00694663" w:rsidRDefault="00F14A81" w:rsidP="007D4B40">
      <w:pPr>
        <w:pStyle w:val="FootnoteText"/>
        <w:ind w:firstLine="720"/>
      </w:pPr>
      <w:r>
        <w:tab/>
      </w:r>
      <w:r w:rsidR="00D00092">
        <w:rPr>
          <w:rStyle w:val="FootnoteReference"/>
        </w:rPr>
        <w:footnoteRef/>
      </w:r>
      <w:r w:rsidR="00D00092">
        <w:t xml:space="preserve"> </w:t>
      </w:r>
      <w:r w:rsidR="00B45FF5">
        <w:tab/>
      </w:r>
      <w:r w:rsidR="00B45FF5">
        <w:rPr>
          <w:i/>
          <w:iCs/>
        </w:rPr>
        <w:t xml:space="preserve">See, </w:t>
      </w:r>
      <w:proofErr w:type="gramStart"/>
      <w:r w:rsidR="00B45FF5">
        <w:rPr>
          <w:i/>
          <w:iCs/>
        </w:rPr>
        <w:t>e.g.</w:t>
      </w:r>
      <w:proofErr w:type="gramEnd"/>
      <w:r w:rsidR="00B45FF5">
        <w:rPr>
          <w:i/>
          <w:iCs/>
        </w:rPr>
        <w:t xml:space="preserve"> Alkhatib v. EPOC Energy Co.</w:t>
      </w:r>
      <w:r w:rsidR="00694663">
        <w:t>, Docket C-2011-2242125</w:t>
      </w:r>
      <w:r w:rsidR="00C23E2A">
        <w:t xml:space="preserve"> (Opinion and Order entered January 12, 2012).</w:t>
      </w:r>
    </w:p>
  </w:footnote>
  <w:footnote w:id="10">
    <w:p w14:paraId="216BBBA7" w14:textId="0EB5C80D" w:rsidR="00026FAC" w:rsidRPr="00A4653B" w:rsidRDefault="00026FAC" w:rsidP="007D4B40">
      <w:pPr>
        <w:pStyle w:val="FootnoteText"/>
        <w:ind w:firstLine="720"/>
      </w:pPr>
      <w:r>
        <w:rPr>
          <w:rStyle w:val="FootnoteReference"/>
        </w:rPr>
        <w:footnoteRef/>
      </w:r>
      <w:r>
        <w:t xml:space="preserve"> </w:t>
      </w:r>
      <w:r>
        <w:tab/>
      </w:r>
      <w:r w:rsidR="009077BF">
        <w:rPr>
          <w:i/>
          <w:iCs/>
        </w:rPr>
        <w:t>See</w:t>
      </w:r>
      <w:r w:rsidR="00A4653B">
        <w:rPr>
          <w:i/>
          <w:iCs/>
        </w:rPr>
        <w:t xml:space="preserve">, e.g., </w:t>
      </w:r>
      <w:r w:rsidR="009077BF">
        <w:rPr>
          <w:i/>
          <w:iCs/>
        </w:rPr>
        <w:t xml:space="preserve"> Feitt v. Duquesne Light Co.</w:t>
      </w:r>
      <w:r w:rsidR="00A4653B">
        <w:t xml:space="preserve">, </w:t>
      </w:r>
      <w:r w:rsidR="00F10FD8">
        <w:t xml:space="preserve">Docket </w:t>
      </w:r>
      <w:r w:rsidR="00A4653B">
        <w:t>F-2017-2636316 (Opinion and Order entered June 13, 2019)</w:t>
      </w:r>
      <w:r w:rsidR="006A6892">
        <w:t xml:space="preserve">; </w:t>
      </w:r>
      <w:r w:rsidR="006A6892" w:rsidRPr="005C3645">
        <w:rPr>
          <w:i/>
          <w:iCs/>
        </w:rPr>
        <w:t xml:space="preserve">Feitt v. </w:t>
      </w:r>
      <w:r w:rsidR="00DE74A2" w:rsidRPr="005C3645">
        <w:rPr>
          <w:i/>
          <w:iCs/>
        </w:rPr>
        <w:t>Peoples Natural Gas Co. LLC – Equitable Division</w:t>
      </w:r>
      <w:r w:rsidR="00DE74A2">
        <w:t>, Docket F-2018-3003833 (Final Order entered</w:t>
      </w:r>
      <w:r w:rsidR="00AD7E4D">
        <w:t xml:space="preserve"> March 29, 2019), petition for recission denied</w:t>
      </w:r>
      <w:r w:rsidR="005C3645">
        <w:t xml:space="preserve"> by Opinion and Order entered October 8, </w:t>
      </w:r>
      <w:proofErr w:type="gramStart"/>
      <w:r w:rsidR="005C3645">
        <w:t>2020.</w:t>
      </w:r>
      <w:r w:rsidR="00A4653B">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3768"/>
    <w:rsid w:val="00004C37"/>
    <w:rsid w:val="000066B3"/>
    <w:rsid w:val="00026FAC"/>
    <w:rsid w:val="00047ED6"/>
    <w:rsid w:val="00066D87"/>
    <w:rsid w:val="00083973"/>
    <w:rsid w:val="000A30F3"/>
    <w:rsid w:val="000C72CD"/>
    <w:rsid w:val="000D0A5A"/>
    <w:rsid w:val="000E3EDE"/>
    <w:rsid w:val="000F6D43"/>
    <w:rsid w:val="000F7767"/>
    <w:rsid w:val="00107E82"/>
    <w:rsid w:val="00176FDE"/>
    <w:rsid w:val="0019211D"/>
    <w:rsid w:val="001A21B6"/>
    <w:rsid w:val="001B1CBA"/>
    <w:rsid w:val="001D2AF7"/>
    <w:rsid w:val="00207743"/>
    <w:rsid w:val="00213167"/>
    <w:rsid w:val="00214C93"/>
    <w:rsid w:val="002512F9"/>
    <w:rsid w:val="00252E71"/>
    <w:rsid w:val="00267405"/>
    <w:rsid w:val="00282C01"/>
    <w:rsid w:val="002C697B"/>
    <w:rsid w:val="002E77A4"/>
    <w:rsid w:val="003145FA"/>
    <w:rsid w:val="003650E1"/>
    <w:rsid w:val="00367A41"/>
    <w:rsid w:val="00382CAA"/>
    <w:rsid w:val="00393C92"/>
    <w:rsid w:val="003A1A41"/>
    <w:rsid w:val="003A3E09"/>
    <w:rsid w:val="003E32F9"/>
    <w:rsid w:val="003F2EB5"/>
    <w:rsid w:val="00417566"/>
    <w:rsid w:val="004C032F"/>
    <w:rsid w:val="004D523C"/>
    <w:rsid w:val="005A1C17"/>
    <w:rsid w:val="005A20B8"/>
    <w:rsid w:val="005A2ABA"/>
    <w:rsid w:val="005C3645"/>
    <w:rsid w:val="005D180A"/>
    <w:rsid w:val="005E7B69"/>
    <w:rsid w:val="005F54BB"/>
    <w:rsid w:val="005F6930"/>
    <w:rsid w:val="006001CD"/>
    <w:rsid w:val="006017AC"/>
    <w:rsid w:val="00603243"/>
    <w:rsid w:val="00612294"/>
    <w:rsid w:val="00613EA9"/>
    <w:rsid w:val="0061775F"/>
    <w:rsid w:val="00625BC4"/>
    <w:rsid w:val="00641822"/>
    <w:rsid w:val="00653A88"/>
    <w:rsid w:val="00690F07"/>
    <w:rsid w:val="00694663"/>
    <w:rsid w:val="006957F5"/>
    <w:rsid w:val="00695DDB"/>
    <w:rsid w:val="00696C0D"/>
    <w:rsid w:val="006A6892"/>
    <w:rsid w:val="006B1C95"/>
    <w:rsid w:val="006C6A0D"/>
    <w:rsid w:val="006F0329"/>
    <w:rsid w:val="00700807"/>
    <w:rsid w:val="00712E58"/>
    <w:rsid w:val="007407AC"/>
    <w:rsid w:val="00755D72"/>
    <w:rsid w:val="00792796"/>
    <w:rsid w:val="00796B64"/>
    <w:rsid w:val="007B7005"/>
    <w:rsid w:val="007D4B40"/>
    <w:rsid w:val="007E6779"/>
    <w:rsid w:val="00820B4C"/>
    <w:rsid w:val="0083239D"/>
    <w:rsid w:val="008514B9"/>
    <w:rsid w:val="008529D2"/>
    <w:rsid w:val="0088105E"/>
    <w:rsid w:val="009077BF"/>
    <w:rsid w:val="00917DCA"/>
    <w:rsid w:val="00926DE3"/>
    <w:rsid w:val="009C7C72"/>
    <w:rsid w:val="00A4653B"/>
    <w:rsid w:val="00A47096"/>
    <w:rsid w:val="00A743D2"/>
    <w:rsid w:val="00A8697E"/>
    <w:rsid w:val="00AA2EC5"/>
    <w:rsid w:val="00AB4C73"/>
    <w:rsid w:val="00AD27C0"/>
    <w:rsid w:val="00AD7E4D"/>
    <w:rsid w:val="00AE6F47"/>
    <w:rsid w:val="00AF3B6E"/>
    <w:rsid w:val="00B10F84"/>
    <w:rsid w:val="00B15E91"/>
    <w:rsid w:val="00B21FEC"/>
    <w:rsid w:val="00B45FF5"/>
    <w:rsid w:val="00B64C88"/>
    <w:rsid w:val="00B91E47"/>
    <w:rsid w:val="00BB78A6"/>
    <w:rsid w:val="00BC6B21"/>
    <w:rsid w:val="00BD3768"/>
    <w:rsid w:val="00C04D8A"/>
    <w:rsid w:val="00C23E2A"/>
    <w:rsid w:val="00C65884"/>
    <w:rsid w:val="00C87E57"/>
    <w:rsid w:val="00CD444F"/>
    <w:rsid w:val="00CF1C1C"/>
    <w:rsid w:val="00CF6143"/>
    <w:rsid w:val="00D00092"/>
    <w:rsid w:val="00D14843"/>
    <w:rsid w:val="00D6142F"/>
    <w:rsid w:val="00D80111"/>
    <w:rsid w:val="00DD1450"/>
    <w:rsid w:val="00DD5C37"/>
    <w:rsid w:val="00DE74A2"/>
    <w:rsid w:val="00DF35D9"/>
    <w:rsid w:val="00E10FFA"/>
    <w:rsid w:val="00E4239A"/>
    <w:rsid w:val="00E53575"/>
    <w:rsid w:val="00E74ABA"/>
    <w:rsid w:val="00E96C7E"/>
    <w:rsid w:val="00EB027A"/>
    <w:rsid w:val="00EC1CBA"/>
    <w:rsid w:val="00EE7801"/>
    <w:rsid w:val="00F0298B"/>
    <w:rsid w:val="00F0679C"/>
    <w:rsid w:val="00F10CD6"/>
    <w:rsid w:val="00F10FD8"/>
    <w:rsid w:val="00F11A19"/>
    <w:rsid w:val="00F14A81"/>
    <w:rsid w:val="00F16554"/>
    <w:rsid w:val="00F32723"/>
    <w:rsid w:val="00F544E1"/>
    <w:rsid w:val="00FA321C"/>
    <w:rsid w:val="00FB0AD9"/>
    <w:rsid w:val="00FD5C10"/>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4BF2"/>
  <w15:chartTrackingRefBased/>
  <w15:docId w15:val="{5F20DC8F-F598-4F02-9DAE-1E8B893F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aliases w:val="Car"/>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character" w:styleId="FootnoteReference">
    <w:name w:val="footnote reference"/>
    <w:basedOn w:val="DefaultParagraphFont"/>
    <w:uiPriority w:val="99"/>
    <w:unhideWhenUsed/>
    <w:rsid w:val="00FF61B7"/>
    <w:rPr>
      <w:vertAlign w:val="superscript"/>
    </w:rPr>
  </w:style>
  <w:style w:type="paragraph" w:styleId="Header">
    <w:name w:val="header"/>
    <w:basedOn w:val="Normal"/>
    <w:link w:val="HeaderChar"/>
    <w:uiPriority w:val="99"/>
    <w:unhideWhenUsed/>
    <w:rsid w:val="00D61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2F"/>
    <w:rPr>
      <w:rFonts w:cstheme="minorBidi"/>
      <w:szCs w:val="22"/>
    </w:rPr>
  </w:style>
  <w:style w:type="paragraph" w:styleId="Footer">
    <w:name w:val="footer"/>
    <w:basedOn w:val="Normal"/>
    <w:link w:val="FooterChar"/>
    <w:uiPriority w:val="99"/>
    <w:unhideWhenUsed/>
    <w:rsid w:val="00D61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2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6</cp:revision>
  <dcterms:created xsi:type="dcterms:W3CDTF">2023-01-09T15:54:00Z</dcterms:created>
  <dcterms:modified xsi:type="dcterms:W3CDTF">2023-01-09T16:21:00Z</dcterms:modified>
</cp:coreProperties>
</file>