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767C" w14:textId="77777777" w:rsidR="00A07568" w:rsidRPr="00A07568" w:rsidRDefault="00A07568" w:rsidP="00A07568">
      <w:pPr>
        <w:autoSpaceDE w:val="0"/>
        <w:autoSpaceDN w:val="0"/>
        <w:spacing w:after="0" w:line="240" w:lineRule="auto"/>
        <w:ind w:left="0" w:right="0" w:firstLine="0"/>
        <w:jc w:val="center"/>
        <w:rPr>
          <w:b/>
          <w:color w:val="auto"/>
          <w:szCs w:val="24"/>
        </w:rPr>
      </w:pPr>
      <w:r w:rsidRPr="00A07568">
        <w:rPr>
          <w:b/>
          <w:color w:val="auto"/>
          <w:szCs w:val="24"/>
        </w:rPr>
        <w:t>BEFORE THE</w:t>
      </w:r>
    </w:p>
    <w:p w14:paraId="41A43C67" w14:textId="77777777" w:rsidR="00A07568" w:rsidRPr="00A07568" w:rsidRDefault="00A07568" w:rsidP="00A07568">
      <w:pPr>
        <w:tabs>
          <w:tab w:val="center" w:pos="4680"/>
        </w:tabs>
        <w:suppressAutoHyphens/>
        <w:autoSpaceDE w:val="0"/>
        <w:autoSpaceDN w:val="0"/>
        <w:spacing w:after="0" w:line="240" w:lineRule="auto"/>
        <w:ind w:left="0" w:right="0" w:firstLine="0"/>
        <w:jc w:val="center"/>
        <w:rPr>
          <w:b/>
          <w:bCs/>
          <w:color w:val="auto"/>
          <w:spacing w:val="-3"/>
          <w:szCs w:val="24"/>
        </w:rPr>
      </w:pPr>
      <w:r w:rsidRPr="00A07568">
        <w:rPr>
          <w:b/>
          <w:bCs/>
          <w:color w:val="auto"/>
          <w:spacing w:val="-3"/>
          <w:szCs w:val="24"/>
        </w:rPr>
        <w:t>PENNSYLVANIA PUBLIC UTILITY COMMISSION</w:t>
      </w:r>
    </w:p>
    <w:p w14:paraId="54AE0E96" w14:textId="77777777" w:rsidR="00A07568" w:rsidRPr="00A07568" w:rsidRDefault="00A07568" w:rsidP="00A07568">
      <w:pPr>
        <w:tabs>
          <w:tab w:val="left" w:pos="-720"/>
        </w:tabs>
        <w:suppressAutoHyphens/>
        <w:autoSpaceDE w:val="0"/>
        <w:autoSpaceDN w:val="0"/>
        <w:spacing w:after="0" w:line="240" w:lineRule="auto"/>
        <w:ind w:left="0" w:right="0" w:firstLine="0"/>
        <w:jc w:val="left"/>
        <w:rPr>
          <w:color w:val="auto"/>
          <w:spacing w:val="-3"/>
          <w:szCs w:val="24"/>
        </w:rPr>
      </w:pPr>
    </w:p>
    <w:p w14:paraId="34728229" w14:textId="77777777" w:rsidR="00A07568" w:rsidRPr="00A07568" w:rsidRDefault="00A07568" w:rsidP="00A07568">
      <w:pPr>
        <w:tabs>
          <w:tab w:val="left" w:pos="-720"/>
        </w:tabs>
        <w:suppressAutoHyphens/>
        <w:autoSpaceDE w:val="0"/>
        <w:autoSpaceDN w:val="0"/>
        <w:spacing w:after="0" w:line="240" w:lineRule="auto"/>
        <w:ind w:left="0" w:right="0" w:firstLine="0"/>
        <w:jc w:val="left"/>
        <w:rPr>
          <w:color w:val="auto"/>
          <w:spacing w:val="-3"/>
          <w:szCs w:val="24"/>
        </w:rPr>
      </w:pPr>
    </w:p>
    <w:p w14:paraId="27F8276D" w14:textId="77777777" w:rsidR="00A07568" w:rsidRPr="00A07568" w:rsidRDefault="00A07568" w:rsidP="00A07568">
      <w:pPr>
        <w:tabs>
          <w:tab w:val="left" w:pos="-720"/>
        </w:tabs>
        <w:suppressAutoHyphens/>
        <w:autoSpaceDE w:val="0"/>
        <w:autoSpaceDN w:val="0"/>
        <w:spacing w:after="0" w:line="240" w:lineRule="auto"/>
        <w:ind w:left="0" w:right="0" w:firstLine="0"/>
        <w:rPr>
          <w:color w:val="auto"/>
          <w:spacing w:val="-3"/>
          <w:szCs w:val="24"/>
        </w:rPr>
      </w:pPr>
    </w:p>
    <w:p w14:paraId="760D53D7" w14:textId="77777777" w:rsidR="00A07568" w:rsidRPr="00A07568" w:rsidRDefault="00A07568" w:rsidP="00A07568">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Paul Tatarko</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fldChar w:fldCharType="begin"/>
      </w:r>
      <w:r w:rsidRPr="00A07568">
        <w:rPr>
          <w:color w:val="auto"/>
          <w:spacing w:val="-3"/>
          <w:szCs w:val="24"/>
        </w:rPr>
        <w:instrText>fillin "Complainant's name" \d ""</w:instrText>
      </w:r>
      <w:r w:rsidRPr="00A07568">
        <w:rPr>
          <w:color w:val="auto"/>
          <w:spacing w:val="-3"/>
          <w:szCs w:val="24"/>
        </w:rPr>
        <w:fldChar w:fldCharType="end"/>
      </w:r>
      <w:r w:rsidRPr="00A07568">
        <w:rPr>
          <w:color w:val="auto"/>
          <w:spacing w:val="-3"/>
          <w:szCs w:val="24"/>
        </w:rPr>
        <w:t>:</w:t>
      </w:r>
    </w:p>
    <w:p w14:paraId="785657BD" w14:textId="77777777" w:rsidR="00A07568" w:rsidRPr="00A07568" w:rsidRDefault="00A07568" w:rsidP="00A07568">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tab/>
      </w:r>
      <w:r w:rsidRPr="00A07568">
        <w:rPr>
          <w:color w:val="auto"/>
          <w:spacing w:val="-3"/>
          <w:szCs w:val="24"/>
        </w:rPr>
        <w:tab/>
        <w:t>C-2022-3036831</w:t>
      </w:r>
    </w:p>
    <w:p w14:paraId="2370D896" w14:textId="77777777" w:rsidR="00A07568" w:rsidRPr="00A07568" w:rsidRDefault="00A07568" w:rsidP="00A07568">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t>v.</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fldChar w:fldCharType="begin"/>
      </w:r>
      <w:r w:rsidRPr="00A07568">
        <w:rPr>
          <w:color w:val="auto"/>
          <w:spacing w:val="-3"/>
          <w:szCs w:val="24"/>
        </w:rPr>
        <w:instrText>fillin "Docket No." \d ""</w:instrText>
      </w:r>
      <w:r w:rsidRPr="00A07568">
        <w:rPr>
          <w:color w:val="auto"/>
          <w:spacing w:val="-3"/>
          <w:szCs w:val="24"/>
        </w:rPr>
        <w:fldChar w:fldCharType="end"/>
      </w:r>
    </w:p>
    <w:p w14:paraId="3B31ADC3" w14:textId="77777777" w:rsidR="00A07568" w:rsidRPr="00A07568" w:rsidRDefault="00A07568" w:rsidP="00A07568">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p>
    <w:p w14:paraId="7BE3DF50" w14:textId="6FA6DB61" w:rsidR="00A07568" w:rsidRDefault="00A07568" w:rsidP="00A07568">
      <w:pPr>
        <w:tabs>
          <w:tab w:val="left" w:pos="-720"/>
          <w:tab w:val="left" w:pos="5040"/>
        </w:tabs>
        <w:suppressAutoHyphens/>
        <w:autoSpaceDE w:val="0"/>
        <w:autoSpaceDN w:val="0"/>
        <w:spacing w:after="0" w:line="240" w:lineRule="auto"/>
        <w:ind w:left="0" w:right="0" w:firstLine="0"/>
        <w:rPr>
          <w:color w:val="auto"/>
          <w:spacing w:val="-3"/>
          <w:szCs w:val="24"/>
        </w:rPr>
      </w:pPr>
      <w:r w:rsidRPr="00A07568">
        <w:rPr>
          <w:color w:val="auto"/>
          <w:spacing w:val="-3"/>
          <w:szCs w:val="24"/>
        </w:rPr>
        <w:t>Pennsylvania Electric Company</w:t>
      </w:r>
      <w:r w:rsidRPr="00A07568">
        <w:rPr>
          <w:color w:val="auto"/>
          <w:spacing w:val="-3"/>
          <w:szCs w:val="24"/>
        </w:rPr>
        <w:tab/>
        <w:t>:</w:t>
      </w:r>
    </w:p>
    <w:p w14:paraId="6F3B1644" w14:textId="48D21C9F" w:rsidR="00A07568" w:rsidRDefault="00A07568" w:rsidP="00A07568">
      <w:pPr>
        <w:tabs>
          <w:tab w:val="left" w:pos="-720"/>
          <w:tab w:val="left" w:pos="5040"/>
        </w:tabs>
        <w:suppressAutoHyphens/>
        <w:autoSpaceDE w:val="0"/>
        <w:autoSpaceDN w:val="0"/>
        <w:spacing w:after="0" w:line="240" w:lineRule="auto"/>
        <w:ind w:left="0" w:right="0" w:firstLine="0"/>
        <w:rPr>
          <w:color w:val="auto"/>
          <w:spacing w:val="-3"/>
          <w:szCs w:val="24"/>
        </w:rPr>
      </w:pPr>
    </w:p>
    <w:p w14:paraId="3FA0EB95" w14:textId="77777777" w:rsidR="00A07568" w:rsidRPr="00A07568" w:rsidRDefault="00A07568" w:rsidP="00A07568">
      <w:pPr>
        <w:tabs>
          <w:tab w:val="left" w:pos="-720"/>
          <w:tab w:val="left" w:pos="5040"/>
        </w:tabs>
        <w:suppressAutoHyphens/>
        <w:autoSpaceDE w:val="0"/>
        <w:autoSpaceDN w:val="0"/>
        <w:spacing w:after="0" w:line="240" w:lineRule="auto"/>
        <w:ind w:left="0" w:right="0" w:firstLine="0"/>
        <w:rPr>
          <w:color w:val="auto"/>
          <w:spacing w:val="-3"/>
          <w:szCs w:val="24"/>
        </w:rPr>
      </w:pPr>
    </w:p>
    <w:p w14:paraId="489C466A" w14:textId="1B7A9B95" w:rsidR="00F17439" w:rsidRDefault="00F17439" w:rsidP="00A07568">
      <w:pPr>
        <w:spacing w:after="0" w:line="240" w:lineRule="auto"/>
        <w:ind w:right="0"/>
      </w:pPr>
    </w:p>
    <w:p w14:paraId="756C76BC" w14:textId="77777777" w:rsidR="00A07568" w:rsidRDefault="00117EA5" w:rsidP="00A07568">
      <w:pPr>
        <w:spacing w:after="0" w:line="240" w:lineRule="auto"/>
        <w:ind w:left="59" w:right="0" w:firstLine="0"/>
        <w:jc w:val="center"/>
        <w:rPr>
          <w:rFonts w:eastAsia="Calibri"/>
          <w:b/>
          <w:bCs/>
          <w:szCs w:val="24"/>
        </w:rPr>
      </w:pPr>
      <w:r w:rsidRPr="00532B13">
        <w:rPr>
          <w:rFonts w:eastAsia="Calibri"/>
          <w:b/>
          <w:bCs/>
          <w:szCs w:val="24"/>
        </w:rPr>
        <w:t xml:space="preserve">INTERIM ORDER </w:t>
      </w:r>
    </w:p>
    <w:p w14:paraId="65569D12" w14:textId="77777777" w:rsidR="00A07568" w:rsidRDefault="00117EA5" w:rsidP="00A07568">
      <w:pPr>
        <w:spacing w:after="0" w:line="240" w:lineRule="auto"/>
        <w:ind w:left="59" w:right="0" w:firstLine="0"/>
        <w:jc w:val="center"/>
        <w:rPr>
          <w:rFonts w:eastAsia="Calibri"/>
          <w:b/>
          <w:bCs/>
          <w:szCs w:val="24"/>
        </w:rPr>
      </w:pPr>
      <w:r w:rsidRPr="00532B13">
        <w:rPr>
          <w:rFonts w:eastAsia="Calibri"/>
          <w:b/>
          <w:bCs/>
          <w:szCs w:val="24"/>
        </w:rPr>
        <w:t xml:space="preserve">GRANTING </w:t>
      </w:r>
      <w:r>
        <w:rPr>
          <w:rFonts w:eastAsia="Calibri"/>
          <w:b/>
          <w:bCs/>
          <w:szCs w:val="24"/>
        </w:rPr>
        <w:t xml:space="preserve">IN PART AND DENYING IN PART </w:t>
      </w:r>
      <w:r w:rsidRPr="00532B13">
        <w:rPr>
          <w:rFonts w:eastAsia="Calibri"/>
          <w:b/>
          <w:bCs/>
          <w:szCs w:val="24"/>
        </w:rPr>
        <w:t xml:space="preserve">THE </w:t>
      </w:r>
    </w:p>
    <w:p w14:paraId="7279874D" w14:textId="46D4B6DF" w:rsidR="00F17439" w:rsidRDefault="00117EA5" w:rsidP="00A07568">
      <w:pPr>
        <w:spacing w:after="0" w:line="240" w:lineRule="auto"/>
        <w:ind w:left="59" w:right="0" w:firstLine="0"/>
        <w:jc w:val="center"/>
        <w:rPr>
          <w:u w:val="single"/>
        </w:rPr>
      </w:pPr>
      <w:r w:rsidRPr="00A07568">
        <w:rPr>
          <w:rFonts w:eastAsia="Calibri"/>
          <w:b/>
          <w:bCs/>
          <w:szCs w:val="24"/>
          <w:u w:val="single"/>
        </w:rPr>
        <w:t>PRELIMINARY OBJECTIONS OF PENNSYLVANIA ELECTRIC COMPANY</w:t>
      </w:r>
      <w:r w:rsidR="00F17439" w:rsidRPr="00A07568">
        <w:rPr>
          <w:u w:val="single"/>
        </w:rPr>
        <w:t xml:space="preserve"> </w:t>
      </w:r>
    </w:p>
    <w:p w14:paraId="69786219" w14:textId="77777777" w:rsidR="00A07568" w:rsidRPr="00A07568" w:rsidRDefault="00A07568" w:rsidP="00A07568">
      <w:pPr>
        <w:spacing w:after="0" w:line="360" w:lineRule="auto"/>
        <w:ind w:left="0" w:right="0" w:firstLine="1440"/>
        <w:jc w:val="left"/>
        <w:rPr>
          <w:u w:val="single"/>
        </w:rPr>
      </w:pPr>
    </w:p>
    <w:p w14:paraId="1D5D2DD6" w14:textId="0D6E6F30" w:rsidR="00F762A3" w:rsidRDefault="00F17439" w:rsidP="00A07568">
      <w:pPr>
        <w:spacing w:after="0" w:line="360" w:lineRule="auto"/>
        <w:ind w:left="0" w:right="0" w:firstLine="1440"/>
        <w:jc w:val="left"/>
      </w:pPr>
      <w:r>
        <w:t>On or about</w:t>
      </w:r>
      <w:r w:rsidR="004B31FE">
        <w:t xml:space="preserve"> November 9, 2022,</w:t>
      </w:r>
      <w:r>
        <w:t xml:space="preserve"> Paul R. Tatarko (Complainant or Mr. Tatarko) filed a Formal Complaint (Complaint) alleging</w:t>
      </w:r>
      <w:r w:rsidR="004B31FE">
        <w:t xml:space="preserve"> electric service was shut off to 101 Third Avenue, Heilwood, Pennsylvania (Service Address or Service Location) for a period of a few hours on April 27, 2022 and that subsequently there was a power surge and the </w:t>
      </w:r>
      <w:r>
        <w:t>property</w:t>
      </w:r>
      <w:r w:rsidR="004B31FE">
        <w:t xml:space="preserve"> was </w:t>
      </w:r>
      <w:r>
        <w:t>destroyed by fire</w:t>
      </w:r>
      <w:r w:rsidR="004B31FE">
        <w:t xml:space="preserve"> on April 29, 2022</w:t>
      </w:r>
      <w:r>
        <w:t xml:space="preserve">. </w:t>
      </w:r>
      <w:r w:rsidR="00A07568">
        <w:t xml:space="preserve"> </w:t>
      </w:r>
      <w:r>
        <w:t>Complainant seeks reimbursement “for the house that was destroyed and also for rental loss.”</w:t>
      </w:r>
      <w:r>
        <w:rPr>
          <w:rStyle w:val="FootnoteReference"/>
        </w:rPr>
        <w:footnoteReference w:id="1"/>
      </w:r>
      <w:r>
        <w:t xml:space="preserve"> </w:t>
      </w:r>
      <w:r w:rsidR="004B31FE">
        <w:t xml:space="preserve"> </w:t>
      </w:r>
      <w:r w:rsidR="00F762A3">
        <w:t xml:space="preserve">In the instant Formal Complaint, the Complainant requests to be reimbursed for the value of his property and lost rental income.  </w:t>
      </w:r>
    </w:p>
    <w:p w14:paraId="06E45AF6" w14:textId="77777777" w:rsidR="00A07568" w:rsidRDefault="00A07568" w:rsidP="00A07568">
      <w:pPr>
        <w:spacing w:after="0" w:line="360" w:lineRule="auto"/>
        <w:ind w:left="0" w:right="0" w:firstLine="1440"/>
        <w:jc w:val="left"/>
      </w:pPr>
    </w:p>
    <w:p w14:paraId="550B5562" w14:textId="696702D6" w:rsidR="00F17439" w:rsidRDefault="00F17439" w:rsidP="00A07568">
      <w:pPr>
        <w:spacing w:after="0" w:line="360" w:lineRule="auto"/>
        <w:ind w:left="0" w:right="0" w:firstLine="1440"/>
        <w:jc w:val="left"/>
      </w:pPr>
      <w:r>
        <w:t xml:space="preserve">Pennsylvania Electric Company (Respondent, Penelec or Company) filed an Answer and New Matter and Preliminary Objections on </w:t>
      </w:r>
      <w:r w:rsidR="004B167E">
        <w:t>December 7, 2022</w:t>
      </w:r>
      <w:r>
        <w:t>, denying that an alleged planned outage on April 27, 2022, to transfer its facilities to a newly installed pole resulted in a surge on April 29, 2022</w:t>
      </w:r>
      <w:r w:rsidR="00885F65">
        <w:t xml:space="preserve"> that </w:t>
      </w:r>
      <w:r>
        <w:t xml:space="preserve">caused a structural fire at Complainant’s property.   </w:t>
      </w:r>
    </w:p>
    <w:p w14:paraId="2FE4B35F" w14:textId="77777777" w:rsidR="00A07568" w:rsidRDefault="00A07568" w:rsidP="00A07568">
      <w:pPr>
        <w:spacing w:after="0" w:line="360" w:lineRule="auto"/>
        <w:ind w:left="0" w:right="0" w:firstLine="1440"/>
        <w:jc w:val="left"/>
      </w:pPr>
    </w:p>
    <w:p w14:paraId="2ED7712F" w14:textId="03F73E17" w:rsidR="00F17439" w:rsidRDefault="00F17439" w:rsidP="00A07568">
      <w:pPr>
        <w:spacing w:after="0" w:line="360" w:lineRule="auto"/>
        <w:ind w:left="0" w:right="0" w:firstLine="1440"/>
        <w:jc w:val="left"/>
      </w:pPr>
      <w:r>
        <w:t xml:space="preserve">On </w:t>
      </w:r>
      <w:r w:rsidR="00885F65">
        <w:t xml:space="preserve">January 10, 2023, </w:t>
      </w:r>
      <w:r>
        <w:t>this matter was assigned to the undersigned presiding officer</w:t>
      </w:r>
      <w:r w:rsidR="0001504F">
        <w:t>.</w:t>
      </w:r>
      <w:r>
        <w:t xml:space="preserve"> </w:t>
      </w:r>
    </w:p>
    <w:p w14:paraId="74EB32D8" w14:textId="3BA984E5" w:rsidR="002D4595" w:rsidRDefault="002D4595" w:rsidP="00A07568">
      <w:pPr>
        <w:spacing w:after="0" w:line="360" w:lineRule="auto"/>
        <w:ind w:left="0" w:right="0" w:firstLine="1440"/>
        <w:jc w:val="left"/>
      </w:pPr>
    </w:p>
    <w:p w14:paraId="715C1C2E" w14:textId="77777777" w:rsidR="00A07568" w:rsidRDefault="00A07568" w:rsidP="00A07568">
      <w:pPr>
        <w:spacing w:after="0" w:line="360" w:lineRule="auto"/>
        <w:ind w:left="0" w:right="0" w:firstLine="1440"/>
        <w:jc w:val="left"/>
      </w:pPr>
    </w:p>
    <w:p w14:paraId="69569EBC" w14:textId="5F0104F3" w:rsidR="004B167E" w:rsidRDefault="002D4595" w:rsidP="00A07568">
      <w:pPr>
        <w:spacing w:after="0" w:line="360" w:lineRule="auto"/>
        <w:ind w:left="0" w:right="0" w:firstLine="1440"/>
        <w:jc w:val="left"/>
      </w:pPr>
      <w:r>
        <w:lastRenderedPageBreak/>
        <w:t xml:space="preserve">In its preliminary objections, Respondent averred </w:t>
      </w:r>
      <w:r w:rsidR="004B167E">
        <w:t xml:space="preserve">that the subject of the Formal Complaint is beyond the jurisdiction of the Pennsylvania Public Utility Commission (Commission) who is without authorization to grant the Complainant’s request for damages, and that the Complaint includes an impertinent matter in its requested relief.  Accordingly, the Respondent requests that the Commission grant its Preliminary Objections and strike the Complainant’s requests for monetary damages; expressly prohibit the Complainant from introducing any testimony or exhibits at any evidentiary hearing regarding alleged damages; and grant the Company such other relief as may be just and reasonable under the circumstances.  </w:t>
      </w:r>
    </w:p>
    <w:p w14:paraId="3B148CE1" w14:textId="4F8C78BB" w:rsidR="004B167E" w:rsidRDefault="004B167E" w:rsidP="00A07568">
      <w:pPr>
        <w:spacing w:after="0" w:line="360" w:lineRule="auto"/>
        <w:ind w:left="0" w:right="0" w:firstLine="1440"/>
        <w:jc w:val="left"/>
      </w:pPr>
      <w:r>
        <w:t xml:space="preserve"> </w:t>
      </w:r>
    </w:p>
    <w:p w14:paraId="3ECE5845" w14:textId="77777777" w:rsidR="004B167E" w:rsidRDefault="004B167E" w:rsidP="00A07568">
      <w:pPr>
        <w:spacing w:after="0" w:line="360" w:lineRule="auto"/>
        <w:ind w:left="0" w:right="0" w:firstLine="1440"/>
        <w:jc w:val="left"/>
      </w:pPr>
      <w:r>
        <w:t xml:space="preserve">Respondent argues that requested relief sought through the Formal Complaint is an award of monetary damages from the Company. </w:t>
      </w:r>
    </w:p>
    <w:p w14:paraId="0D1D2E01" w14:textId="77777777" w:rsidR="004B167E" w:rsidRDefault="004B167E" w:rsidP="00A07568">
      <w:pPr>
        <w:spacing w:after="0" w:line="360" w:lineRule="auto"/>
        <w:ind w:left="0" w:right="0" w:firstLine="1440"/>
        <w:jc w:val="left"/>
      </w:pPr>
      <w:r>
        <w:t xml:space="preserve"> </w:t>
      </w:r>
    </w:p>
    <w:p w14:paraId="31D4806D" w14:textId="3A0C34B9" w:rsidR="004B167E" w:rsidRDefault="004B167E" w:rsidP="00A07568">
      <w:pPr>
        <w:spacing w:after="0" w:line="360" w:lineRule="auto"/>
        <w:ind w:left="0" w:right="0" w:firstLine="1440"/>
        <w:jc w:val="left"/>
      </w:pPr>
      <w:r>
        <w:t xml:space="preserve">Respondent argues that the Court of Common Pleas retains original jurisdiction over suits for monetary damages and that a prayer for damages, which is not legally recoverable in the cause of action, is “impertinent matter” in the sense that it is irrelevant to that cause of action, and is correctly challenged through a motion to strike the requested relief as impertinent matter.  </w:t>
      </w:r>
    </w:p>
    <w:p w14:paraId="404FABFE" w14:textId="77777777" w:rsidR="004B167E" w:rsidRDefault="004B167E" w:rsidP="00A07568">
      <w:pPr>
        <w:spacing w:after="0" w:line="360" w:lineRule="auto"/>
        <w:ind w:left="0" w:right="0" w:firstLine="1440"/>
        <w:jc w:val="left"/>
      </w:pPr>
    </w:p>
    <w:p w14:paraId="4B85F34F" w14:textId="3EF19C0D" w:rsidR="004B167E" w:rsidRDefault="004B167E" w:rsidP="00A07568">
      <w:pPr>
        <w:spacing w:after="0" w:line="360" w:lineRule="auto"/>
        <w:ind w:left="0" w:right="0" w:firstLine="1440"/>
        <w:jc w:val="left"/>
      </w:pPr>
      <w:r>
        <w:t xml:space="preserve">Respondent argues the Complainant’s requested relief of damages is irrelevant to the instant cause of action and therefore an “impertinent matter.”  </w:t>
      </w:r>
    </w:p>
    <w:p w14:paraId="2438AB83" w14:textId="77777777" w:rsidR="004301F2" w:rsidRDefault="004301F2" w:rsidP="00A07568">
      <w:pPr>
        <w:spacing w:after="0" w:line="360" w:lineRule="auto"/>
        <w:ind w:left="0" w:right="0" w:firstLine="1440"/>
        <w:jc w:val="left"/>
      </w:pPr>
    </w:p>
    <w:p w14:paraId="3B81CA0F" w14:textId="75B20C7D" w:rsidR="00F17439" w:rsidRDefault="00F17439" w:rsidP="00A07568">
      <w:pPr>
        <w:spacing w:after="0" w:line="360" w:lineRule="auto"/>
        <w:ind w:left="0" w:right="0" w:firstLine="1440"/>
        <w:jc w:val="left"/>
      </w:pPr>
      <w:r>
        <w:t xml:space="preserve">The Commission’s Rules of Practice and Procedure permit parties to file preliminary objections. </w:t>
      </w:r>
      <w:r w:rsidR="00A07568">
        <w:t xml:space="preserve"> </w:t>
      </w:r>
      <w:r>
        <w:t xml:space="preserve">The grounds for preliminary objections are limited to those set forth in 52 Pa. Code § 5.101(a) as follows: </w:t>
      </w:r>
    </w:p>
    <w:p w14:paraId="25A1F203" w14:textId="77777777" w:rsidR="00A07568" w:rsidRDefault="00A07568" w:rsidP="00A07568">
      <w:pPr>
        <w:spacing w:after="0" w:line="360" w:lineRule="auto"/>
        <w:ind w:left="0" w:right="0" w:firstLine="1440"/>
        <w:jc w:val="left"/>
      </w:pPr>
    </w:p>
    <w:p w14:paraId="7D316328" w14:textId="77777777" w:rsidR="00F17439" w:rsidRDefault="00F17439" w:rsidP="00F17439">
      <w:pPr>
        <w:numPr>
          <w:ilvl w:val="2"/>
          <w:numId w:val="1"/>
        </w:numPr>
        <w:spacing w:after="114" w:line="279" w:lineRule="auto"/>
        <w:ind w:right="376" w:hanging="719"/>
      </w:pPr>
      <w:r>
        <w:t xml:space="preserve">Lack of Commission jurisdiction or improper service of the pleading initiating the proceeding. </w:t>
      </w:r>
    </w:p>
    <w:p w14:paraId="6AB60132" w14:textId="77777777" w:rsidR="00F17439" w:rsidRDefault="00F17439" w:rsidP="00F17439">
      <w:pPr>
        <w:numPr>
          <w:ilvl w:val="2"/>
          <w:numId w:val="1"/>
        </w:numPr>
        <w:spacing w:line="274" w:lineRule="auto"/>
        <w:ind w:right="376" w:hanging="719"/>
      </w:pPr>
      <w:r>
        <w:t xml:space="preserve">Failure of a pleading to conform to this chapter or the inclusion of scandalous or impertinent matter. </w:t>
      </w:r>
    </w:p>
    <w:p w14:paraId="6358CB2E" w14:textId="77777777" w:rsidR="00F17439" w:rsidRDefault="00F17439" w:rsidP="00F17439">
      <w:pPr>
        <w:numPr>
          <w:ilvl w:val="2"/>
          <w:numId w:val="1"/>
        </w:numPr>
        <w:spacing w:after="173" w:line="259" w:lineRule="auto"/>
        <w:ind w:right="376" w:hanging="719"/>
      </w:pPr>
      <w:r>
        <w:t xml:space="preserve">Insufficient specificity of a pleading. </w:t>
      </w:r>
    </w:p>
    <w:p w14:paraId="607792C1" w14:textId="77777777" w:rsidR="00F17439" w:rsidRDefault="00F17439" w:rsidP="00F17439">
      <w:pPr>
        <w:numPr>
          <w:ilvl w:val="2"/>
          <w:numId w:val="1"/>
        </w:numPr>
        <w:spacing w:after="143" w:line="259" w:lineRule="auto"/>
        <w:ind w:right="376" w:hanging="719"/>
      </w:pPr>
      <w:r>
        <w:t xml:space="preserve">Legal insufficiency of a pleading. </w:t>
      </w:r>
    </w:p>
    <w:p w14:paraId="6645D74B" w14:textId="77777777" w:rsidR="00F17439" w:rsidRDefault="00F17439" w:rsidP="00F17439">
      <w:pPr>
        <w:numPr>
          <w:ilvl w:val="2"/>
          <w:numId w:val="1"/>
        </w:numPr>
        <w:spacing w:after="118" w:line="276" w:lineRule="auto"/>
        <w:ind w:right="376" w:hanging="719"/>
      </w:pPr>
      <w:r>
        <w:lastRenderedPageBreak/>
        <w:t xml:space="preserve">Lack of capacity to sue, nonjoinder of a necessary party or misjoinder of a cause of action. </w:t>
      </w:r>
    </w:p>
    <w:p w14:paraId="206148A4" w14:textId="77777777" w:rsidR="00F17439" w:rsidRDefault="00F17439" w:rsidP="00F17439">
      <w:pPr>
        <w:numPr>
          <w:ilvl w:val="2"/>
          <w:numId w:val="1"/>
        </w:numPr>
        <w:spacing w:after="149" w:line="274" w:lineRule="auto"/>
        <w:ind w:right="376" w:hanging="719"/>
      </w:pPr>
      <w:r>
        <w:t xml:space="preserve">Pendency of a prior proceeding or agreement for alternative dispute resolution. </w:t>
      </w:r>
    </w:p>
    <w:p w14:paraId="4F2C80BD" w14:textId="77777777" w:rsidR="00F17439" w:rsidRDefault="00F17439" w:rsidP="00F17439">
      <w:pPr>
        <w:numPr>
          <w:ilvl w:val="2"/>
          <w:numId w:val="1"/>
        </w:numPr>
        <w:spacing w:after="146" w:line="259" w:lineRule="auto"/>
        <w:ind w:right="376" w:hanging="719"/>
      </w:pPr>
      <w:r>
        <w:t xml:space="preserve">Standing of a party to participate in the proceeding. </w:t>
      </w:r>
    </w:p>
    <w:p w14:paraId="79539F3C" w14:textId="77777777" w:rsidR="00F17439" w:rsidRDefault="00F17439" w:rsidP="00A07568">
      <w:pPr>
        <w:spacing w:after="0" w:line="360" w:lineRule="auto"/>
        <w:ind w:left="0" w:right="0" w:firstLine="1440"/>
        <w:jc w:val="left"/>
      </w:pPr>
      <w:r>
        <w:t xml:space="preserve"> </w:t>
      </w:r>
    </w:p>
    <w:p w14:paraId="5618B557" w14:textId="646549D5" w:rsidR="00F17439" w:rsidRDefault="00F17439" w:rsidP="00A07568">
      <w:pPr>
        <w:spacing w:after="0" w:line="360" w:lineRule="auto"/>
        <w:ind w:left="0" w:right="0" w:firstLine="1440"/>
        <w:jc w:val="left"/>
      </w:pPr>
      <w:r>
        <w:t>Commission’s procedure regarding the disposition of preliminary objections is similar to that utilized in Pennsylvania civil practice.</w:t>
      </w:r>
      <w:r w:rsidR="00906652">
        <w:rPr>
          <w:rStyle w:val="FootnoteReference"/>
        </w:rPr>
        <w:footnoteReference w:id="2"/>
      </w:r>
      <w:r>
        <w:t xml:space="preserve"> </w:t>
      </w:r>
      <w:r w:rsidR="00A07568">
        <w:t xml:space="preserve"> </w:t>
      </w:r>
      <w:r w:rsidR="00F762A3">
        <w:t xml:space="preserve">Respondent argues </w:t>
      </w:r>
      <w:r>
        <w:t xml:space="preserve">that requested relief sought through the Formal Complaint is an award of monetary damages from the Company. </w:t>
      </w:r>
    </w:p>
    <w:p w14:paraId="4A00442D" w14:textId="77777777" w:rsidR="00982502" w:rsidRDefault="00982502" w:rsidP="00A07568">
      <w:pPr>
        <w:tabs>
          <w:tab w:val="center" w:pos="1628"/>
        </w:tabs>
        <w:spacing w:after="0" w:line="360" w:lineRule="auto"/>
        <w:ind w:left="0" w:right="0" w:firstLine="1440"/>
        <w:jc w:val="left"/>
      </w:pPr>
    </w:p>
    <w:p w14:paraId="75943B47" w14:textId="314714EA" w:rsidR="00F17439" w:rsidRDefault="00906652" w:rsidP="00A07568">
      <w:pPr>
        <w:tabs>
          <w:tab w:val="center" w:pos="1628"/>
        </w:tabs>
        <w:spacing w:after="0" w:line="360" w:lineRule="auto"/>
        <w:ind w:left="0" w:right="0" w:firstLine="1440"/>
        <w:jc w:val="left"/>
      </w:pPr>
      <w:r w:rsidRPr="00906652">
        <w:rPr>
          <w:u w:color="000000"/>
        </w:rPr>
        <w:t xml:space="preserve">Additionally, </w:t>
      </w:r>
      <w:r>
        <w:rPr>
          <w:u w:val="single" w:color="000000"/>
        </w:rPr>
        <w:t>t</w:t>
      </w:r>
      <w:r w:rsidR="00F17439">
        <w:t>he Commission’s procedural regulations allow a party to object to pleadings that fail to comply with the rules of administrative practice or that include scandalous or impertinent matters.</w:t>
      </w:r>
      <w:r w:rsidR="00A07568">
        <w:t xml:space="preserve"> </w:t>
      </w:r>
      <w:r w:rsidR="00F17439">
        <w:t xml:space="preserve"> See 52 Pa. Code § 5.102(a)(2). </w:t>
      </w:r>
    </w:p>
    <w:p w14:paraId="0EFA1839" w14:textId="77777777" w:rsidR="00A07568" w:rsidRDefault="00A07568" w:rsidP="00A07568">
      <w:pPr>
        <w:tabs>
          <w:tab w:val="center" w:pos="1628"/>
        </w:tabs>
        <w:spacing w:after="0" w:line="360" w:lineRule="auto"/>
        <w:ind w:left="0" w:right="0" w:firstLine="1440"/>
        <w:jc w:val="left"/>
      </w:pPr>
    </w:p>
    <w:p w14:paraId="52B2FC97" w14:textId="3D0A5B74" w:rsidR="00F17439" w:rsidRDefault="00982502" w:rsidP="00A07568">
      <w:pPr>
        <w:spacing w:after="0" w:line="360" w:lineRule="auto"/>
        <w:ind w:left="0" w:right="0" w:firstLine="1440"/>
        <w:jc w:val="left"/>
      </w:pPr>
      <w:r>
        <w:t xml:space="preserve">It </w:t>
      </w:r>
      <w:r w:rsidR="00F17439">
        <w:t>is well-established under Pennsylvania law that the enforcement powers of the Commission do not include the power to award money damages.</w:t>
      </w:r>
      <w:r w:rsidR="00906652">
        <w:rPr>
          <w:rStyle w:val="FootnoteReference"/>
        </w:rPr>
        <w:footnoteReference w:id="3"/>
      </w:r>
      <w:r w:rsidR="00F17439">
        <w:t xml:space="preserve"> </w:t>
      </w:r>
    </w:p>
    <w:p w14:paraId="1F7AC57E" w14:textId="77777777" w:rsidR="00982502" w:rsidRDefault="00982502" w:rsidP="00A07568">
      <w:pPr>
        <w:spacing w:after="0" w:line="360" w:lineRule="auto"/>
        <w:ind w:left="0" w:right="0" w:firstLine="1440"/>
        <w:jc w:val="left"/>
      </w:pPr>
    </w:p>
    <w:p w14:paraId="379118FA" w14:textId="2B84843E" w:rsidR="00F17439" w:rsidRDefault="00F17439" w:rsidP="00A07568">
      <w:pPr>
        <w:spacing w:line="259" w:lineRule="auto"/>
        <w:ind w:right="0" w:firstLine="1430"/>
      </w:pPr>
      <w:r>
        <w:t xml:space="preserve">In Feingold, the Pennsylvania Supreme Court explained: </w:t>
      </w:r>
    </w:p>
    <w:p w14:paraId="15D21AD7" w14:textId="77777777" w:rsidR="00A07568" w:rsidRDefault="00A07568" w:rsidP="00982502">
      <w:pPr>
        <w:spacing w:line="259" w:lineRule="auto"/>
        <w:ind w:right="0"/>
      </w:pPr>
    </w:p>
    <w:p w14:paraId="54780CC8" w14:textId="0D0D36FD" w:rsidR="00F17439" w:rsidRDefault="00F17439" w:rsidP="00F17439">
      <w:pPr>
        <w:spacing w:after="201" w:line="274" w:lineRule="auto"/>
        <w:ind w:left="1450" w:right="1448"/>
      </w:pPr>
      <w:r>
        <w:t xml:space="preserve">. . .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 </w:t>
      </w:r>
      <w:r w:rsidR="00906652">
        <w:rPr>
          <w:rStyle w:val="FootnoteReference"/>
        </w:rPr>
        <w:footnoteReference w:id="4"/>
      </w:r>
    </w:p>
    <w:p w14:paraId="4F033A56" w14:textId="77777777" w:rsidR="00A07568" w:rsidRDefault="00A07568" w:rsidP="00F17439">
      <w:pPr>
        <w:spacing w:after="201" w:line="274" w:lineRule="auto"/>
        <w:ind w:left="1450" w:right="1448"/>
      </w:pPr>
    </w:p>
    <w:p w14:paraId="3AAFDE8D" w14:textId="2B7FF390" w:rsidR="00F17439" w:rsidRDefault="00F17439" w:rsidP="00A07568">
      <w:pPr>
        <w:spacing w:after="0" w:line="360" w:lineRule="auto"/>
        <w:ind w:right="0" w:firstLine="1430"/>
        <w:jc w:val="left"/>
      </w:pPr>
      <w:r>
        <w:lastRenderedPageBreak/>
        <w:t>The Court of Common Pleas retains original jurisdiction over suits for monetary damages.</w:t>
      </w:r>
      <w:r w:rsidR="00906652">
        <w:rPr>
          <w:rStyle w:val="FootnoteReference"/>
        </w:rPr>
        <w:footnoteReference w:id="5"/>
      </w:r>
      <w:r>
        <w:t xml:space="preserve"> </w:t>
      </w:r>
    </w:p>
    <w:p w14:paraId="66AF9F45" w14:textId="77777777" w:rsidR="00A07568" w:rsidRDefault="00A07568" w:rsidP="00A07568">
      <w:pPr>
        <w:spacing w:after="0" w:line="360" w:lineRule="auto"/>
        <w:ind w:right="0" w:firstLine="1430"/>
        <w:jc w:val="left"/>
      </w:pPr>
    </w:p>
    <w:p w14:paraId="07F9AA0F" w14:textId="18D86481" w:rsidR="00F17439" w:rsidRDefault="00F17439" w:rsidP="00A07568">
      <w:pPr>
        <w:spacing w:after="0" w:line="360" w:lineRule="auto"/>
        <w:ind w:right="0" w:firstLine="1430"/>
        <w:jc w:val="left"/>
      </w:pPr>
      <w:r>
        <w:t xml:space="preserve">A prayer for damages, which </w:t>
      </w:r>
      <w:r w:rsidR="00982502">
        <w:t>is</w:t>
      </w:r>
      <w:r>
        <w:t xml:space="preserve"> not legally recoverable in the cause of action, is “impertinent matter” in the sense that it is irrelevant to that cause of action, and is correctly challenged through a motion to strike the requested relief as impertinent matter.</w:t>
      </w:r>
      <w:r w:rsidR="00906652">
        <w:rPr>
          <w:rStyle w:val="FootnoteReference"/>
        </w:rPr>
        <w:footnoteReference w:id="6"/>
      </w:r>
      <w:r>
        <w:t xml:space="preserve">  </w:t>
      </w:r>
    </w:p>
    <w:p w14:paraId="7F320C80" w14:textId="77777777" w:rsidR="00982502" w:rsidRDefault="00982502" w:rsidP="00A07568">
      <w:pPr>
        <w:spacing w:after="0" w:line="360" w:lineRule="auto"/>
        <w:ind w:right="0" w:firstLine="1430"/>
        <w:jc w:val="left"/>
      </w:pPr>
    </w:p>
    <w:p w14:paraId="0FFDA4F8" w14:textId="43F73ED3" w:rsidR="00F17439" w:rsidRDefault="00F17439" w:rsidP="00A07568">
      <w:pPr>
        <w:spacing w:after="0" w:line="360" w:lineRule="auto"/>
        <w:ind w:right="0" w:firstLine="1430"/>
        <w:jc w:val="left"/>
      </w:pPr>
      <w:r>
        <w:t xml:space="preserve">The Complainant’s requested relief of damages is irrelevant to the instant cause of action and therefore an “impertinent matter.”  </w:t>
      </w:r>
    </w:p>
    <w:p w14:paraId="0C89D6C4" w14:textId="77777777" w:rsidR="00982502" w:rsidRDefault="00982502" w:rsidP="00A07568">
      <w:pPr>
        <w:spacing w:after="0" w:line="360" w:lineRule="auto"/>
        <w:ind w:right="0" w:firstLine="1430"/>
        <w:jc w:val="left"/>
      </w:pPr>
    </w:p>
    <w:p w14:paraId="463F2892" w14:textId="7D3BC23A" w:rsidR="00906652" w:rsidRDefault="00906652" w:rsidP="00A07568">
      <w:pPr>
        <w:spacing w:after="0" w:line="360" w:lineRule="auto"/>
        <w:ind w:right="0" w:firstLine="1430"/>
        <w:jc w:val="left"/>
      </w:pPr>
      <w:r>
        <w:t xml:space="preserve">Additionally, </w:t>
      </w:r>
      <w:r w:rsidR="00F17439">
        <w:t xml:space="preserve">in accordance with Pennsylvania law, this Commission does not have the power to award monetary damages and the Complainant’s request for money damages is an impertinent matter that must be stricken within the use and meaning of Commission regulation at 52 Pa. Code § 5.101(a)(2). </w:t>
      </w:r>
    </w:p>
    <w:p w14:paraId="3C7E3AD2" w14:textId="77777777" w:rsidR="00906652" w:rsidRDefault="00906652" w:rsidP="00A07568">
      <w:pPr>
        <w:spacing w:after="0" w:line="360" w:lineRule="auto"/>
        <w:ind w:right="0" w:firstLine="1430"/>
        <w:jc w:val="left"/>
      </w:pPr>
    </w:p>
    <w:p w14:paraId="3FC0EB66" w14:textId="4527D962" w:rsidR="00117EA5" w:rsidRDefault="00117EA5" w:rsidP="00A07568">
      <w:pPr>
        <w:spacing w:after="0" w:line="360" w:lineRule="auto"/>
        <w:ind w:right="0" w:firstLine="1430"/>
        <w:jc w:val="left"/>
        <w:rPr>
          <w:szCs w:val="24"/>
        </w:rPr>
      </w:pPr>
      <w:r>
        <w:rPr>
          <w:szCs w:val="24"/>
        </w:rPr>
        <w:t>U</w:t>
      </w:r>
      <w:r w:rsidRPr="00532B13">
        <w:rPr>
          <w:szCs w:val="24"/>
        </w:rPr>
        <w:t>nder Pennsylvania law, this Commission does not have jurisdiction to hear and award money damages and accordingly, Complainant</w:t>
      </w:r>
      <w:r>
        <w:rPr>
          <w:szCs w:val="24"/>
        </w:rPr>
        <w:t>’s request for r</w:t>
      </w:r>
      <w:r w:rsidRPr="00532B13">
        <w:rPr>
          <w:szCs w:val="24"/>
        </w:rPr>
        <w:t>elief</w:t>
      </w:r>
      <w:r>
        <w:rPr>
          <w:szCs w:val="24"/>
        </w:rPr>
        <w:t xml:space="preserve">, to the extent that it requests </w:t>
      </w:r>
      <w:r w:rsidRPr="00532B13">
        <w:rPr>
          <w:szCs w:val="24"/>
        </w:rPr>
        <w:t xml:space="preserve">money damages will be dismissed.  </w:t>
      </w:r>
    </w:p>
    <w:p w14:paraId="470F8C3B" w14:textId="77777777" w:rsidR="00A07568" w:rsidRPr="00532B13" w:rsidRDefault="00A07568" w:rsidP="00A07568">
      <w:pPr>
        <w:spacing w:after="0" w:line="360" w:lineRule="auto"/>
        <w:ind w:right="0" w:firstLine="1430"/>
        <w:jc w:val="left"/>
        <w:rPr>
          <w:szCs w:val="24"/>
        </w:rPr>
      </w:pPr>
    </w:p>
    <w:p w14:paraId="67138603" w14:textId="3A838C4D" w:rsidR="00117EA5" w:rsidRPr="00532B13" w:rsidRDefault="00117EA5" w:rsidP="00A07568">
      <w:pPr>
        <w:spacing w:after="0" w:line="360" w:lineRule="auto"/>
        <w:ind w:right="0" w:firstLine="1430"/>
        <w:jc w:val="left"/>
        <w:rPr>
          <w:szCs w:val="24"/>
        </w:rPr>
      </w:pPr>
      <w:r w:rsidRPr="00532B13">
        <w:rPr>
          <w:szCs w:val="24"/>
        </w:rPr>
        <w:t xml:space="preserve">The Commission lacks the jurisdiction to award Complainant money damages related to the averments set forth in </w:t>
      </w:r>
      <w:r>
        <w:rPr>
          <w:szCs w:val="24"/>
        </w:rPr>
        <w:t xml:space="preserve">the </w:t>
      </w:r>
      <w:r w:rsidRPr="00532B13">
        <w:rPr>
          <w:szCs w:val="24"/>
        </w:rPr>
        <w:t>formal complaint</w:t>
      </w:r>
      <w:r>
        <w:rPr>
          <w:szCs w:val="24"/>
        </w:rPr>
        <w:t xml:space="preserve"> and in the prayer for relief filed in this proceeding.  </w:t>
      </w:r>
      <w:r w:rsidRPr="00532B13">
        <w:rPr>
          <w:szCs w:val="24"/>
        </w:rPr>
        <w:t>This point has been well-settled in numerous decisions.</w:t>
      </w:r>
      <w:r w:rsidRPr="00532B13">
        <w:rPr>
          <w:szCs w:val="24"/>
          <w:vertAlign w:val="superscript"/>
        </w:rPr>
        <w:footnoteReference w:id="7"/>
      </w:r>
      <w:r w:rsidRPr="00532B13">
        <w:rPr>
          <w:szCs w:val="24"/>
        </w:rPr>
        <w:t xml:space="preserve">  However, the Commission retains the jurisdiction to rule on any service and safety issues and may order other relief as appropriate.</w:t>
      </w:r>
      <w:r w:rsidRPr="00532B13">
        <w:rPr>
          <w:szCs w:val="24"/>
          <w:vertAlign w:val="superscript"/>
        </w:rPr>
        <w:footnoteReference w:id="8"/>
      </w:r>
      <w:r w:rsidRPr="00532B13">
        <w:rPr>
          <w:szCs w:val="24"/>
        </w:rPr>
        <w:t xml:space="preserve">  The Commission has broad powers to supervise and regulate all public utilities </w:t>
      </w:r>
      <w:r w:rsidRPr="00532B13">
        <w:rPr>
          <w:szCs w:val="24"/>
        </w:rPr>
        <w:lastRenderedPageBreak/>
        <w:t>doing business within the Commonwealth and is empowered to determine whether a public utility is providing safe, adequate and reasonable service.</w:t>
      </w:r>
      <w:r w:rsidRPr="00532B13">
        <w:rPr>
          <w:szCs w:val="24"/>
          <w:vertAlign w:val="superscript"/>
        </w:rPr>
        <w:footnoteReference w:id="9"/>
      </w:r>
      <w:r w:rsidRPr="00532B13">
        <w:rPr>
          <w:szCs w:val="24"/>
        </w:rPr>
        <w:t xml:space="preserve">  The Commission may impose civil penalties upon a utility which is found to be in violation of a statute, regulation or order of the Commission.</w:t>
      </w:r>
      <w:r w:rsidRPr="00532B13">
        <w:rPr>
          <w:szCs w:val="24"/>
          <w:vertAlign w:val="superscript"/>
        </w:rPr>
        <w:footnoteReference w:id="10"/>
      </w:r>
      <w:r w:rsidRPr="00532B13">
        <w:rPr>
          <w:szCs w:val="24"/>
        </w:rPr>
        <w:t xml:space="preserve">  Utility service is not limited to the provision of service and includes “any and all acts” related to that function.</w:t>
      </w:r>
      <w:r w:rsidRPr="00532B13">
        <w:rPr>
          <w:szCs w:val="24"/>
          <w:vertAlign w:val="superscript"/>
        </w:rPr>
        <w:footnoteReference w:id="11"/>
      </w:r>
      <w:r w:rsidRPr="00532B13">
        <w:rPr>
          <w:szCs w:val="24"/>
        </w:rPr>
        <w:t xml:space="preserve">    </w:t>
      </w:r>
    </w:p>
    <w:p w14:paraId="730918BF" w14:textId="77777777" w:rsidR="00117EA5" w:rsidRPr="00532B13" w:rsidRDefault="00117EA5" w:rsidP="00A07568">
      <w:pPr>
        <w:spacing w:after="0" w:line="360" w:lineRule="auto"/>
        <w:ind w:right="0" w:firstLine="1430"/>
        <w:jc w:val="left"/>
        <w:rPr>
          <w:szCs w:val="24"/>
        </w:rPr>
      </w:pPr>
    </w:p>
    <w:p w14:paraId="3F075AA9" w14:textId="77777777" w:rsidR="00117EA5" w:rsidRPr="00532B13" w:rsidRDefault="00117EA5" w:rsidP="00A07568">
      <w:pPr>
        <w:spacing w:after="0" w:line="360" w:lineRule="auto"/>
        <w:ind w:right="0" w:firstLine="1430"/>
        <w:jc w:val="left"/>
        <w:rPr>
          <w:szCs w:val="24"/>
        </w:rPr>
      </w:pPr>
      <w:r w:rsidRPr="00532B13">
        <w:rPr>
          <w:szCs w:val="24"/>
        </w:rPr>
        <w:tab/>
        <w:t>To the extent that Complainant is asserting a service related complaint against Respondent,</w:t>
      </w:r>
      <w:r>
        <w:rPr>
          <w:szCs w:val="24"/>
        </w:rPr>
        <w:t xml:space="preserve"> Complainant may attempt to introduce testimony and exhibits at the evidentiary hearing in this case regarding alleged </w:t>
      </w:r>
      <w:r w:rsidRPr="00532B13">
        <w:rPr>
          <w:szCs w:val="24"/>
        </w:rPr>
        <w:t xml:space="preserve">damages </w:t>
      </w:r>
      <w:r>
        <w:rPr>
          <w:szCs w:val="24"/>
        </w:rPr>
        <w:t>sustained relative to the alleged incident and</w:t>
      </w:r>
      <w:r w:rsidRPr="00532B13">
        <w:rPr>
          <w:szCs w:val="24"/>
        </w:rPr>
        <w:t xml:space="preserve"> with respect to the alleged actions or failure to act by Respondent</w:t>
      </w:r>
      <w:r>
        <w:rPr>
          <w:szCs w:val="24"/>
        </w:rPr>
        <w:t xml:space="preserve"> or its agents</w:t>
      </w:r>
      <w:r w:rsidRPr="00532B13">
        <w:rPr>
          <w:szCs w:val="24"/>
        </w:rPr>
        <w:t>, as it relates to service and/or safety issues.</w:t>
      </w:r>
    </w:p>
    <w:p w14:paraId="182DE83A" w14:textId="77777777" w:rsidR="00117EA5" w:rsidRPr="00532B13" w:rsidRDefault="00117EA5" w:rsidP="00A07568">
      <w:pPr>
        <w:spacing w:after="0" w:line="360" w:lineRule="auto"/>
        <w:ind w:right="0" w:firstLine="1430"/>
        <w:jc w:val="left"/>
        <w:rPr>
          <w:szCs w:val="24"/>
        </w:rPr>
      </w:pPr>
    </w:p>
    <w:p w14:paraId="3432C2F3" w14:textId="7E009922" w:rsidR="00117EA5" w:rsidRPr="00532B13" w:rsidRDefault="00117EA5" w:rsidP="00A07568">
      <w:pPr>
        <w:spacing w:after="0" w:line="360" w:lineRule="auto"/>
        <w:ind w:right="0" w:firstLine="1430"/>
        <w:jc w:val="left"/>
        <w:rPr>
          <w:szCs w:val="24"/>
        </w:rPr>
      </w:pPr>
      <w:r w:rsidRPr="00532B13">
        <w:rPr>
          <w:szCs w:val="24"/>
        </w:rPr>
        <w:t>Accordingly, the request to dismiss Complainant’s claim for the award of money damages is granted, however, any Complainant will be permitted to introduce any admissible evidence as it relates to alleged service related conduct of the Respondent</w:t>
      </w:r>
      <w:r>
        <w:rPr>
          <w:szCs w:val="24"/>
        </w:rPr>
        <w:t xml:space="preserve"> and damages sustained thereby.</w:t>
      </w:r>
      <w:r w:rsidRPr="00532B13">
        <w:rPr>
          <w:szCs w:val="24"/>
        </w:rPr>
        <w:t xml:space="preserve">  </w:t>
      </w:r>
    </w:p>
    <w:p w14:paraId="1A6DC1DE" w14:textId="77777777" w:rsidR="00117EA5" w:rsidRPr="00532B13" w:rsidRDefault="00117EA5" w:rsidP="00A07568">
      <w:pPr>
        <w:spacing w:after="0" w:line="360" w:lineRule="auto"/>
        <w:ind w:right="0" w:firstLine="1430"/>
        <w:jc w:val="left"/>
        <w:rPr>
          <w:szCs w:val="24"/>
        </w:rPr>
      </w:pPr>
    </w:p>
    <w:p w14:paraId="7FB3101A" w14:textId="77FFA934" w:rsidR="00117EA5" w:rsidRPr="00532B13" w:rsidRDefault="00117EA5" w:rsidP="00A07568">
      <w:pPr>
        <w:spacing w:after="0" w:line="360" w:lineRule="auto"/>
        <w:ind w:right="0" w:firstLine="1430"/>
        <w:jc w:val="left"/>
        <w:rPr>
          <w:szCs w:val="24"/>
        </w:rPr>
      </w:pPr>
      <w:r w:rsidRPr="00532B13">
        <w:rPr>
          <w:szCs w:val="24"/>
        </w:rPr>
        <w:t>THEREFORE,</w:t>
      </w:r>
    </w:p>
    <w:p w14:paraId="567B0C66" w14:textId="77777777" w:rsidR="00117EA5" w:rsidRPr="00532B13" w:rsidRDefault="00117EA5" w:rsidP="00A07568">
      <w:pPr>
        <w:spacing w:after="0" w:line="360" w:lineRule="auto"/>
        <w:ind w:right="0" w:firstLine="1430"/>
        <w:jc w:val="left"/>
        <w:rPr>
          <w:szCs w:val="24"/>
        </w:rPr>
      </w:pPr>
    </w:p>
    <w:p w14:paraId="49978783" w14:textId="260B39D6" w:rsidR="00117EA5" w:rsidRPr="00532B13" w:rsidRDefault="00117EA5" w:rsidP="00A07568">
      <w:pPr>
        <w:spacing w:after="0" w:line="360" w:lineRule="auto"/>
        <w:ind w:right="0" w:firstLine="1430"/>
        <w:jc w:val="left"/>
        <w:rPr>
          <w:szCs w:val="24"/>
        </w:rPr>
      </w:pPr>
      <w:r w:rsidRPr="00532B13">
        <w:rPr>
          <w:szCs w:val="24"/>
        </w:rPr>
        <w:t>IT IS ORDERED:</w:t>
      </w:r>
    </w:p>
    <w:p w14:paraId="25F2D11A" w14:textId="77777777" w:rsidR="00117EA5" w:rsidRPr="00532B13" w:rsidRDefault="00117EA5" w:rsidP="00A07568">
      <w:pPr>
        <w:spacing w:after="0" w:line="360" w:lineRule="auto"/>
        <w:ind w:right="0" w:firstLine="1430"/>
        <w:jc w:val="left"/>
        <w:rPr>
          <w:szCs w:val="24"/>
        </w:rPr>
      </w:pPr>
    </w:p>
    <w:p w14:paraId="6F4CA563" w14:textId="24CB6F27" w:rsidR="00117EA5" w:rsidRPr="00532B13" w:rsidRDefault="00117EA5" w:rsidP="00A07568">
      <w:pPr>
        <w:numPr>
          <w:ilvl w:val="0"/>
          <w:numId w:val="3"/>
        </w:numPr>
        <w:spacing w:after="0" w:line="360" w:lineRule="auto"/>
        <w:ind w:left="10" w:right="0" w:firstLine="1430"/>
        <w:contextualSpacing/>
        <w:jc w:val="left"/>
        <w:rPr>
          <w:szCs w:val="24"/>
        </w:rPr>
      </w:pPr>
      <w:r w:rsidRPr="00532B13">
        <w:rPr>
          <w:szCs w:val="24"/>
        </w:rPr>
        <w:t xml:space="preserve">That the preliminary objections of Respondent, </w:t>
      </w:r>
      <w:r w:rsidRPr="00532B13">
        <w:rPr>
          <w:szCs w:val="20"/>
        </w:rPr>
        <w:t>P</w:t>
      </w:r>
      <w:r>
        <w:rPr>
          <w:szCs w:val="20"/>
        </w:rPr>
        <w:t xml:space="preserve">ennsylvania Electric Company </w:t>
      </w:r>
      <w:r w:rsidRPr="00532B13">
        <w:rPr>
          <w:szCs w:val="24"/>
        </w:rPr>
        <w:t xml:space="preserve">are granted in part and denied in part.  Respondent’s motion to </w:t>
      </w:r>
      <w:r>
        <w:rPr>
          <w:szCs w:val="24"/>
        </w:rPr>
        <w:t>dismiss</w:t>
      </w:r>
      <w:r w:rsidRPr="00532B13">
        <w:rPr>
          <w:szCs w:val="24"/>
        </w:rPr>
        <w:t xml:space="preserve"> Complainant’s request for money damages from the </w:t>
      </w:r>
      <w:r>
        <w:rPr>
          <w:szCs w:val="24"/>
        </w:rPr>
        <w:t>formal complaint</w:t>
      </w:r>
      <w:r w:rsidRPr="00532B13">
        <w:rPr>
          <w:szCs w:val="24"/>
        </w:rPr>
        <w:t xml:space="preserve"> filed by Complainant is granted.</w:t>
      </w:r>
    </w:p>
    <w:p w14:paraId="6A71CA16" w14:textId="77777777" w:rsidR="00117EA5" w:rsidRDefault="00117EA5" w:rsidP="00A07568">
      <w:pPr>
        <w:spacing w:after="0" w:line="360" w:lineRule="auto"/>
        <w:ind w:right="0" w:firstLine="1430"/>
        <w:contextualSpacing/>
        <w:jc w:val="left"/>
        <w:rPr>
          <w:szCs w:val="24"/>
        </w:rPr>
      </w:pPr>
    </w:p>
    <w:p w14:paraId="2A62A967" w14:textId="18E05E38" w:rsidR="00117EA5" w:rsidRPr="00EB5832" w:rsidRDefault="00117EA5" w:rsidP="00A07568">
      <w:pPr>
        <w:pStyle w:val="ListParagraph"/>
        <w:numPr>
          <w:ilvl w:val="0"/>
          <w:numId w:val="3"/>
        </w:numPr>
        <w:spacing w:after="0" w:line="360" w:lineRule="auto"/>
        <w:ind w:left="10" w:firstLine="1430"/>
        <w:rPr>
          <w:rFonts w:ascii="Times New Roman" w:eastAsia="Times New Roman" w:hAnsi="Times New Roman" w:cs="Times New Roman"/>
          <w:sz w:val="24"/>
          <w:szCs w:val="24"/>
        </w:rPr>
      </w:pPr>
      <w:r w:rsidRPr="00EB5832">
        <w:rPr>
          <w:rFonts w:ascii="Times New Roman" w:eastAsia="Times New Roman" w:hAnsi="Times New Roman" w:cs="Times New Roman"/>
          <w:sz w:val="24"/>
          <w:szCs w:val="24"/>
        </w:rPr>
        <w:lastRenderedPageBreak/>
        <w:t>That the preliminary objections of</w:t>
      </w:r>
      <w:r w:rsidRPr="00532B13">
        <w:rPr>
          <w:rFonts w:ascii="Times New Roman" w:eastAsia="Times New Roman" w:hAnsi="Times New Roman" w:cs="Times New Roman"/>
          <w:sz w:val="24"/>
          <w:szCs w:val="24"/>
        </w:rPr>
        <w:t xml:space="preserve"> </w:t>
      </w:r>
      <w:r w:rsidRPr="00532B13">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ennsylvania Electric Company are denied to the extent that the preliminary objections seek to </w:t>
      </w:r>
      <w:r>
        <w:rPr>
          <w:rFonts w:ascii="Times New Roman" w:eastAsia="Times New Roman" w:hAnsi="Times New Roman" w:cs="Times New Roman"/>
          <w:sz w:val="24"/>
          <w:szCs w:val="24"/>
        </w:rPr>
        <w:t xml:space="preserve">prohibit Complainant from introducing any testimony or exhibits at any evidentiary hearing regarding the alleged </w:t>
      </w:r>
      <w:r w:rsidRPr="00532B13">
        <w:rPr>
          <w:rFonts w:ascii="Times New Roman" w:eastAsia="Times New Roman" w:hAnsi="Times New Roman" w:cs="Times New Roman"/>
          <w:sz w:val="24"/>
          <w:szCs w:val="24"/>
        </w:rPr>
        <w:t>damages</w:t>
      </w:r>
      <w:r>
        <w:rPr>
          <w:rFonts w:ascii="Times New Roman" w:eastAsia="Times New Roman" w:hAnsi="Times New Roman" w:cs="Times New Roman"/>
          <w:sz w:val="24"/>
          <w:szCs w:val="24"/>
        </w:rPr>
        <w:t xml:space="preserve">, subject to any objections raised prior to or raised at the hearing in this proceeding.  </w:t>
      </w:r>
    </w:p>
    <w:p w14:paraId="26098E1D" w14:textId="17B689A8" w:rsidR="00117EA5" w:rsidRDefault="00117EA5" w:rsidP="00A07568">
      <w:pPr>
        <w:spacing w:after="0" w:line="360" w:lineRule="auto"/>
        <w:ind w:right="0" w:firstLine="1430"/>
        <w:jc w:val="left"/>
        <w:rPr>
          <w:szCs w:val="24"/>
        </w:rPr>
      </w:pPr>
    </w:p>
    <w:p w14:paraId="50CBAD60" w14:textId="77777777" w:rsidR="00A07568" w:rsidRPr="00532B13" w:rsidRDefault="00A07568" w:rsidP="00A07568">
      <w:pPr>
        <w:spacing w:after="0" w:line="360" w:lineRule="auto"/>
        <w:ind w:right="0" w:firstLine="1430"/>
        <w:jc w:val="left"/>
        <w:rPr>
          <w:szCs w:val="24"/>
        </w:rPr>
      </w:pPr>
    </w:p>
    <w:p w14:paraId="579DC321" w14:textId="580FCBF4" w:rsidR="00117EA5" w:rsidRPr="00532B13" w:rsidRDefault="00117EA5" w:rsidP="00117EA5">
      <w:pPr>
        <w:tabs>
          <w:tab w:val="left" w:pos="0"/>
        </w:tabs>
        <w:spacing w:after="0" w:line="240" w:lineRule="auto"/>
        <w:rPr>
          <w:szCs w:val="24"/>
        </w:rPr>
      </w:pPr>
      <w:r w:rsidRPr="00532B13">
        <w:rPr>
          <w:szCs w:val="24"/>
        </w:rPr>
        <w:t xml:space="preserve">Date:  </w:t>
      </w:r>
      <w:r w:rsidRPr="00A07568">
        <w:rPr>
          <w:szCs w:val="24"/>
          <w:u w:val="single"/>
        </w:rPr>
        <w:t>January 12, 202</w:t>
      </w:r>
      <w:r w:rsidR="00A07568">
        <w:rPr>
          <w:szCs w:val="24"/>
          <w:u w:val="single"/>
        </w:rPr>
        <w:t>3</w:t>
      </w:r>
      <w:r w:rsidRPr="00532B13">
        <w:rPr>
          <w:szCs w:val="24"/>
        </w:rPr>
        <w:t xml:space="preserve">                 </w:t>
      </w:r>
      <w:r w:rsidRPr="00532B13">
        <w:rPr>
          <w:szCs w:val="24"/>
        </w:rPr>
        <w:tab/>
      </w:r>
      <w:r w:rsidRPr="00532B13">
        <w:rPr>
          <w:szCs w:val="24"/>
        </w:rPr>
        <w:tab/>
      </w:r>
      <w:r w:rsidRPr="00532B13">
        <w:rPr>
          <w:szCs w:val="24"/>
        </w:rPr>
        <w:tab/>
      </w:r>
      <w:r w:rsidRPr="00A07568">
        <w:rPr>
          <w:szCs w:val="24"/>
          <w:u w:val="single"/>
        </w:rPr>
        <w:t>___________</w:t>
      </w:r>
      <w:r w:rsidR="00A07568" w:rsidRPr="00A07568">
        <w:rPr>
          <w:szCs w:val="24"/>
          <w:u w:val="single"/>
        </w:rPr>
        <w:t>/s/</w:t>
      </w:r>
      <w:r w:rsidRPr="00A07568">
        <w:rPr>
          <w:szCs w:val="24"/>
          <w:u w:val="single"/>
        </w:rPr>
        <w:t>___________________</w:t>
      </w:r>
    </w:p>
    <w:p w14:paraId="5A53A599" w14:textId="77777777" w:rsidR="00117EA5" w:rsidRPr="00532B13" w:rsidRDefault="00117EA5" w:rsidP="00117EA5">
      <w:pPr>
        <w:tabs>
          <w:tab w:val="left" w:pos="0"/>
        </w:tabs>
        <w:spacing w:after="0" w:line="240" w:lineRule="auto"/>
        <w:rPr>
          <w:szCs w:val="24"/>
        </w:rPr>
      </w:pP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t>Jeffrey A. Watson</w:t>
      </w:r>
    </w:p>
    <w:p w14:paraId="16FC0030" w14:textId="77777777" w:rsidR="00DF5438" w:rsidRDefault="00117EA5" w:rsidP="00117EA5">
      <w:pPr>
        <w:tabs>
          <w:tab w:val="left" w:pos="0"/>
        </w:tabs>
        <w:spacing w:after="0" w:line="240" w:lineRule="auto"/>
        <w:rPr>
          <w:szCs w:val="24"/>
        </w:rPr>
        <w:sectPr w:rsidR="00DF5438" w:rsidSect="00DF5438">
          <w:footerReference w:type="even" r:id="rId8"/>
          <w:footerReference w:type="default" r:id="rId9"/>
          <w:footerReference w:type="first" r:id="rId10"/>
          <w:pgSz w:w="12240" w:h="15840"/>
          <w:pgMar w:top="1440" w:right="1440" w:bottom="1440" w:left="1440" w:header="720" w:footer="720" w:gutter="0"/>
          <w:cols w:space="720"/>
          <w:titlePg/>
          <w:docGrid w:linePitch="326"/>
        </w:sectPr>
      </w:pP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t>Administrative Law Judge</w:t>
      </w:r>
    </w:p>
    <w:p w14:paraId="196981D0" w14:textId="77777777" w:rsidR="00DF5438" w:rsidRPr="00DF5438" w:rsidRDefault="00DF5438" w:rsidP="00DF5438">
      <w:pPr>
        <w:spacing w:after="160" w:line="259" w:lineRule="auto"/>
        <w:ind w:left="0" w:right="0" w:firstLine="0"/>
        <w:jc w:val="left"/>
        <w:rPr>
          <w:rFonts w:ascii="Microsoft Sans Serif" w:eastAsia="Microsoft Sans Serif" w:hAnsi="Microsoft Sans Serif" w:cs="Microsoft Sans Serif"/>
          <w:color w:val="auto"/>
        </w:rPr>
      </w:pPr>
      <w:r w:rsidRPr="00DF5438">
        <w:rPr>
          <w:rFonts w:ascii="Microsoft Sans Serif" w:eastAsia="Microsoft Sans Serif" w:hAnsi="Microsoft Sans Serif" w:cs="Microsoft Sans Serif"/>
          <w:b/>
          <w:color w:val="auto"/>
          <w:u w:val="single"/>
        </w:rPr>
        <w:lastRenderedPageBreak/>
        <w:t>C-2022-3036831 - PAUL TATARKO v. PENNSYLVANIA ELECTRIC CO.</w:t>
      </w:r>
      <w:r w:rsidRPr="00DF5438">
        <w:rPr>
          <w:rFonts w:ascii="Microsoft Sans Serif" w:eastAsia="Microsoft Sans Serif" w:hAnsi="Microsoft Sans Serif" w:cs="Microsoft Sans Serif"/>
          <w:b/>
          <w:color w:val="auto"/>
          <w:u w:val="single"/>
        </w:rPr>
        <w:cr/>
      </w:r>
      <w:r w:rsidRPr="00DF5438">
        <w:rPr>
          <w:rFonts w:ascii="Microsoft Sans Serif" w:eastAsia="Microsoft Sans Serif" w:hAnsi="Microsoft Sans Serif" w:cs="Microsoft Sans Serif"/>
          <w:b/>
          <w:color w:val="auto"/>
          <w:u w:val="single"/>
        </w:rPr>
        <w:cr/>
      </w:r>
      <w:r w:rsidRPr="00DF5438">
        <w:rPr>
          <w:rFonts w:ascii="Microsoft Sans Serif" w:eastAsia="Microsoft Sans Serif" w:hAnsi="Microsoft Sans Serif" w:cs="Microsoft Sans Serif"/>
          <w:color w:val="auto"/>
        </w:rPr>
        <w:t>PAUL R. TATARKO</w:t>
      </w:r>
      <w:r w:rsidRPr="00DF5438">
        <w:rPr>
          <w:rFonts w:ascii="Microsoft Sans Serif" w:eastAsia="Microsoft Sans Serif" w:hAnsi="Microsoft Sans Serif" w:cs="Microsoft Sans Serif"/>
          <w:color w:val="auto"/>
        </w:rPr>
        <w:cr/>
        <w:t>PO BOX 111</w:t>
      </w:r>
      <w:r w:rsidRPr="00DF5438">
        <w:rPr>
          <w:rFonts w:ascii="Microsoft Sans Serif" w:eastAsia="Microsoft Sans Serif" w:hAnsi="Microsoft Sans Serif" w:cs="Microsoft Sans Serif"/>
          <w:color w:val="auto"/>
        </w:rPr>
        <w:cr/>
        <w:t>84 WALNUT STREET</w:t>
      </w:r>
      <w:r w:rsidRPr="00DF5438">
        <w:rPr>
          <w:rFonts w:ascii="Microsoft Sans Serif" w:eastAsia="Microsoft Sans Serif" w:hAnsi="Microsoft Sans Serif" w:cs="Microsoft Sans Serif"/>
          <w:color w:val="auto"/>
        </w:rPr>
        <w:cr/>
        <w:t>HEILWOOD PA  15745</w:t>
      </w:r>
      <w:r w:rsidRPr="00DF5438">
        <w:rPr>
          <w:rFonts w:ascii="Microsoft Sans Serif" w:eastAsia="Microsoft Sans Serif" w:hAnsi="Microsoft Sans Serif" w:cs="Microsoft Sans Serif"/>
          <w:color w:val="auto"/>
        </w:rPr>
        <w:cr/>
      </w:r>
      <w:r w:rsidRPr="00DF5438">
        <w:rPr>
          <w:rFonts w:ascii="Microsoft Sans Serif" w:eastAsia="Microsoft Sans Serif" w:hAnsi="Microsoft Sans Serif" w:cs="Microsoft Sans Serif"/>
          <w:b/>
          <w:bCs/>
          <w:color w:val="auto"/>
        </w:rPr>
        <w:t>814.948.5018</w:t>
      </w:r>
      <w:r w:rsidRPr="00DF5438">
        <w:rPr>
          <w:rFonts w:ascii="Microsoft Sans Serif" w:eastAsia="Microsoft Sans Serif" w:hAnsi="Microsoft Sans Serif" w:cs="Microsoft Sans Serif"/>
          <w:color w:val="auto"/>
        </w:rPr>
        <w:cr/>
      </w:r>
      <w:r w:rsidRPr="00DF5438">
        <w:rPr>
          <w:rFonts w:ascii="Microsoft Sans Serif" w:eastAsia="Microsoft Sans Serif" w:hAnsi="Microsoft Sans Serif" w:cs="Microsoft Sans Serif"/>
          <w:b/>
          <w:bCs/>
          <w:color w:val="auto"/>
        </w:rPr>
        <w:t>724.549.3348</w:t>
      </w:r>
      <w:r w:rsidRPr="00DF5438">
        <w:rPr>
          <w:rFonts w:ascii="Microsoft Sans Serif" w:eastAsia="Microsoft Sans Serif" w:hAnsi="Microsoft Sans Serif" w:cs="Microsoft Sans Serif"/>
          <w:color w:val="auto"/>
        </w:rPr>
        <w:cr/>
        <w:t>davidtatarko@yahoo.com</w:t>
      </w:r>
      <w:r w:rsidRPr="00DF5438">
        <w:rPr>
          <w:rFonts w:ascii="Microsoft Sans Serif" w:eastAsia="Microsoft Sans Serif" w:hAnsi="Microsoft Sans Serif" w:cs="Microsoft Sans Serif"/>
          <w:color w:val="auto"/>
        </w:rPr>
        <w:cr/>
        <w:t xml:space="preserve">Accepts eService </w:t>
      </w:r>
      <w:r w:rsidRPr="00DF5438">
        <w:rPr>
          <w:rFonts w:ascii="Microsoft Sans Serif" w:eastAsia="Microsoft Sans Serif" w:hAnsi="Microsoft Sans Serif" w:cs="Microsoft Sans Serif"/>
          <w:color w:val="auto"/>
        </w:rPr>
        <w:br/>
      </w:r>
      <w:r w:rsidRPr="00DF5438">
        <w:rPr>
          <w:rFonts w:ascii="Microsoft Sans Serif" w:eastAsia="Microsoft Sans Serif" w:hAnsi="Microsoft Sans Serif" w:cs="Microsoft Sans Serif"/>
          <w:color w:val="auto"/>
        </w:rPr>
        <w:br/>
        <w:t>MARGARET MORRIS ESQUIRE</w:t>
      </w:r>
      <w:r w:rsidRPr="00DF5438">
        <w:rPr>
          <w:rFonts w:ascii="Microsoft Sans Serif" w:eastAsia="Microsoft Sans Serif" w:hAnsi="Microsoft Sans Serif" w:cs="Microsoft Sans Serif"/>
          <w:color w:val="auto"/>
        </w:rPr>
        <w:cr/>
        <w:t>REGER RIZZO &amp; DARNALL</w:t>
      </w:r>
      <w:r w:rsidRPr="00DF5438">
        <w:rPr>
          <w:rFonts w:ascii="Microsoft Sans Serif" w:eastAsia="Microsoft Sans Serif" w:hAnsi="Microsoft Sans Serif" w:cs="Microsoft Sans Serif"/>
          <w:color w:val="auto"/>
        </w:rPr>
        <w:cr/>
        <w:t>CIRA CENTRE 13TH FL</w:t>
      </w:r>
      <w:r w:rsidRPr="00DF5438">
        <w:rPr>
          <w:rFonts w:ascii="Microsoft Sans Serif" w:eastAsia="Microsoft Sans Serif" w:hAnsi="Microsoft Sans Serif" w:cs="Microsoft Sans Serif"/>
          <w:color w:val="auto"/>
        </w:rPr>
        <w:cr/>
        <w:t>2929 ARCH STREET</w:t>
      </w:r>
      <w:r w:rsidRPr="00DF5438">
        <w:rPr>
          <w:rFonts w:ascii="Microsoft Sans Serif" w:eastAsia="Microsoft Sans Serif" w:hAnsi="Microsoft Sans Serif" w:cs="Microsoft Sans Serif"/>
          <w:color w:val="auto"/>
        </w:rPr>
        <w:cr/>
        <w:t>PHILADELPHIA PA  19104</w:t>
      </w:r>
      <w:r w:rsidRPr="00DF5438">
        <w:rPr>
          <w:rFonts w:ascii="Microsoft Sans Serif" w:eastAsia="Microsoft Sans Serif" w:hAnsi="Microsoft Sans Serif" w:cs="Microsoft Sans Serif"/>
          <w:color w:val="auto"/>
        </w:rPr>
        <w:cr/>
      </w:r>
      <w:r w:rsidRPr="00DF5438">
        <w:rPr>
          <w:rFonts w:ascii="Microsoft Sans Serif" w:eastAsia="Microsoft Sans Serif" w:hAnsi="Microsoft Sans Serif" w:cs="Microsoft Sans Serif"/>
          <w:b/>
          <w:bCs/>
          <w:color w:val="auto"/>
        </w:rPr>
        <w:t>215.495.6524</w:t>
      </w:r>
      <w:r w:rsidRPr="00DF5438">
        <w:rPr>
          <w:rFonts w:ascii="Microsoft Sans Serif" w:eastAsia="Microsoft Sans Serif" w:hAnsi="Microsoft Sans Serif" w:cs="Microsoft Sans Serif"/>
          <w:b/>
          <w:bCs/>
          <w:color w:val="auto"/>
        </w:rPr>
        <w:cr/>
        <w:t>215.870.5785</w:t>
      </w:r>
      <w:r w:rsidRPr="00DF5438">
        <w:rPr>
          <w:rFonts w:ascii="Microsoft Sans Serif" w:eastAsia="Microsoft Sans Serif" w:hAnsi="Microsoft Sans Serif" w:cs="Microsoft Sans Serif"/>
          <w:color w:val="auto"/>
        </w:rPr>
        <w:cr/>
        <w:t>mmorris@regerlaw.com</w:t>
      </w:r>
      <w:r w:rsidRPr="00DF5438">
        <w:rPr>
          <w:rFonts w:ascii="Microsoft Sans Serif" w:eastAsia="Microsoft Sans Serif" w:hAnsi="Microsoft Sans Serif" w:cs="Microsoft Sans Serif"/>
          <w:color w:val="auto"/>
        </w:rPr>
        <w:cr/>
        <w:t>Accepts eService</w:t>
      </w:r>
      <w:r w:rsidRPr="00DF5438">
        <w:rPr>
          <w:rFonts w:ascii="Microsoft Sans Serif" w:eastAsia="Microsoft Sans Serif" w:hAnsi="Microsoft Sans Serif" w:cs="Microsoft Sans Serif"/>
          <w:color w:val="auto"/>
        </w:rPr>
        <w:br/>
      </w:r>
      <w:r w:rsidRPr="00DF5438">
        <w:rPr>
          <w:rFonts w:ascii="Microsoft Sans Serif" w:eastAsia="Microsoft Sans Serif" w:hAnsi="Microsoft Sans Serif" w:cs="Microsoft Sans Serif"/>
          <w:i/>
          <w:iCs/>
          <w:color w:val="auto"/>
        </w:rPr>
        <w:t>Representing Pennsylvania Electric Company</w:t>
      </w:r>
      <w:r w:rsidRPr="00DF5438">
        <w:rPr>
          <w:rFonts w:ascii="Microsoft Sans Serif" w:eastAsia="Microsoft Sans Serif" w:hAnsi="Microsoft Sans Serif" w:cs="Microsoft Sans Serif"/>
          <w:color w:val="auto"/>
        </w:rPr>
        <w:cr/>
      </w:r>
      <w:r w:rsidRPr="00DF5438">
        <w:rPr>
          <w:rFonts w:ascii="Microsoft Sans Serif" w:eastAsia="Microsoft Sans Serif" w:hAnsi="Microsoft Sans Serif" w:cs="Microsoft Sans Serif"/>
          <w:color w:val="auto"/>
        </w:rPr>
        <w:br/>
        <w:t>TORI L GIESLER</w:t>
      </w:r>
      <w:r w:rsidRPr="00DF5438">
        <w:rPr>
          <w:rFonts w:ascii="Microsoft Sans Serif" w:eastAsia="Microsoft Sans Serif" w:hAnsi="Microsoft Sans Serif" w:cs="Microsoft Sans Serif"/>
          <w:color w:val="auto"/>
        </w:rPr>
        <w:cr/>
        <w:t>FIRSTENERGY SERVICE COMPANY</w:t>
      </w:r>
      <w:r w:rsidRPr="00DF5438">
        <w:rPr>
          <w:rFonts w:ascii="Microsoft Sans Serif" w:eastAsia="Microsoft Sans Serif" w:hAnsi="Microsoft Sans Serif" w:cs="Microsoft Sans Serif"/>
          <w:color w:val="auto"/>
        </w:rPr>
        <w:cr/>
        <w:t>2800 POTTSVILLE PIKE</w:t>
      </w:r>
      <w:r w:rsidRPr="00DF5438">
        <w:rPr>
          <w:rFonts w:ascii="Microsoft Sans Serif" w:eastAsia="Microsoft Sans Serif" w:hAnsi="Microsoft Sans Serif" w:cs="Microsoft Sans Serif"/>
          <w:color w:val="auto"/>
        </w:rPr>
        <w:cr/>
        <w:t>READING PA  19605</w:t>
      </w:r>
      <w:r w:rsidRPr="00DF5438">
        <w:rPr>
          <w:rFonts w:ascii="Microsoft Sans Serif" w:eastAsia="Microsoft Sans Serif" w:hAnsi="Microsoft Sans Serif" w:cs="Microsoft Sans Serif"/>
          <w:color w:val="auto"/>
        </w:rPr>
        <w:cr/>
      </w:r>
      <w:r w:rsidRPr="00DF5438">
        <w:rPr>
          <w:rFonts w:ascii="Microsoft Sans Serif" w:eastAsia="Microsoft Sans Serif" w:hAnsi="Microsoft Sans Serif" w:cs="Microsoft Sans Serif"/>
          <w:b/>
          <w:bCs/>
          <w:color w:val="auto"/>
        </w:rPr>
        <w:t>610.921.6658</w:t>
      </w:r>
      <w:r w:rsidRPr="00DF5438">
        <w:rPr>
          <w:rFonts w:ascii="Microsoft Sans Serif" w:eastAsia="Microsoft Sans Serif" w:hAnsi="Microsoft Sans Serif" w:cs="Microsoft Sans Serif"/>
          <w:color w:val="auto"/>
        </w:rPr>
        <w:cr/>
        <w:t>PARegulatoryComplaints@firstenergycorp.com</w:t>
      </w:r>
      <w:r w:rsidRPr="00DF5438">
        <w:rPr>
          <w:rFonts w:ascii="Microsoft Sans Serif" w:eastAsia="Microsoft Sans Serif" w:hAnsi="Microsoft Sans Serif" w:cs="Microsoft Sans Serif"/>
          <w:color w:val="auto"/>
        </w:rPr>
        <w:cr/>
        <w:t>Accepts eService</w:t>
      </w:r>
      <w:r w:rsidRPr="00DF5438">
        <w:rPr>
          <w:rFonts w:ascii="Microsoft Sans Serif" w:eastAsia="Microsoft Sans Serif" w:hAnsi="Microsoft Sans Serif" w:cs="Microsoft Sans Serif"/>
          <w:color w:val="auto"/>
        </w:rPr>
        <w:br/>
      </w:r>
      <w:r w:rsidRPr="00DF5438">
        <w:rPr>
          <w:rFonts w:ascii="Microsoft Sans Serif" w:eastAsia="Microsoft Sans Serif" w:hAnsi="Microsoft Sans Serif" w:cs="Microsoft Sans Serif"/>
          <w:color w:val="auto"/>
        </w:rPr>
        <w:cr/>
      </w:r>
    </w:p>
    <w:p w14:paraId="5604CBE7" w14:textId="77777777" w:rsidR="00117EA5" w:rsidRPr="00532B13" w:rsidRDefault="00117EA5" w:rsidP="00117EA5">
      <w:pPr>
        <w:tabs>
          <w:tab w:val="left" w:pos="0"/>
        </w:tabs>
        <w:spacing w:after="0" w:line="240" w:lineRule="auto"/>
        <w:rPr>
          <w:szCs w:val="24"/>
        </w:rPr>
      </w:pPr>
    </w:p>
    <w:p w14:paraId="1EDEAA6E" w14:textId="77777777" w:rsidR="00117EA5" w:rsidRDefault="00117EA5" w:rsidP="00117EA5"/>
    <w:p w14:paraId="0100AB29" w14:textId="77777777" w:rsidR="00906652" w:rsidRDefault="00906652" w:rsidP="00F17439">
      <w:pPr>
        <w:spacing w:after="0" w:line="259" w:lineRule="auto"/>
        <w:ind w:left="0" w:right="0" w:firstLine="0"/>
        <w:jc w:val="left"/>
      </w:pPr>
    </w:p>
    <w:p w14:paraId="18EE5304" w14:textId="77777777" w:rsidR="00906652" w:rsidRDefault="00906652" w:rsidP="00F17439">
      <w:pPr>
        <w:spacing w:after="0" w:line="259" w:lineRule="auto"/>
        <w:ind w:left="0" w:right="0" w:firstLine="0"/>
        <w:jc w:val="left"/>
      </w:pPr>
    </w:p>
    <w:p w14:paraId="5E4CB531" w14:textId="77777777" w:rsidR="00906652" w:rsidRDefault="00906652" w:rsidP="00F17439">
      <w:pPr>
        <w:spacing w:after="0" w:line="259" w:lineRule="auto"/>
        <w:ind w:left="0" w:right="0" w:firstLine="0"/>
        <w:jc w:val="left"/>
      </w:pPr>
    </w:p>
    <w:sectPr w:rsidR="00906652" w:rsidSect="00DF543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122D" w14:textId="77777777" w:rsidR="00F17439" w:rsidRDefault="00F17439" w:rsidP="00F17439">
      <w:pPr>
        <w:spacing w:after="0" w:line="240" w:lineRule="auto"/>
      </w:pPr>
      <w:r>
        <w:separator/>
      </w:r>
    </w:p>
  </w:endnote>
  <w:endnote w:type="continuationSeparator" w:id="0">
    <w:p w14:paraId="103D4D58" w14:textId="77777777" w:rsidR="00F17439" w:rsidRDefault="00F17439" w:rsidP="00F1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2673" w14:textId="77777777" w:rsidR="007F4380" w:rsidRDefault="00DF543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0785"/>
      <w:docPartObj>
        <w:docPartGallery w:val="Page Numbers (Bottom of Page)"/>
        <w:docPartUnique/>
      </w:docPartObj>
    </w:sdtPr>
    <w:sdtEndPr>
      <w:rPr>
        <w:noProof/>
      </w:rPr>
    </w:sdtEndPr>
    <w:sdtContent>
      <w:p w14:paraId="19B35257" w14:textId="4F83FA0D" w:rsidR="00DF5438" w:rsidRDefault="00DF5438">
        <w:pPr>
          <w:pStyle w:val="Footer"/>
          <w:jc w:val="center"/>
        </w:pPr>
        <w:r w:rsidRPr="00DF5438">
          <w:rPr>
            <w:rFonts w:ascii="Times New Roman" w:hAnsi="Times New Roman"/>
            <w:sz w:val="20"/>
            <w:szCs w:val="20"/>
          </w:rPr>
          <w:fldChar w:fldCharType="begin"/>
        </w:r>
        <w:r w:rsidRPr="00DF5438">
          <w:rPr>
            <w:rFonts w:ascii="Times New Roman" w:hAnsi="Times New Roman"/>
            <w:sz w:val="20"/>
            <w:szCs w:val="20"/>
          </w:rPr>
          <w:instrText xml:space="preserve"> PAGE   \* MERGEFORMAT </w:instrText>
        </w:r>
        <w:r w:rsidRPr="00DF5438">
          <w:rPr>
            <w:rFonts w:ascii="Times New Roman" w:hAnsi="Times New Roman"/>
            <w:sz w:val="20"/>
            <w:szCs w:val="20"/>
          </w:rPr>
          <w:fldChar w:fldCharType="separate"/>
        </w:r>
        <w:r w:rsidRPr="00DF5438">
          <w:rPr>
            <w:rFonts w:ascii="Times New Roman" w:hAnsi="Times New Roman"/>
            <w:noProof/>
            <w:sz w:val="20"/>
            <w:szCs w:val="20"/>
          </w:rPr>
          <w:t>2</w:t>
        </w:r>
        <w:r w:rsidRPr="00DF5438">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134B" w14:textId="77777777" w:rsidR="007F4380" w:rsidRDefault="00DF543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5061B" w14:textId="77777777" w:rsidR="00F17439" w:rsidRDefault="00F17439" w:rsidP="00F17439">
      <w:pPr>
        <w:spacing w:after="0" w:line="240" w:lineRule="auto"/>
      </w:pPr>
      <w:r>
        <w:separator/>
      </w:r>
    </w:p>
  </w:footnote>
  <w:footnote w:type="continuationSeparator" w:id="0">
    <w:p w14:paraId="1EB7E072" w14:textId="77777777" w:rsidR="00F17439" w:rsidRDefault="00F17439" w:rsidP="00F17439">
      <w:pPr>
        <w:spacing w:after="0" w:line="240" w:lineRule="auto"/>
      </w:pPr>
      <w:r>
        <w:continuationSeparator/>
      </w:r>
    </w:p>
  </w:footnote>
  <w:footnote w:id="1">
    <w:p w14:paraId="6C4D672C" w14:textId="49F8A711" w:rsidR="00F17439" w:rsidRPr="00A07568" w:rsidRDefault="00F17439" w:rsidP="00A07568">
      <w:pPr>
        <w:pStyle w:val="FootnoteText"/>
        <w:ind w:left="14" w:firstLine="720"/>
      </w:pPr>
      <w:r w:rsidRPr="00A07568">
        <w:rPr>
          <w:rStyle w:val="FootnoteReference"/>
        </w:rPr>
        <w:footnoteRef/>
      </w:r>
      <w:r w:rsidRPr="00A07568">
        <w:t xml:space="preserve"> </w:t>
      </w:r>
      <w:r w:rsidRPr="00A07568">
        <w:tab/>
        <w:t>Complaint at ¶ 5.</w:t>
      </w:r>
    </w:p>
  </w:footnote>
  <w:footnote w:id="2">
    <w:p w14:paraId="561DDF7E" w14:textId="77777777" w:rsidR="00906652" w:rsidRPr="00A07568" w:rsidRDefault="00906652" w:rsidP="00A07568">
      <w:pPr>
        <w:spacing w:after="0" w:line="240" w:lineRule="auto"/>
        <w:ind w:left="14" w:right="0" w:firstLine="720"/>
        <w:rPr>
          <w:sz w:val="20"/>
          <w:szCs w:val="20"/>
        </w:rPr>
      </w:pPr>
      <w:r w:rsidRPr="00A07568">
        <w:rPr>
          <w:rStyle w:val="FootnoteReference"/>
          <w:sz w:val="20"/>
          <w:szCs w:val="20"/>
        </w:rPr>
        <w:footnoteRef/>
      </w:r>
      <w:r w:rsidRPr="00A07568">
        <w:rPr>
          <w:sz w:val="20"/>
          <w:szCs w:val="20"/>
        </w:rPr>
        <w:t xml:space="preserve"> </w:t>
      </w:r>
      <w:r w:rsidRPr="00A07568">
        <w:rPr>
          <w:sz w:val="20"/>
          <w:szCs w:val="20"/>
        </w:rPr>
        <w:tab/>
      </w:r>
      <w:r w:rsidRPr="00A07568">
        <w:rPr>
          <w:i/>
          <w:iCs/>
          <w:sz w:val="20"/>
          <w:szCs w:val="20"/>
        </w:rPr>
        <w:t>Equitable Small Transportation Intervenors v. Equitable Gas Company</w:t>
      </w:r>
      <w:r w:rsidRPr="00A07568">
        <w:rPr>
          <w:sz w:val="20"/>
          <w:szCs w:val="20"/>
        </w:rPr>
        <w:t xml:space="preserve">, Docket No. C-00935435 (Opinion and Order entered July 18, 1994). </w:t>
      </w:r>
    </w:p>
    <w:p w14:paraId="2C1007A1" w14:textId="5313CEA5" w:rsidR="00906652" w:rsidRPr="00A07568" w:rsidRDefault="00906652" w:rsidP="00A07568">
      <w:pPr>
        <w:pStyle w:val="FootnoteText"/>
        <w:ind w:left="14" w:firstLine="720"/>
      </w:pPr>
    </w:p>
  </w:footnote>
  <w:footnote w:id="3">
    <w:p w14:paraId="54EDC3EC" w14:textId="77777777" w:rsidR="00906652" w:rsidRPr="00A07568" w:rsidRDefault="00906652" w:rsidP="00A07568">
      <w:pPr>
        <w:spacing w:after="0" w:line="240" w:lineRule="auto"/>
        <w:ind w:left="14" w:right="0" w:firstLine="720"/>
        <w:rPr>
          <w:sz w:val="20"/>
          <w:szCs w:val="20"/>
        </w:rPr>
      </w:pPr>
      <w:r w:rsidRPr="00A07568">
        <w:rPr>
          <w:rStyle w:val="FootnoteReference"/>
          <w:sz w:val="20"/>
          <w:szCs w:val="20"/>
        </w:rPr>
        <w:footnoteRef/>
      </w:r>
      <w:r w:rsidRPr="00A07568">
        <w:rPr>
          <w:sz w:val="20"/>
          <w:szCs w:val="20"/>
        </w:rPr>
        <w:t xml:space="preserve"> </w:t>
      </w:r>
      <w:r w:rsidRPr="00A07568">
        <w:rPr>
          <w:sz w:val="20"/>
          <w:szCs w:val="20"/>
        </w:rPr>
        <w:tab/>
      </w:r>
      <w:r w:rsidRPr="00A07568">
        <w:rPr>
          <w:i/>
          <w:iCs/>
          <w:sz w:val="20"/>
          <w:szCs w:val="20"/>
        </w:rPr>
        <w:t>Elkin v. Bell Tel. Co. of PA</w:t>
      </w:r>
      <w:r w:rsidRPr="00A07568">
        <w:rPr>
          <w:sz w:val="20"/>
          <w:szCs w:val="20"/>
        </w:rPr>
        <w:t xml:space="preserve">., 420 A.2d 371 (Pa. 1980); </w:t>
      </w:r>
      <w:r w:rsidRPr="00A07568">
        <w:rPr>
          <w:i/>
          <w:iCs/>
          <w:sz w:val="20"/>
          <w:szCs w:val="20"/>
        </w:rPr>
        <w:t>Feingold v. Bell of Pa</w:t>
      </w:r>
      <w:r w:rsidRPr="00A07568">
        <w:rPr>
          <w:sz w:val="20"/>
          <w:szCs w:val="20"/>
        </w:rPr>
        <w:t xml:space="preserve">., 383 A.2d 791 (Pa. 1978); see </w:t>
      </w:r>
      <w:r w:rsidRPr="00A07568">
        <w:rPr>
          <w:i/>
          <w:iCs/>
          <w:sz w:val="20"/>
          <w:szCs w:val="20"/>
        </w:rPr>
        <w:t>Nagy v. Bell Tel. Co. of PA</w:t>
      </w:r>
      <w:r w:rsidRPr="00A07568">
        <w:rPr>
          <w:sz w:val="20"/>
          <w:szCs w:val="20"/>
        </w:rPr>
        <w:t xml:space="preserve">., 436 A.2d 701 (Pa. Super. 1981).  </w:t>
      </w:r>
    </w:p>
    <w:p w14:paraId="51635086" w14:textId="40820A74" w:rsidR="00906652" w:rsidRPr="00A07568" w:rsidRDefault="00906652" w:rsidP="00A07568">
      <w:pPr>
        <w:pStyle w:val="FootnoteText"/>
        <w:ind w:left="14" w:firstLine="720"/>
      </w:pPr>
    </w:p>
  </w:footnote>
  <w:footnote w:id="4">
    <w:p w14:paraId="7B3C95B1" w14:textId="77777777" w:rsidR="00906652" w:rsidRPr="00A07568" w:rsidRDefault="00906652" w:rsidP="00A07568">
      <w:pPr>
        <w:spacing w:after="0" w:line="240" w:lineRule="auto"/>
        <w:ind w:left="14" w:right="0" w:firstLine="720"/>
        <w:rPr>
          <w:sz w:val="20"/>
          <w:szCs w:val="20"/>
        </w:rPr>
      </w:pPr>
      <w:r w:rsidRPr="00A07568">
        <w:rPr>
          <w:rStyle w:val="FootnoteReference"/>
          <w:sz w:val="20"/>
          <w:szCs w:val="20"/>
        </w:rPr>
        <w:footnoteRef/>
      </w:r>
      <w:r w:rsidRPr="00A07568">
        <w:rPr>
          <w:sz w:val="20"/>
          <w:szCs w:val="20"/>
        </w:rPr>
        <w:t xml:space="preserve"> </w:t>
      </w:r>
      <w:r w:rsidRPr="00A07568">
        <w:rPr>
          <w:sz w:val="20"/>
          <w:szCs w:val="20"/>
        </w:rPr>
        <w:tab/>
      </w:r>
      <w:r w:rsidRPr="00A07568">
        <w:rPr>
          <w:i/>
          <w:iCs/>
          <w:sz w:val="20"/>
          <w:szCs w:val="20"/>
        </w:rPr>
        <w:t>Feingold</w:t>
      </w:r>
      <w:r w:rsidRPr="00A07568">
        <w:rPr>
          <w:sz w:val="20"/>
          <w:szCs w:val="20"/>
        </w:rPr>
        <w:t xml:space="preserve">, 383 A.2d at 794. </w:t>
      </w:r>
    </w:p>
    <w:p w14:paraId="65DE2151" w14:textId="5E4797FE" w:rsidR="00906652" w:rsidRPr="00A07568" w:rsidRDefault="00906652" w:rsidP="00A07568">
      <w:pPr>
        <w:pStyle w:val="FootnoteText"/>
        <w:ind w:left="14" w:firstLine="720"/>
      </w:pPr>
    </w:p>
  </w:footnote>
  <w:footnote w:id="5">
    <w:p w14:paraId="59D0905F" w14:textId="3178414F" w:rsidR="00906652" w:rsidRDefault="00906652" w:rsidP="00A07568">
      <w:pPr>
        <w:pStyle w:val="FootnoteText"/>
        <w:ind w:left="14" w:firstLine="720"/>
      </w:pPr>
      <w:r w:rsidRPr="00A07568">
        <w:rPr>
          <w:rStyle w:val="FootnoteReference"/>
        </w:rPr>
        <w:footnoteRef/>
      </w:r>
      <w:r w:rsidRPr="00A07568">
        <w:t xml:space="preserve"> </w:t>
      </w:r>
      <w:r w:rsidRPr="00A07568">
        <w:tab/>
      </w:r>
      <w:r w:rsidRPr="00A07568">
        <w:rPr>
          <w:i/>
          <w:iCs/>
        </w:rPr>
        <w:t>Behrend, supra</w:t>
      </w:r>
      <w:r w:rsidRPr="00A07568">
        <w:t>.</w:t>
      </w:r>
    </w:p>
    <w:p w14:paraId="6D6E4ECF" w14:textId="77777777" w:rsidR="00DF5438" w:rsidRPr="00A07568" w:rsidRDefault="00DF5438" w:rsidP="00A07568">
      <w:pPr>
        <w:pStyle w:val="FootnoteText"/>
        <w:ind w:left="14" w:firstLine="720"/>
      </w:pPr>
    </w:p>
  </w:footnote>
  <w:footnote w:id="6">
    <w:p w14:paraId="7AA1E685" w14:textId="5047215B" w:rsidR="00906652" w:rsidRDefault="00906652" w:rsidP="00A07568">
      <w:pPr>
        <w:pStyle w:val="FootnoteText"/>
        <w:ind w:left="14" w:firstLine="720"/>
      </w:pPr>
      <w:r w:rsidRPr="00A07568">
        <w:rPr>
          <w:rStyle w:val="FootnoteReference"/>
        </w:rPr>
        <w:footnoteRef/>
      </w:r>
      <w:r w:rsidRPr="00A07568">
        <w:t xml:space="preserve"> </w:t>
      </w:r>
      <w:r w:rsidRPr="00A07568">
        <w:tab/>
      </w:r>
      <w:r w:rsidRPr="00A07568">
        <w:rPr>
          <w:i/>
          <w:iCs/>
        </w:rPr>
        <w:t>Third Avenue Realty Limited Partners v. Pennsylvania-American Water Co</w:t>
      </w:r>
      <w:r w:rsidRPr="00A07568">
        <w:t xml:space="preserve">., Docket No. C-2010-2167286 (Final Order entered September 30, 2010) (citing </w:t>
      </w:r>
      <w:r w:rsidRPr="00A07568">
        <w:rPr>
          <w:i/>
          <w:iCs/>
        </w:rPr>
        <w:t>Hudock v. Donegal Mut. Ins. Co</w:t>
      </w:r>
      <w:r w:rsidRPr="00A07568">
        <w:t>., 264 A.2d 668 (Pa. 1970)).</w:t>
      </w:r>
    </w:p>
    <w:p w14:paraId="53D77E18" w14:textId="77777777" w:rsidR="00A07568" w:rsidRPr="00A07568" w:rsidRDefault="00A07568" w:rsidP="00A07568">
      <w:pPr>
        <w:pStyle w:val="FootnoteText"/>
        <w:ind w:left="14" w:firstLine="720"/>
      </w:pPr>
    </w:p>
  </w:footnote>
  <w:footnote w:id="7">
    <w:p w14:paraId="5F3D0ECF" w14:textId="77777777" w:rsidR="00117EA5" w:rsidRPr="00A07568" w:rsidRDefault="00117EA5" w:rsidP="00A07568">
      <w:pPr>
        <w:pStyle w:val="FootnoteText"/>
        <w:ind w:left="14" w:firstLine="720"/>
      </w:pPr>
      <w:r w:rsidRPr="00A07568">
        <w:rPr>
          <w:rStyle w:val="FootnoteReference"/>
        </w:rPr>
        <w:footnoteRef/>
      </w:r>
      <w:r w:rsidRPr="00A07568">
        <w:t xml:space="preserve"> </w:t>
      </w:r>
      <w:r w:rsidRPr="00A07568">
        <w:tab/>
      </w:r>
      <w:r w:rsidRPr="00A07568">
        <w:rPr>
          <w:i/>
        </w:rPr>
        <w:t xml:space="preserve"> Elkin v. Bell Telephone Company of Pennsylvania</w:t>
      </w:r>
      <w:r w:rsidRPr="00A07568">
        <w:t xml:space="preserve">, 491 Pa. 123, 420 A.2d 371 (1980); </w:t>
      </w:r>
      <w:r w:rsidRPr="00A07568">
        <w:rPr>
          <w:i/>
        </w:rPr>
        <w:t>Feingold v. Bell of Pennsylvania</w:t>
      </w:r>
      <w:r w:rsidRPr="00A07568">
        <w:t xml:space="preserve">, 477 Pa. 1, 383 A.2d 791 (1977); </w:t>
      </w:r>
      <w:r w:rsidRPr="00A07568">
        <w:rPr>
          <w:i/>
        </w:rPr>
        <w:t>Poorbaugh v. Pa. Pub. Util. Comm’n</w:t>
      </w:r>
      <w:r w:rsidRPr="00A07568">
        <w:t>, 666 A.2d 744 (Pa.Cmwlth. 1995).</w:t>
      </w:r>
    </w:p>
    <w:p w14:paraId="446DF4AA" w14:textId="77777777" w:rsidR="00117EA5" w:rsidRPr="00A07568" w:rsidRDefault="00117EA5" w:rsidP="00A07568">
      <w:pPr>
        <w:pStyle w:val="FootnoteText"/>
        <w:ind w:left="14" w:firstLine="720"/>
      </w:pPr>
    </w:p>
  </w:footnote>
  <w:footnote w:id="8">
    <w:p w14:paraId="494FF2F3" w14:textId="77777777" w:rsidR="00117EA5" w:rsidRPr="00A07568" w:rsidRDefault="00117EA5" w:rsidP="00A07568">
      <w:pPr>
        <w:pStyle w:val="FootnoteText"/>
        <w:ind w:left="14" w:firstLine="720"/>
      </w:pPr>
      <w:r w:rsidRPr="00A07568">
        <w:rPr>
          <w:rStyle w:val="FootnoteReference"/>
        </w:rPr>
        <w:footnoteRef/>
      </w:r>
      <w:r w:rsidRPr="00A07568">
        <w:t xml:space="preserve">  </w:t>
      </w:r>
      <w:r w:rsidRPr="00A07568">
        <w:tab/>
        <w:t>66 Pa.C.S. § 1501.</w:t>
      </w:r>
    </w:p>
    <w:p w14:paraId="1B284246" w14:textId="77777777" w:rsidR="00117EA5" w:rsidRPr="00A07568" w:rsidRDefault="00117EA5" w:rsidP="00A07568">
      <w:pPr>
        <w:pStyle w:val="FootnoteText"/>
        <w:ind w:left="14" w:firstLine="720"/>
      </w:pPr>
    </w:p>
  </w:footnote>
  <w:footnote w:id="9">
    <w:p w14:paraId="728343C7" w14:textId="77777777" w:rsidR="00117EA5" w:rsidRPr="00A07568" w:rsidRDefault="00117EA5" w:rsidP="00A07568">
      <w:pPr>
        <w:pStyle w:val="FootnoteText"/>
        <w:ind w:left="14" w:firstLine="720"/>
      </w:pPr>
      <w:r w:rsidRPr="00A07568">
        <w:rPr>
          <w:rStyle w:val="FootnoteReference"/>
        </w:rPr>
        <w:footnoteRef/>
      </w:r>
      <w:r w:rsidRPr="00A07568">
        <w:t xml:space="preserve"> </w:t>
      </w:r>
      <w:r w:rsidRPr="00A07568">
        <w:tab/>
        <w:t>66 Pa.C.S. §§ 501, 1501.</w:t>
      </w:r>
    </w:p>
    <w:p w14:paraId="30CC2D05" w14:textId="77777777" w:rsidR="00117EA5" w:rsidRPr="00A07568" w:rsidRDefault="00117EA5" w:rsidP="00A07568">
      <w:pPr>
        <w:pStyle w:val="FootnoteText"/>
        <w:ind w:left="14" w:firstLine="720"/>
      </w:pPr>
    </w:p>
  </w:footnote>
  <w:footnote w:id="10">
    <w:p w14:paraId="23E7D8E2" w14:textId="77777777" w:rsidR="00117EA5" w:rsidRPr="00A07568" w:rsidRDefault="00117EA5" w:rsidP="00A07568">
      <w:pPr>
        <w:pStyle w:val="FootnoteText"/>
        <w:ind w:left="14" w:firstLine="720"/>
      </w:pPr>
      <w:r w:rsidRPr="00A07568">
        <w:rPr>
          <w:rStyle w:val="FootnoteReference"/>
        </w:rPr>
        <w:footnoteRef/>
      </w:r>
      <w:r w:rsidRPr="00A07568">
        <w:t xml:space="preserve"> </w:t>
      </w:r>
      <w:r w:rsidRPr="00A07568">
        <w:tab/>
        <w:t>66 Pa.C.S. § 3301.</w:t>
      </w:r>
    </w:p>
    <w:p w14:paraId="10781532" w14:textId="77777777" w:rsidR="00117EA5" w:rsidRPr="00A07568" w:rsidRDefault="00117EA5" w:rsidP="00A07568">
      <w:pPr>
        <w:pStyle w:val="FootnoteText"/>
        <w:ind w:left="14" w:firstLine="720"/>
      </w:pPr>
    </w:p>
  </w:footnote>
  <w:footnote w:id="11">
    <w:p w14:paraId="69D1D064" w14:textId="77777777" w:rsidR="00117EA5" w:rsidRPr="00A07568" w:rsidRDefault="00117EA5" w:rsidP="00A07568">
      <w:pPr>
        <w:pStyle w:val="FootnoteText"/>
        <w:ind w:left="14" w:firstLine="720"/>
        <w:rPr>
          <w:i/>
        </w:rPr>
      </w:pPr>
      <w:r w:rsidRPr="00A07568">
        <w:rPr>
          <w:rStyle w:val="FootnoteReference"/>
        </w:rPr>
        <w:footnoteRef/>
      </w:r>
      <w:r w:rsidRPr="00A07568">
        <w:tab/>
        <w:t xml:space="preserve">66 Pa.C.S. § 102 (defining “service”); </w:t>
      </w:r>
      <w:r w:rsidRPr="00A07568">
        <w:rPr>
          <w:i/>
        </w:rPr>
        <w:t>West Penn Power Co. v. Pa. Pub. Util. Comm’n,</w:t>
      </w:r>
      <w:r w:rsidRPr="00A07568">
        <w:t xml:space="preserve"> 578 A.2d 75 (Pa.Cmwlth. 1990); </w:t>
      </w:r>
      <w:r w:rsidRPr="00A07568">
        <w:rPr>
          <w:i/>
        </w:rPr>
        <w:t>McCall v. Pennsylvania Electric Company</w:t>
      </w:r>
      <w:r w:rsidRPr="00A07568">
        <w:t>, PUC Docket No. C-2009-2105240 (Initial Decision issued February 25,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996D8B"/>
    <w:multiLevelType w:val="hybridMultilevel"/>
    <w:tmpl w:val="6282691C"/>
    <w:lvl w:ilvl="0" w:tplc="CE2AD69E">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25FAA">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88840">
      <w:start w:val="1"/>
      <w:numFmt w:val="decimal"/>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C3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210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B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C8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C5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4A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1F223F"/>
    <w:multiLevelType w:val="hybridMultilevel"/>
    <w:tmpl w:val="FBC68902"/>
    <w:lvl w:ilvl="0" w:tplc="A4C6BC0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074F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69F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8E90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07B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A849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0A0A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42CE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4AA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213726">
    <w:abstractNumId w:val="1"/>
  </w:num>
  <w:num w:numId="2" w16cid:durableId="382027466">
    <w:abstractNumId w:val="2"/>
  </w:num>
  <w:num w:numId="3" w16cid:durableId="196214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39"/>
    <w:rsid w:val="0001504F"/>
    <w:rsid w:val="00117EA5"/>
    <w:rsid w:val="002D4595"/>
    <w:rsid w:val="004301F2"/>
    <w:rsid w:val="004B167E"/>
    <w:rsid w:val="004B31FE"/>
    <w:rsid w:val="007B5C79"/>
    <w:rsid w:val="00885F65"/>
    <w:rsid w:val="00906652"/>
    <w:rsid w:val="00933F19"/>
    <w:rsid w:val="00982502"/>
    <w:rsid w:val="009B01C3"/>
    <w:rsid w:val="00A07568"/>
    <w:rsid w:val="00BC4FBE"/>
    <w:rsid w:val="00DF5438"/>
    <w:rsid w:val="00EF6DAD"/>
    <w:rsid w:val="00F17439"/>
    <w:rsid w:val="00F76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7E24"/>
  <w15:chartTrackingRefBased/>
  <w15:docId w15:val="{91C1C88E-CD56-4A6D-B6BC-AAF1AE2B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439"/>
    <w:pPr>
      <w:spacing w:after="3" w:line="477"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F17439"/>
    <w:pPr>
      <w:keepNext/>
      <w:keepLines/>
      <w:spacing w:after="114" w:line="259" w:lineRule="auto"/>
      <w:ind w:left="10" w:right="6"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439"/>
    <w:rPr>
      <w:rFonts w:ascii="Times New Roman" w:eastAsia="Times New Roman" w:hAnsi="Times New Roman" w:cs="Times New Roman"/>
      <w:color w:val="000000"/>
      <w:sz w:val="24"/>
    </w:rPr>
  </w:style>
  <w:style w:type="table" w:customStyle="1" w:styleId="TableGrid">
    <w:name w:val="TableGrid"/>
    <w:rsid w:val="00F17439"/>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aliases w:val="ALTS FOOTNOTE,FOOTNOTE,Footnote Text 2,Footnote text,fn,fn Char,fn Char Char,Car"/>
    <w:basedOn w:val="Normal"/>
    <w:link w:val="FootnoteTextChar"/>
    <w:uiPriority w:val="99"/>
    <w:unhideWhenUsed/>
    <w:qFormat/>
    <w:rsid w:val="00F17439"/>
    <w:pPr>
      <w:spacing w:after="0" w:line="240" w:lineRule="auto"/>
    </w:pPr>
    <w:rPr>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F17439"/>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F17439"/>
    <w:rPr>
      <w:vertAlign w:val="superscript"/>
    </w:rPr>
  </w:style>
  <w:style w:type="paragraph" w:styleId="ListParagraph">
    <w:name w:val="List Paragraph"/>
    <w:basedOn w:val="Normal"/>
    <w:uiPriority w:val="34"/>
    <w:qFormat/>
    <w:rsid w:val="00117EA5"/>
    <w:pPr>
      <w:spacing w:after="200" w:line="276" w:lineRule="auto"/>
      <w:ind w:left="720" w:right="0" w:firstLine="0"/>
      <w:contextualSpacing/>
      <w:jc w:val="left"/>
    </w:pPr>
    <w:rPr>
      <w:rFonts w:asciiTheme="minorHAnsi" w:eastAsiaTheme="minorHAnsi" w:hAnsiTheme="minorHAnsi" w:cstheme="minorBidi"/>
      <w:color w:val="auto"/>
      <w:sz w:val="22"/>
    </w:rPr>
  </w:style>
  <w:style w:type="paragraph" w:styleId="Header">
    <w:name w:val="header"/>
    <w:basedOn w:val="Normal"/>
    <w:link w:val="HeaderChar"/>
    <w:uiPriority w:val="99"/>
    <w:unhideWhenUsed/>
    <w:rsid w:val="00DF5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43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F5438"/>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DF5438"/>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AE325-335E-42B3-9E22-A398DB36F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2023-01-12T20:55:00Z</dcterms:created>
  <dcterms:modified xsi:type="dcterms:W3CDTF">2023-01-12T20:58:00Z</dcterms:modified>
</cp:coreProperties>
</file>