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8986" w14:textId="77777777" w:rsidR="00FB7EB0" w:rsidRPr="00F4675E" w:rsidRDefault="00FB7EB0" w:rsidP="00FB7EB0">
      <w:pPr>
        <w:tabs>
          <w:tab w:val="left" w:pos="360"/>
        </w:tabs>
        <w:spacing w:after="0" w:line="240" w:lineRule="auto"/>
        <w:ind w:left="420"/>
        <w:jc w:val="center"/>
        <w:rPr>
          <w:rFonts w:eastAsia="SimSun"/>
          <w:b/>
        </w:rPr>
      </w:pPr>
      <w:r w:rsidRPr="00F4675E">
        <w:rPr>
          <w:rFonts w:eastAsia="SimSun"/>
          <w:b/>
        </w:rPr>
        <w:t>BEFORE THE</w:t>
      </w:r>
    </w:p>
    <w:p w14:paraId="20EFA330" w14:textId="77777777" w:rsidR="00FB7EB0" w:rsidRPr="00F4675E" w:rsidRDefault="00FB7EB0" w:rsidP="00FB7EB0">
      <w:pPr>
        <w:tabs>
          <w:tab w:val="left" w:pos="360"/>
        </w:tabs>
        <w:spacing w:after="0" w:line="240" w:lineRule="auto"/>
        <w:jc w:val="center"/>
        <w:rPr>
          <w:rFonts w:eastAsia="SimSun"/>
          <w:b/>
        </w:rPr>
      </w:pPr>
      <w:r w:rsidRPr="00F4675E">
        <w:rPr>
          <w:rFonts w:eastAsia="SimSun"/>
          <w:b/>
        </w:rPr>
        <w:t>PENNSYLVANIA PUBLIC UTILITY COMMISSION</w:t>
      </w:r>
    </w:p>
    <w:p w14:paraId="2454232F" w14:textId="77777777" w:rsidR="00FB7EB0" w:rsidRPr="00FB7EB0" w:rsidRDefault="00FB7EB0" w:rsidP="00FB7EB0">
      <w:pPr>
        <w:tabs>
          <w:tab w:val="left" w:pos="360"/>
        </w:tabs>
        <w:spacing w:after="0" w:line="240" w:lineRule="auto"/>
        <w:jc w:val="both"/>
        <w:rPr>
          <w:rFonts w:eastAsia="SimSun"/>
          <w:bCs/>
        </w:rPr>
      </w:pPr>
    </w:p>
    <w:p w14:paraId="4AD68522" w14:textId="77777777" w:rsidR="00FB7EB0" w:rsidRPr="00FB7EB0" w:rsidRDefault="00FB7EB0" w:rsidP="00FB7EB0">
      <w:pPr>
        <w:tabs>
          <w:tab w:val="left" w:pos="360"/>
        </w:tabs>
        <w:spacing w:after="0" w:line="240" w:lineRule="auto"/>
        <w:jc w:val="both"/>
        <w:rPr>
          <w:rFonts w:eastAsia="SimSun"/>
          <w:bCs/>
        </w:rPr>
      </w:pPr>
    </w:p>
    <w:p w14:paraId="22BE58FF" w14:textId="77777777" w:rsidR="00FB7EB0" w:rsidRPr="00FB7EB0" w:rsidRDefault="00FB7EB0" w:rsidP="00FB7EB0">
      <w:pPr>
        <w:tabs>
          <w:tab w:val="left" w:pos="360"/>
        </w:tabs>
        <w:spacing w:after="0" w:line="240" w:lineRule="auto"/>
        <w:jc w:val="both"/>
        <w:rPr>
          <w:rFonts w:eastAsia="SimSun"/>
          <w:bCs/>
        </w:rPr>
      </w:pPr>
    </w:p>
    <w:p w14:paraId="7B68FAD6" w14:textId="76C1705C" w:rsidR="00FB7EB0" w:rsidRPr="004A179D" w:rsidRDefault="00FB7EB0" w:rsidP="00FB7EB0">
      <w:pPr>
        <w:tabs>
          <w:tab w:val="left" w:pos="-720"/>
        </w:tabs>
        <w:suppressAutoHyphens/>
        <w:autoSpaceDE w:val="0"/>
        <w:autoSpaceDN w:val="0"/>
        <w:spacing w:after="0" w:line="240" w:lineRule="auto"/>
        <w:rPr>
          <w:szCs w:val="24"/>
        </w:rPr>
      </w:pPr>
      <w:r>
        <w:rPr>
          <w:szCs w:val="24"/>
        </w:rPr>
        <w:t>Cinnamon Coprich</w:t>
      </w:r>
      <w:r w:rsidRPr="004A179D">
        <w:rPr>
          <w:szCs w:val="24"/>
        </w:rPr>
        <w:tab/>
      </w:r>
      <w:r>
        <w:rPr>
          <w:szCs w:val="24"/>
        </w:rPr>
        <w:tab/>
      </w:r>
      <w:r w:rsidRPr="004A179D">
        <w:rPr>
          <w:szCs w:val="24"/>
        </w:rPr>
        <w:tab/>
      </w:r>
      <w:r w:rsidRPr="004A179D">
        <w:rPr>
          <w:szCs w:val="24"/>
        </w:rPr>
        <w:tab/>
      </w:r>
      <w:r w:rsidRPr="004A179D">
        <w:rPr>
          <w:szCs w:val="24"/>
        </w:rPr>
        <w:tab/>
        <w:t>:</w:t>
      </w:r>
    </w:p>
    <w:p w14:paraId="056BD989" w14:textId="77777777" w:rsidR="00FB7EB0" w:rsidRPr="004A179D" w:rsidRDefault="00FB7EB0" w:rsidP="00FB7EB0">
      <w:pPr>
        <w:tabs>
          <w:tab w:val="left" w:pos="-720"/>
        </w:tabs>
        <w:suppressAutoHyphens/>
        <w:autoSpaceDE w:val="0"/>
        <w:autoSpaceDN w:val="0"/>
        <w:spacing w:after="0" w:line="240" w:lineRule="auto"/>
        <w:rPr>
          <w:szCs w:val="24"/>
        </w:rPr>
      </w:pP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t>:</w:t>
      </w:r>
    </w:p>
    <w:p w14:paraId="1584FE91" w14:textId="1CD2FED5" w:rsidR="00FB7EB0" w:rsidRPr="004A179D" w:rsidRDefault="00FB7EB0" w:rsidP="00FB7EB0">
      <w:pPr>
        <w:autoSpaceDE w:val="0"/>
        <w:autoSpaceDN w:val="0"/>
        <w:spacing w:after="0" w:line="240" w:lineRule="auto"/>
        <w:rPr>
          <w:szCs w:val="24"/>
        </w:rPr>
      </w:pPr>
      <w:r w:rsidRPr="004A179D">
        <w:rPr>
          <w:szCs w:val="24"/>
        </w:rPr>
        <w:tab/>
        <w:t>v.</w:t>
      </w: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t>:</w:t>
      </w:r>
      <w:r w:rsidRPr="004A179D">
        <w:rPr>
          <w:szCs w:val="24"/>
        </w:rPr>
        <w:tab/>
      </w:r>
      <w:r w:rsidRPr="004A179D">
        <w:rPr>
          <w:szCs w:val="24"/>
        </w:rPr>
        <w:tab/>
      </w:r>
      <w:bookmarkStart w:id="0" w:name="_Hlk121127702"/>
      <w:r w:rsidRPr="00FB7EB0">
        <w:rPr>
          <w:szCs w:val="24"/>
        </w:rPr>
        <w:t>C-2022-3035891</w:t>
      </w:r>
    </w:p>
    <w:bookmarkEnd w:id="0"/>
    <w:p w14:paraId="2A26B115" w14:textId="77777777" w:rsidR="00FB7EB0" w:rsidRPr="004A179D" w:rsidRDefault="00FB7EB0" w:rsidP="00FB7EB0">
      <w:pPr>
        <w:tabs>
          <w:tab w:val="left" w:pos="-720"/>
        </w:tabs>
        <w:suppressAutoHyphens/>
        <w:autoSpaceDE w:val="0"/>
        <w:autoSpaceDN w:val="0"/>
        <w:spacing w:after="0" w:line="240" w:lineRule="auto"/>
        <w:rPr>
          <w:szCs w:val="24"/>
        </w:rPr>
      </w:pP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t>:</w:t>
      </w:r>
    </w:p>
    <w:p w14:paraId="29643325" w14:textId="550332D1" w:rsidR="00FB7EB0" w:rsidRPr="004A179D" w:rsidRDefault="00FB7EB0" w:rsidP="00FB7EB0">
      <w:pPr>
        <w:tabs>
          <w:tab w:val="left" w:pos="-720"/>
        </w:tabs>
        <w:suppressAutoHyphens/>
        <w:autoSpaceDE w:val="0"/>
        <w:autoSpaceDN w:val="0"/>
        <w:spacing w:after="0" w:line="240" w:lineRule="auto"/>
        <w:rPr>
          <w:szCs w:val="24"/>
        </w:rPr>
      </w:pPr>
      <w:r>
        <w:rPr>
          <w:szCs w:val="24"/>
        </w:rPr>
        <w:t>Duquesne Light Company</w:t>
      </w:r>
      <w:r w:rsidRPr="004A179D">
        <w:rPr>
          <w:szCs w:val="24"/>
        </w:rPr>
        <w:tab/>
      </w:r>
      <w:r w:rsidRPr="004A179D">
        <w:rPr>
          <w:szCs w:val="24"/>
        </w:rPr>
        <w:tab/>
      </w:r>
      <w:r w:rsidRPr="004A179D">
        <w:rPr>
          <w:szCs w:val="24"/>
        </w:rPr>
        <w:tab/>
      </w:r>
      <w:r w:rsidRPr="004A179D">
        <w:rPr>
          <w:szCs w:val="24"/>
        </w:rPr>
        <w:tab/>
        <w:t>:</w:t>
      </w:r>
    </w:p>
    <w:p w14:paraId="040AD4FB" w14:textId="77777777" w:rsidR="00FB7EB0" w:rsidRPr="00FB7EB0" w:rsidRDefault="00FB7EB0" w:rsidP="00FB7EB0">
      <w:pPr>
        <w:tabs>
          <w:tab w:val="left" w:pos="-720"/>
          <w:tab w:val="left" w:pos="5040"/>
        </w:tabs>
        <w:suppressAutoHyphens/>
        <w:autoSpaceDE w:val="0"/>
        <w:autoSpaceDN w:val="0"/>
        <w:spacing w:after="0" w:line="240" w:lineRule="auto"/>
        <w:jc w:val="both"/>
        <w:rPr>
          <w:spacing w:val="-3"/>
          <w:szCs w:val="24"/>
        </w:rPr>
      </w:pPr>
    </w:p>
    <w:p w14:paraId="2E99600D" w14:textId="77777777" w:rsidR="00FB7EB0" w:rsidRPr="00FB7EB0" w:rsidRDefault="00FB7EB0" w:rsidP="00FB7EB0">
      <w:pPr>
        <w:tabs>
          <w:tab w:val="left" w:pos="-720"/>
          <w:tab w:val="left" w:pos="5040"/>
        </w:tabs>
        <w:suppressAutoHyphens/>
        <w:autoSpaceDE w:val="0"/>
        <w:autoSpaceDN w:val="0"/>
        <w:spacing w:after="0" w:line="240" w:lineRule="auto"/>
        <w:jc w:val="both"/>
        <w:rPr>
          <w:spacing w:val="-3"/>
          <w:szCs w:val="24"/>
        </w:rPr>
      </w:pPr>
    </w:p>
    <w:p w14:paraId="4D069569" w14:textId="77777777" w:rsidR="00FB7EB0" w:rsidRPr="00FB7EB0" w:rsidRDefault="00FB7EB0" w:rsidP="00FB7EB0">
      <w:pPr>
        <w:tabs>
          <w:tab w:val="left" w:pos="0"/>
        </w:tabs>
        <w:spacing w:after="0" w:line="240" w:lineRule="auto"/>
        <w:jc w:val="both"/>
      </w:pPr>
    </w:p>
    <w:p w14:paraId="109EA9F3" w14:textId="5791F419" w:rsidR="00FB7EB0" w:rsidRPr="009A06F0" w:rsidRDefault="00FB7EB0" w:rsidP="00FB7EB0">
      <w:pPr>
        <w:spacing w:after="0" w:line="240" w:lineRule="auto"/>
        <w:jc w:val="center"/>
        <w:rPr>
          <w:b/>
        </w:rPr>
      </w:pPr>
      <w:r w:rsidRPr="009A06F0">
        <w:rPr>
          <w:b/>
        </w:rPr>
        <w:t>INTERIM ORDE</w:t>
      </w:r>
      <w:r w:rsidR="00CA60BA">
        <w:rPr>
          <w:b/>
        </w:rPr>
        <w:t>R</w:t>
      </w:r>
    </w:p>
    <w:p w14:paraId="296CCAA4" w14:textId="77777777" w:rsidR="00FB7EB0" w:rsidRPr="00FB7EB0" w:rsidRDefault="00FB7EB0" w:rsidP="00FB7EB0">
      <w:pPr>
        <w:spacing w:after="0" w:line="240" w:lineRule="auto"/>
        <w:jc w:val="center"/>
        <w:rPr>
          <w:b/>
          <w:bCs/>
        </w:rPr>
      </w:pPr>
      <w:r w:rsidRPr="00FB7EB0">
        <w:rPr>
          <w:b/>
          <w:bCs/>
        </w:rPr>
        <w:t>DENYING MOTION FOR JUDGEMENT ON THE PLEADINGS AND</w:t>
      </w:r>
    </w:p>
    <w:p w14:paraId="1B19F3DD" w14:textId="65F77806" w:rsidR="00D5097F" w:rsidRDefault="00FB7EB0" w:rsidP="00FB7EB0">
      <w:pPr>
        <w:spacing w:after="0" w:line="240" w:lineRule="auto"/>
        <w:jc w:val="center"/>
        <w:rPr>
          <w:b/>
          <w:bCs/>
          <w:u w:val="single"/>
        </w:rPr>
      </w:pPr>
      <w:r w:rsidRPr="00FB7EB0">
        <w:rPr>
          <w:b/>
          <w:bCs/>
          <w:u w:val="single"/>
        </w:rPr>
        <w:t>DIRECTING A MORE SPECIFIC COMPLAINT</w:t>
      </w:r>
    </w:p>
    <w:p w14:paraId="61C46547" w14:textId="77777777" w:rsidR="00FB7EB0" w:rsidRPr="00FB7EB0" w:rsidRDefault="00FB7EB0" w:rsidP="00FB7EB0">
      <w:pPr>
        <w:spacing w:after="0"/>
      </w:pPr>
    </w:p>
    <w:p w14:paraId="05061DBB" w14:textId="77F627C8" w:rsidR="00D5097F" w:rsidRDefault="00D5097F" w:rsidP="00FB7EB0">
      <w:pPr>
        <w:spacing w:after="0"/>
      </w:pPr>
      <w:r>
        <w:tab/>
      </w:r>
      <w:r>
        <w:tab/>
        <w:t>On October 3, 2022, Cinnamon Coprich (Complainant) filed a formal complaint against Duquesne Light Company (DLC).  She checked the box noting that the “utility is threatening to shut off my service or has already shut off my service,” but did not request any relief.</w:t>
      </w:r>
    </w:p>
    <w:p w14:paraId="39611180" w14:textId="77777777" w:rsidR="00FB7EB0" w:rsidRDefault="00FB7EB0" w:rsidP="00FB7EB0">
      <w:pPr>
        <w:spacing w:after="0"/>
      </w:pPr>
    </w:p>
    <w:p w14:paraId="5CBE9854" w14:textId="177BD96F" w:rsidR="00D5097F" w:rsidRDefault="00D5097F" w:rsidP="00FB7EB0">
      <w:pPr>
        <w:spacing w:after="0"/>
      </w:pPr>
      <w:r>
        <w:tab/>
      </w:r>
      <w:r>
        <w:tab/>
        <w:t xml:space="preserve">On October 25, 2022, DLC filed an answer and new matter.  DLC admitted that it had notified the Complainant of its intent to terminate </w:t>
      </w:r>
      <w:proofErr w:type="gramStart"/>
      <w:r>
        <w:t>service, but</w:t>
      </w:r>
      <w:proofErr w:type="gramEnd"/>
      <w:r>
        <w:t xml:space="preserve"> averred that the notice was in accordance with Commission rules and regulations.</w:t>
      </w:r>
      <w:r w:rsidR="00840B65">
        <w:t xml:space="preserve"> </w:t>
      </w:r>
      <w:r w:rsidR="00BA25BE">
        <w:t xml:space="preserve"> </w:t>
      </w:r>
      <w:r w:rsidR="00840B65">
        <w:t>DLC further noted that the Complainant did not request a payment arrangement or seek any other relief from the Commission.</w:t>
      </w:r>
      <w:r>
        <w:t xml:space="preserve">  In new matter, DLC stated that the Complainant requested that DLC discontinue service to her</w:t>
      </w:r>
      <w:r w:rsidR="005B13A9">
        <w:t>.</w:t>
      </w:r>
      <w:r>
        <w:t xml:space="preserve">  Therefore, according to DLC, the complaint is moot.</w:t>
      </w:r>
    </w:p>
    <w:p w14:paraId="1E598924" w14:textId="77777777" w:rsidR="00FB7EB0" w:rsidRDefault="00FB7EB0" w:rsidP="00FB7EB0">
      <w:pPr>
        <w:spacing w:after="0"/>
      </w:pPr>
    </w:p>
    <w:p w14:paraId="7657C703" w14:textId="6BEEE100" w:rsidR="00D5097F" w:rsidRDefault="00D5097F" w:rsidP="00FB7EB0">
      <w:pPr>
        <w:spacing w:after="0"/>
      </w:pPr>
      <w:r>
        <w:tab/>
      </w:r>
      <w:r>
        <w:tab/>
        <w:t>DLC filed a motion for judgment on the pleadings on November 28, 2022.</w:t>
      </w:r>
      <w:r w:rsidR="00006FEF">
        <w:t xml:space="preserve">  DLC avers that the Complainant never responded to DLC’s new matter, therefore the facts set forth in the October 25, 2022 New Matter should be deemed admitted.  Therefore, the statement that the Complainant voluntarily discontinued service</w:t>
      </w:r>
      <w:r w:rsidR="005B13A9">
        <w:t xml:space="preserve"> should be </w:t>
      </w:r>
      <w:r w:rsidR="00FA706C">
        <w:t xml:space="preserve">considered </w:t>
      </w:r>
      <w:r w:rsidR="00F23A41">
        <w:t>undisputed</w:t>
      </w:r>
      <w:r w:rsidR="00006FEF">
        <w:t xml:space="preserve">, </w:t>
      </w:r>
      <w:r w:rsidR="00F23A41">
        <w:t xml:space="preserve">and </w:t>
      </w:r>
      <w:r w:rsidR="00006FEF">
        <w:t>the</w:t>
      </w:r>
      <w:r w:rsidR="00F23A41">
        <w:t>refore</w:t>
      </w:r>
      <w:r w:rsidR="00006FEF">
        <w:t xml:space="preserve"> complaint is moot and should be dismissed.</w:t>
      </w:r>
    </w:p>
    <w:p w14:paraId="463A9C4F" w14:textId="77777777" w:rsidR="00FB7EB0" w:rsidRDefault="00FB7EB0" w:rsidP="00FB7EB0">
      <w:pPr>
        <w:spacing w:after="0"/>
      </w:pPr>
    </w:p>
    <w:p w14:paraId="16ACF3ED" w14:textId="190FF61B" w:rsidR="00006FEF" w:rsidRDefault="00C12897" w:rsidP="00FB7EB0">
      <w:pPr>
        <w:spacing w:after="0"/>
      </w:pPr>
      <w:r>
        <w:tab/>
      </w:r>
      <w:r>
        <w:tab/>
        <w:t xml:space="preserve">The Complainant did not file a response to the motion.  The matter was assigned </w:t>
      </w:r>
      <w:r w:rsidR="006E55BD">
        <w:t>to me on January 9, 2023</w:t>
      </w:r>
      <w:r w:rsidR="00F30246">
        <w:t>.</w:t>
      </w:r>
    </w:p>
    <w:p w14:paraId="14612A40" w14:textId="77777777" w:rsidR="00FB7EB0" w:rsidRDefault="00FB7EB0" w:rsidP="00FB7EB0">
      <w:pPr>
        <w:spacing w:after="0"/>
      </w:pPr>
    </w:p>
    <w:p w14:paraId="28C86963" w14:textId="518B5E56" w:rsidR="00D546A4" w:rsidRDefault="00D546A4" w:rsidP="00FB7EB0">
      <w:pPr>
        <w:spacing w:after="0"/>
        <w:rPr>
          <w:b/>
          <w:bCs/>
        </w:rPr>
      </w:pPr>
      <w:r w:rsidRPr="00F23A41">
        <w:rPr>
          <w:b/>
          <w:bCs/>
        </w:rPr>
        <w:lastRenderedPageBreak/>
        <w:t>Legal Standards</w:t>
      </w:r>
    </w:p>
    <w:p w14:paraId="6AAEE8B3" w14:textId="77777777" w:rsidR="00FB7EB0" w:rsidRPr="00F23A41" w:rsidRDefault="00FB7EB0" w:rsidP="00FB7EB0">
      <w:pPr>
        <w:spacing w:after="0"/>
        <w:rPr>
          <w:b/>
          <w:bCs/>
        </w:rPr>
      </w:pPr>
    </w:p>
    <w:p w14:paraId="1A883D20" w14:textId="5322049A" w:rsidR="004C55EF" w:rsidRDefault="00150347" w:rsidP="00FB7EB0">
      <w:pPr>
        <w:spacing w:after="0"/>
        <w:ind w:firstLine="1440"/>
      </w:pPr>
      <w:r w:rsidRPr="000B6809">
        <w:t xml:space="preserve">Commission preliminary motion practice is similar to </w:t>
      </w:r>
      <w:smartTag w:uri="urn:schemas-microsoft-com:office:smarttags" w:element="place">
        <w:smartTag w:uri="urn:schemas-microsoft-com:office:smarttags" w:element="State">
          <w:r w:rsidRPr="000B6809">
            <w:t>Pennsylvania</w:t>
          </w:r>
        </w:smartTag>
      </w:smartTag>
      <w:r w:rsidRPr="000B6809">
        <w:t xml:space="preserve"> civil practice re</w:t>
      </w:r>
      <w:r>
        <w:t>garding</w:t>
      </w:r>
      <w:r w:rsidRPr="000B6809">
        <w:t xml:space="preserve"> the filing of preliminary objections.</w:t>
      </w:r>
      <w:r w:rsidR="007333EB">
        <w:rPr>
          <w:rStyle w:val="FootnoteReference"/>
        </w:rPr>
        <w:footnoteReference w:id="1"/>
      </w:r>
      <w:r w:rsidRPr="000B6809">
        <w:t xml:space="preserve">  </w:t>
      </w:r>
      <w:r w:rsidR="0004511B">
        <w:t xml:space="preserve"> DLC’s motion was filed </w:t>
      </w:r>
      <w:r>
        <w:t xml:space="preserve">pursuant to 52 </w:t>
      </w:r>
      <w:smartTag w:uri="urn:schemas-microsoft-com:office:smarttags" w:element="State">
        <w:smartTag w:uri="urn:schemas-microsoft-com:office:smarttags" w:element="place">
          <w:r>
            <w:t>Pa.</w:t>
          </w:r>
        </w:smartTag>
      </w:smartTag>
      <w:r>
        <w:t xml:space="preserve"> Code §5.102 which permits the filing of motions for judgment on the pleadings and summary judgment.</w:t>
      </w:r>
      <w:r w:rsidR="007725A8">
        <w:t xml:space="preserve">  </w:t>
      </w:r>
      <w:r w:rsidR="007725A8" w:rsidRPr="00C2365A">
        <w:t xml:space="preserve">When ruling on a motion for judgment on the pleadings in our original jurisdiction, </w:t>
      </w:r>
      <w:r w:rsidR="00F95A29">
        <w:t>I must view</w:t>
      </w:r>
      <w:r w:rsidR="007725A8" w:rsidRPr="00C2365A">
        <w:t xml:space="preserve"> all of the opposing party's allegations as true, and only those facts that the opposing party has specifically admitted may be considered against </w:t>
      </w:r>
      <w:r w:rsidR="00544881">
        <w:t xml:space="preserve">that party.  In a motion for judgement on the pleadings, I may </w:t>
      </w:r>
      <w:r w:rsidR="00A16DA2">
        <w:t>only consider the pleadings</w:t>
      </w:r>
      <w:r w:rsidR="007725A8" w:rsidRPr="00C2365A">
        <w:t xml:space="preserve"> themselves and any documents properly attached thereto.</w:t>
      </w:r>
      <w:r w:rsidR="00A16DA2">
        <w:rPr>
          <w:rStyle w:val="FootnoteReference"/>
        </w:rPr>
        <w:footnoteReference w:id="2"/>
      </w:r>
      <w:r w:rsidR="007725A8" w:rsidRPr="00C2365A">
        <w:t> </w:t>
      </w:r>
      <w:r w:rsidR="007B4552">
        <w:rPr>
          <w:i/>
          <w:iCs/>
        </w:rPr>
        <w:t xml:space="preserve"> </w:t>
      </w:r>
      <w:r w:rsidR="007B4552">
        <w:t xml:space="preserve">I can only grant a </w:t>
      </w:r>
      <w:r w:rsidR="007725A8" w:rsidRPr="00C2365A">
        <w:t xml:space="preserve">motion for judgment on the pleadings </w:t>
      </w:r>
      <w:r w:rsidR="007B4552">
        <w:t>if it is clear that there is</w:t>
      </w:r>
      <w:r w:rsidR="001470DA">
        <w:t xml:space="preserve"> </w:t>
      </w:r>
      <w:r w:rsidR="007725A8" w:rsidRPr="00C2365A">
        <w:t>no genuine issue of fact</w:t>
      </w:r>
      <w:r w:rsidR="00920D40">
        <w:t xml:space="preserve"> in dispute</w:t>
      </w:r>
      <w:r w:rsidR="007725A8" w:rsidRPr="00C2365A">
        <w:t xml:space="preserve"> and the moving party is entitled to judgment as a matter of law</w:t>
      </w:r>
      <w:r w:rsidR="001470DA">
        <w:t>.</w:t>
      </w:r>
      <w:r w:rsidR="000064E5">
        <w:rPr>
          <w:rStyle w:val="FootnoteReference"/>
        </w:rPr>
        <w:footnoteReference w:id="3"/>
      </w:r>
    </w:p>
    <w:p w14:paraId="5B175F29" w14:textId="77777777" w:rsidR="00FB7EB0" w:rsidRDefault="00FB7EB0" w:rsidP="00FB7EB0">
      <w:pPr>
        <w:spacing w:after="0"/>
      </w:pPr>
    </w:p>
    <w:p w14:paraId="67738ECA" w14:textId="2AAA9238" w:rsidR="004C55EF" w:rsidRDefault="004C55EF" w:rsidP="00FB7EB0">
      <w:pPr>
        <w:spacing w:after="0"/>
        <w:rPr>
          <w:b/>
          <w:bCs/>
        </w:rPr>
      </w:pPr>
      <w:r w:rsidRPr="00920D40">
        <w:rPr>
          <w:b/>
          <w:bCs/>
        </w:rPr>
        <w:t>Disposition</w:t>
      </w:r>
    </w:p>
    <w:p w14:paraId="6CB83E84" w14:textId="77777777" w:rsidR="00FB7EB0" w:rsidRPr="00920D40" w:rsidRDefault="00FB7EB0" w:rsidP="00FB7EB0">
      <w:pPr>
        <w:spacing w:after="0"/>
        <w:rPr>
          <w:b/>
          <w:bCs/>
        </w:rPr>
      </w:pPr>
    </w:p>
    <w:p w14:paraId="154063F5" w14:textId="4B58E749" w:rsidR="004C55EF" w:rsidRDefault="004C55EF" w:rsidP="00FB7EB0">
      <w:pPr>
        <w:spacing w:after="0"/>
      </w:pPr>
      <w:r>
        <w:tab/>
      </w:r>
      <w:r>
        <w:tab/>
        <w:t xml:space="preserve">DLC argues that the complaint is moot because the Complainant did not file a response to DLC’s new matter.  Therefore, DLC’s </w:t>
      </w:r>
      <w:r w:rsidR="00E910A6">
        <w:t>averment that the Complainant requested to discontinue service must be deemed admitted</w:t>
      </w:r>
      <w:r w:rsidR="00920D40">
        <w:t xml:space="preserve"> and is therefore</w:t>
      </w:r>
      <w:r w:rsidR="00920221">
        <w:t xml:space="preserve"> undisputed</w:t>
      </w:r>
      <w:r w:rsidR="00E910A6">
        <w:t>.</w:t>
      </w:r>
    </w:p>
    <w:p w14:paraId="2CADAD6B" w14:textId="77777777" w:rsidR="00FB7EB0" w:rsidRDefault="00FB7EB0" w:rsidP="00FB7EB0">
      <w:pPr>
        <w:spacing w:after="0"/>
      </w:pPr>
    </w:p>
    <w:p w14:paraId="6325B513" w14:textId="1D8C7D44" w:rsidR="00F24662" w:rsidRDefault="00C83E8A" w:rsidP="00FB7EB0">
      <w:pPr>
        <w:spacing w:after="0"/>
      </w:pPr>
      <w:r>
        <w:tab/>
      </w:r>
      <w:r>
        <w:tab/>
      </w:r>
      <w:r w:rsidR="00263A83" w:rsidRPr="00263A83">
        <w:t xml:space="preserve">In reviewing the formal complaint form filed by the Complainant, </w:t>
      </w:r>
      <w:r w:rsidR="001A2238">
        <w:t xml:space="preserve">she </w:t>
      </w:r>
      <w:r w:rsidR="00263A83" w:rsidRPr="00263A83">
        <w:t>fail</w:t>
      </w:r>
      <w:r w:rsidR="001A2238">
        <w:t>ed</w:t>
      </w:r>
      <w:r w:rsidR="00263A83" w:rsidRPr="00263A83">
        <w:t xml:space="preserve"> to conform to the Commission’s requirements</w:t>
      </w:r>
      <w:r w:rsidR="000B06BB">
        <w:t xml:space="preserve"> because </w:t>
      </w:r>
      <w:r w:rsidR="00920221">
        <w:t>the Complainant</w:t>
      </w:r>
      <w:r w:rsidR="000B06BB">
        <w:t xml:space="preserve"> </w:t>
      </w:r>
      <w:r w:rsidR="00920221">
        <w:t xml:space="preserve">did </w:t>
      </w:r>
      <w:r w:rsidR="000B06BB">
        <w:t>not provide any detail</w:t>
      </w:r>
      <w:r w:rsidR="00D87CED">
        <w:t xml:space="preserve"> regarding the termination of her service, nor does she explain what relief she wants from the Commission</w:t>
      </w:r>
      <w:r w:rsidR="00263A83" w:rsidRPr="00263A83">
        <w:t>.</w:t>
      </w:r>
      <w:r w:rsidR="00E9689D" w:rsidRPr="00E9689D">
        <w:t xml:space="preserve"> </w:t>
      </w:r>
      <w:r w:rsidR="00E9689D">
        <w:rPr>
          <w:rStyle w:val="FootnoteReference"/>
        </w:rPr>
        <w:footnoteReference w:id="4"/>
      </w:r>
      <w:r w:rsidR="00E9689D" w:rsidRPr="00C938EA">
        <w:t xml:space="preserve">  </w:t>
      </w:r>
      <w:r w:rsidR="00DE4289">
        <w:t>DLC was left to speculate as to the reason for the Complaint and the relief that the Complainant was seeking.</w:t>
      </w:r>
      <w:r w:rsidR="00313B4B">
        <w:t xml:space="preserve"> </w:t>
      </w:r>
      <w:r w:rsidR="00F24662">
        <w:t xml:space="preserve">As DLC states, Section 5.63 of the Commission’s regulations does permit the presiding officer to </w:t>
      </w:r>
      <w:r w:rsidR="00343049">
        <w:t>consider a fact undisputed</w:t>
      </w:r>
      <w:r w:rsidR="00F24662">
        <w:t xml:space="preserve"> when a complainant fails to file a reply </w:t>
      </w:r>
      <w:r w:rsidR="00F24662">
        <w:lastRenderedPageBreak/>
        <w:t>to a new matter.</w:t>
      </w:r>
      <w:r w:rsidR="00F24662">
        <w:rPr>
          <w:rStyle w:val="FootnoteReference"/>
        </w:rPr>
        <w:footnoteReference w:id="5"/>
      </w:r>
      <w:r w:rsidR="00F24662">
        <w:t xml:space="preserve">  </w:t>
      </w:r>
      <w:r w:rsidR="008139DA">
        <w:t xml:space="preserve">However, I am mindful that the Complainant is self-represented. </w:t>
      </w:r>
      <w:r w:rsidR="00BA25BE">
        <w:t xml:space="preserve"> </w:t>
      </w:r>
      <w:r w:rsidR="00F24662">
        <w:t>In</w:t>
      </w:r>
      <w:r w:rsidR="00F24662" w:rsidRPr="00982AC1">
        <w:t xml:space="preserve"> </w:t>
      </w:r>
      <w:r w:rsidR="00F24662" w:rsidRPr="00982AC1">
        <w:rPr>
          <w:i/>
        </w:rPr>
        <w:t>Carlock v. The United Telephone Company of Pennsylvania</w:t>
      </w:r>
      <w:r w:rsidR="00F24662" w:rsidRPr="00982AC1">
        <w:t>,</w:t>
      </w:r>
      <w:r w:rsidR="00F24662">
        <w:rPr>
          <w:rStyle w:val="FootnoteReference"/>
        </w:rPr>
        <w:footnoteReference w:id="6"/>
      </w:r>
      <w:r w:rsidR="00F24662" w:rsidRPr="00982AC1">
        <w:t xml:space="preserve"> th</w:t>
      </w:r>
      <w:r w:rsidR="00F24662">
        <w:t>e</w:t>
      </w:r>
      <w:r w:rsidR="00F24662" w:rsidRPr="00982AC1">
        <w:t xml:space="preserve"> Commission held that, in the normal course, </w:t>
      </w:r>
      <w:r w:rsidR="00F24662">
        <w:t xml:space="preserve">the Commission </w:t>
      </w:r>
      <w:r w:rsidR="00F24662" w:rsidRPr="00982AC1">
        <w:t>would not dismiss a complaint</w:t>
      </w:r>
      <w:r w:rsidR="00F24662">
        <w:t xml:space="preserve"> of a self-represented person</w:t>
      </w:r>
      <w:r w:rsidR="00F24662" w:rsidRPr="00982AC1">
        <w:t xml:space="preserve"> without first providing a hearing during which </w:t>
      </w:r>
      <w:r w:rsidR="00F24662">
        <w:t xml:space="preserve">the </w:t>
      </w:r>
      <w:r w:rsidR="00F24662" w:rsidRPr="00D50FE1">
        <w:t>self-represented</w:t>
      </w:r>
      <w:r w:rsidR="00F24662" w:rsidRPr="00982AC1">
        <w:t xml:space="preserve"> complainant could further explain their position and the factual basis for their complaint.  The </w:t>
      </w:r>
      <w:r w:rsidR="00F24662">
        <w:t xml:space="preserve">Commission expressed the concern </w:t>
      </w:r>
      <w:r w:rsidR="00F24662" w:rsidRPr="00982AC1">
        <w:t xml:space="preserve">that, in general, complainants may find it difficult to navigate through pre-hearing motions and should be given the chance to orally describe their basic issue and supporting facts.  </w:t>
      </w:r>
      <w:r w:rsidR="006F2C87">
        <w:t>On this vein, it would be inappropriate to grant DLC’s motion for judgment on the pleadings.</w:t>
      </w:r>
      <w:r w:rsidR="000B06BB">
        <w:t xml:space="preserve"> </w:t>
      </w:r>
    </w:p>
    <w:p w14:paraId="179C28AC" w14:textId="587C70E7" w:rsidR="001A2238" w:rsidRDefault="001A2238" w:rsidP="00FB7EB0">
      <w:pPr>
        <w:spacing w:after="0"/>
      </w:pPr>
    </w:p>
    <w:p w14:paraId="2CB47CE7" w14:textId="390435B2" w:rsidR="00D546A4" w:rsidRDefault="001A2238" w:rsidP="00FB7EB0">
      <w:pPr>
        <w:spacing w:after="0"/>
      </w:pPr>
      <w:r>
        <w:tab/>
      </w:r>
      <w:r>
        <w:tab/>
        <w:t xml:space="preserve">However, </w:t>
      </w:r>
      <w:r w:rsidR="00795AC8">
        <w:t xml:space="preserve">DLC must have an opportunity to understand and respond in a meaningful way to a formal complaint.  </w:t>
      </w:r>
      <w:r w:rsidR="003B273B">
        <w:t>T</w:t>
      </w:r>
      <w:r>
        <w:t>he Commission’s rules of procedure permit the Commission to direct a more specific pleading.</w:t>
      </w:r>
      <w:r w:rsidR="00C41DF1">
        <w:rPr>
          <w:rStyle w:val="FootnoteReference"/>
        </w:rPr>
        <w:footnoteReference w:id="7"/>
      </w:r>
      <w:r w:rsidR="00DA6532">
        <w:t xml:space="preserve">  Therefore, the Complainant is directed to file a</w:t>
      </w:r>
      <w:r w:rsidR="002526B7">
        <w:t>n amendment to her complaint which includes more details regarding the nature of her dispute with DLC and specifically states what should would like the Commission to do to resolve her dispute.</w:t>
      </w:r>
      <w:r w:rsidR="00675846">
        <w:t xml:space="preserve">  </w:t>
      </w:r>
      <w:proofErr w:type="gramStart"/>
      <w:r w:rsidR="00AE3128">
        <w:t>In the event that</w:t>
      </w:r>
      <w:proofErr w:type="gramEnd"/>
      <w:r w:rsidR="00AE3128">
        <w:t xml:space="preserve"> the Complainant fails to comply with this order, DLC may file an appropriate motion</w:t>
      </w:r>
      <w:r w:rsidR="00C41DF1">
        <w:t xml:space="preserve"> to seek dismissal of the complaint.</w:t>
      </w:r>
    </w:p>
    <w:p w14:paraId="718CB717" w14:textId="3E58EDDC" w:rsidR="00FB7EB0" w:rsidRDefault="00FB7EB0" w:rsidP="00FB7EB0">
      <w:pPr>
        <w:spacing w:after="0"/>
      </w:pPr>
    </w:p>
    <w:p w14:paraId="74A9D82D" w14:textId="77777777" w:rsidR="00FB7EB0" w:rsidRDefault="00FB7EB0" w:rsidP="00FB7EB0">
      <w:pPr>
        <w:spacing w:after="0"/>
      </w:pPr>
    </w:p>
    <w:p w14:paraId="0052122A" w14:textId="32D72C96" w:rsidR="009A52D5" w:rsidRDefault="009A52D5" w:rsidP="00FB7EB0">
      <w:pPr>
        <w:spacing w:after="0"/>
        <w:ind w:left="720" w:firstLine="720"/>
      </w:pPr>
      <w:r>
        <w:t>THEREFORE,</w:t>
      </w:r>
    </w:p>
    <w:p w14:paraId="03D64240" w14:textId="77777777" w:rsidR="00FB7EB0" w:rsidRDefault="00FB7EB0" w:rsidP="00FB7EB0">
      <w:pPr>
        <w:spacing w:after="0"/>
        <w:ind w:left="720" w:firstLine="720"/>
      </w:pPr>
    </w:p>
    <w:p w14:paraId="39376513" w14:textId="4DB836DD" w:rsidR="009A52D5" w:rsidRDefault="009A52D5" w:rsidP="00FB7EB0">
      <w:pPr>
        <w:spacing w:after="0"/>
        <w:ind w:left="720" w:firstLine="720"/>
      </w:pPr>
      <w:r>
        <w:t>IT IS ORDERED:</w:t>
      </w:r>
    </w:p>
    <w:p w14:paraId="2F1D9D2B" w14:textId="77777777" w:rsidR="00FB7EB0" w:rsidRDefault="00FB7EB0" w:rsidP="00FB7EB0">
      <w:pPr>
        <w:spacing w:after="0"/>
        <w:ind w:left="720" w:firstLine="720"/>
      </w:pPr>
    </w:p>
    <w:p w14:paraId="5681F287" w14:textId="1E234F25" w:rsidR="009A52D5" w:rsidRDefault="009A52D5" w:rsidP="00FB7EB0">
      <w:pPr>
        <w:spacing w:after="0"/>
      </w:pPr>
      <w:r>
        <w:tab/>
        <w:t>1.</w:t>
      </w:r>
      <w:r>
        <w:tab/>
        <w:t>That the motion for judgement on the pleadings filed by Duquesne Light Company is denied.</w:t>
      </w:r>
    </w:p>
    <w:p w14:paraId="4B9FEDB9" w14:textId="77777777" w:rsidR="00FB7EB0" w:rsidRDefault="00FB7EB0" w:rsidP="00FB7EB0">
      <w:pPr>
        <w:spacing w:after="0"/>
      </w:pPr>
    </w:p>
    <w:p w14:paraId="436793A5" w14:textId="516F9D49" w:rsidR="001A0148" w:rsidRDefault="009A52D5" w:rsidP="00FB7EB0">
      <w:pPr>
        <w:spacing w:after="0"/>
      </w:pPr>
      <w:r>
        <w:tab/>
        <w:t>2.</w:t>
      </w:r>
      <w:r>
        <w:tab/>
      </w:r>
      <w:r w:rsidR="001A0148">
        <w:t xml:space="preserve">That </w:t>
      </w:r>
      <w:r w:rsidR="006C5C66">
        <w:t>Cinnamon Coprich</w:t>
      </w:r>
      <w:r w:rsidR="001A0148">
        <w:t xml:space="preserve"> shall file and serve an amended complaint which sets forth additional facts, consistent with the instructions provided on the Commission’s formal </w:t>
      </w:r>
      <w:r w:rsidR="001A0148">
        <w:lastRenderedPageBreak/>
        <w:t xml:space="preserve">complaint form, in support of </w:t>
      </w:r>
      <w:r w:rsidR="00ED6DFC">
        <w:t>the Complainant’s</w:t>
      </w:r>
      <w:r w:rsidR="001A0148">
        <w:t xml:space="preserve"> allegations against Duquesne Light Company</w:t>
      </w:r>
      <w:r w:rsidR="003B273B">
        <w:t xml:space="preserve"> </w:t>
      </w:r>
      <w:r w:rsidR="00A115E6" w:rsidRPr="00ED6DFC">
        <w:rPr>
          <w:b/>
          <w:bCs/>
          <w:u w:val="single"/>
        </w:rPr>
        <w:t>on or before January 30, 2023</w:t>
      </w:r>
      <w:r w:rsidR="001A0148">
        <w:t>.  A copy of the amended complaint shall be served on counsel for Duquesne Light Company as well as the undersigned administrative law judge.</w:t>
      </w:r>
    </w:p>
    <w:p w14:paraId="41F1D382" w14:textId="77777777" w:rsidR="00FB7EB0" w:rsidRDefault="00FB7EB0" w:rsidP="00FB7EB0">
      <w:pPr>
        <w:spacing w:after="0"/>
      </w:pPr>
    </w:p>
    <w:p w14:paraId="1B225DB6" w14:textId="7AB7E49E" w:rsidR="00DC5075" w:rsidRDefault="006C5C66" w:rsidP="00FB7EB0">
      <w:pPr>
        <w:spacing w:after="0"/>
      </w:pPr>
      <w:r>
        <w:tab/>
        <w:t>3.</w:t>
      </w:r>
      <w:r>
        <w:tab/>
      </w:r>
      <w:r w:rsidR="00DC5075">
        <w:t>That upon timely filing and service of an amended complaint by Cinnamon Coprich, Duquesne Light Company shall timely file and serve a responsive pleading.</w:t>
      </w:r>
    </w:p>
    <w:p w14:paraId="6D1A296B" w14:textId="1071C897" w:rsidR="006C5C66" w:rsidRDefault="006C5C66" w:rsidP="00FB7EB0">
      <w:pPr>
        <w:spacing w:after="0"/>
      </w:pPr>
    </w:p>
    <w:p w14:paraId="10BC288B" w14:textId="051200C1" w:rsidR="009A52D5" w:rsidRDefault="009A52D5" w:rsidP="00FB7EB0">
      <w:pPr>
        <w:spacing w:after="0"/>
      </w:pPr>
    </w:p>
    <w:p w14:paraId="6D0C695E" w14:textId="0EB647C5" w:rsidR="00FB7EB0" w:rsidRPr="009A06F0" w:rsidRDefault="00FB7EB0" w:rsidP="00FB7EB0">
      <w:pPr>
        <w:tabs>
          <w:tab w:val="left" w:pos="360"/>
        </w:tabs>
        <w:spacing w:after="0" w:line="240" w:lineRule="auto"/>
        <w:jc w:val="both"/>
        <w:rPr>
          <w:rFonts w:eastAsia="SimSun"/>
        </w:rPr>
      </w:pPr>
      <w:r>
        <w:rPr>
          <w:szCs w:val="24"/>
        </w:rPr>
        <w:t xml:space="preserve">Date:  </w:t>
      </w:r>
      <w:r>
        <w:rPr>
          <w:szCs w:val="24"/>
          <w:u w:val="single"/>
        </w:rPr>
        <w:t>January 13, 2023</w:t>
      </w:r>
      <w:r>
        <w:rPr>
          <w:rFonts w:eastAsia="SimSun"/>
        </w:rPr>
        <w:tab/>
        <w:t xml:space="preserve"> </w:t>
      </w:r>
      <w:r>
        <w:rPr>
          <w:rFonts w:eastAsia="SimSun"/>
        </w:rPr>
        <w:tab/>
      </w:r>
      <w:r>
        <w:rPr>
          <w:rFonts w:eastAsia="SimSun"/>
        </w:rPr>
        <w:tab/>
      </w:r>
      <w:r>
        <w:rPr>
          <w:rFonts w:eastAsia="SimSun"/>
        </w:rPr>
        <w:tab/>
      </w:r>
      <w:r w:rsidRPr="00FB7EB0">
        <w:rPr>
          <w:rFonts w:eastAsia="SimSun"/>
          <w:b/>
          <w:bCs/>
          <w:u w:val="single"/>
        </w:rPr>
        <w:t>_</w:t>
      </w:r>
      <w:r w:rsidRPr="00FB7EB0">
        <w:rPr>
          <w:rFonts w:eastAsia="SimSun"/>
          <w:b/>
          <w:bCs/>
          <w:u w:val="single"/>
        </w:rPr>
        <w:tab/>
        <w:t>___/s/____________</w:t>
      </w:r>
    </w:p>
    <w:p w14:paraId="10333728" w14:textId="77777777" w:rsidR="00FB7EB0" w:rsidRPr="009A06F0" w:rsidRDefault="00FB7EB0" w:rsidP="00FB7EB0">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Mary D. Long</w:t>
      </w:r>
    </w:p>
    <w:p w14:paraId="17D7C4B0" w14:textId="77777777" w:rsidR="00FB7EB0" w:rsidRDefault="00FB7EB0" w:rsidP="00FB7EB0">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Administrative Law Judge</w:t>
      </w:r>
    </w:p>
    <w:p w14:paraId="1EB3A6A2" w14:textId="01EC1AE6" w:rsidR="00FB7EB0" w:rsidRDefault="00FB7EB0" w:rsidP="00FB7EB0">
      <w:pPr>
        <w:spacing w:after="0"/>
      </w:pPr>
    </w:p>
    <w:p w14:paraId="3439012B" w14:textId="77777777" w:rsidR="00FB7EB0" w:rsidRDefault="00FB7EB0" w:rsidP="00FB7EB0">
      <w:pPr>
        <w:spacing w:after="0"/>
        <w:sectPr w:rsidR="00FB7EB0" w:rsidSect="00FB7EB0">
          <w:footerReference w:type="default" r:id="rId7"/>
          <w:pgSz w:w="12240" w:h="15840"/>
          <w:pgMar w:top="1440" w:right="1440" w:bottom="1440" w:left="1440" w:header="720" w:footer="720" w:gutter="0"/>
          <w:cols w:space="720"/>
          <w:titlePg/>
          <w:docGrid w:linePitch="360"/>
        </w:sectPr>
      </w:pPr>
    </w:p>
    <w:p w14:paraId="504F3FC8" w14:textId="77777777" w:rsidR="00FB7EB0" w:rsidRPr="00FB7EB0" w:rsidRDefault="00FB7EB0" w:rsidP="00FB7EB0">
      <w:pPr>
        <w:spacing w:line="259" w:lineRule="auto"/>
        <w:rPr>
          <w:rFonts w:ascii="Calibri" w:eastAsia="Times New Roman" w:hAnsi="Calibri" w:cs="Times New Roman"/>
          <w:i/>
          <w:iCs/>
          <w:sz w:val="22"/>
        </w:rPr>
      </w:pPr>
      <w:r w:rsidRPr="00FB7EB0">
        <w:rPr>
          <w:rFonts w:ascii="Microsoft Sans Serif" w:eastAsia="Microsoft Sans Serif" w:hAnsi="Microsoft Sans Serif" w:cs="Microsoft Sans Serif"/>
          <w:b/>
          <w:u w:val="single"/>
        </w:rPr>
        <w:t>C-2022-3035891 - CINNAMON COPRICH v. DUQUESNE LIGHT COMPANY</w:t>
      </w:r>
      <w:r w:rsidRPr="00FB7EB0">
        <w:rPr>
          <w:rFonts w:ascii="Microsoft Sans Serif" w:eastAsia="Microsoft Sans Serif" w:hAnsi="Microsoft Sans Serif" w:cs="Microsoft Sans Serif"/>
          <w:b/>
          <w:u w:val="single"/>
        </w:rPr>
        <w:cr/>
      </w:r>
      <w:r w:rsidRPr="00FB7EB0">
        <w:rPr>
          <w:rFonts w:ascii="Microsoft Sans Serif" w:eastAsia="Microsoft Sans Serif" w:hAnsi="Microsoft Sans Serif" w:cs="Microsoft Sans Serif"/>
          <w:b/>
          <w:u w:val="single"/>
        </w:rPr>
        <w:cr/>
      </w:r>
      <w:r w:rsidRPr="00FB7EB0">
        <w:rPr>
          <w:rFonts w:ascii="Microsoft Sans Serif" w:eastAsia="Microsoft Sans Serif" w:hAnsi="Microsoft Sans Serif" w:cs="Microsoft Sans Serif"/>
        </w:rPr>
        <w:t>CINNAMON COPRICH</w:t>
      </w:r>
      <w:r w:rsidRPr="00FB7EB0">
        <w:rPr>
          <w:rFonts w:ascii="Microsoft Sans Serif" w:eastAsia="Microsoft Sans Serif" w:hAnsi="Microsoft Sans Serif" w:cs="Microsoft Sans Serif"/>
        </w:rPr>
        <w:cr/>
        <w:t xml:space="preserve">124 MILLER ROAD </w:t>
      </w:r>
      <w:r w:rsidRPr="00FB7EB0">
        <w:rPr>
          <w:rFonts w:ascii="Microsoft Sans Serif" w:eastAsia="Microsoft Sans Serif" w:hAnsi="Microsoft Sans Serif" w:cs="Microsoft Sans Serif"/>
        </w:rPr>
        <w:cr/>
        <w:t>RANKIN PA  15104</w:t>
      </w:r>
      <w:r w:rsidRPr="00FB7EB0">
        <w:rPr>
          <w:rFonts w:ascii="Microsoft Sans Serif" w:eastAsia="Microsoft Sans Serif" w:hAnsi="Microsoft Sans Serif" w:cs="Microsoft Sans Serif"/>
        </w:rPr>
        <w:cr/>
      </w:r>
      <w:r w:rsidRPr="00FB7EB0">
        <w:rPr>
          <w:rFonts w:ascii="Microsoft Sans Serif" w:eastAsia="Microsoft Sans Serif" w:hAnsi="Microsoft Sans Serif" w:cs="Microsoft Sans Serif"/>
          <w:b/>
          <w:bCs/>
        </w:rPr>
        <w:t>412.596.4825</w:t>
      </w:r>
      <w:r w:rsidRPr="00FB7EB0">
        <w:rPr>
          <w:rFonts w:ascii="Microsoft Sans Serif" w:eastAsia="Microsoft Sans Serif" w:hAnsi="Microsoft Sans Serif" w:cs="Microsoft Sans Serif"/>
          <w:b/>
          <w:bCs/>
        </w:rPr>
        <w:cr/>
      </w:r>
      <w:r w:rsidRPr="00FB7EB0">
        <w:rPr>
          <w:rFonts w:ascii="Microsoft Sans Serif" w:eastAsia="Microsoft Sans Serif" w:hAnsi="Microsoft Sans Serif" w:cs="Microsoft Sans Serif"/>
        </w:rPr>
        <w:t>ccoprich@moraviahealth.com</w:t>
      </w:r>
      <w:r w:rsidRPr="00FB7EB0">
        <w:rPr>
          <w:rFonts w:ascii="Microsoft Sans Serif" w:eastAsia="Microsoft Sans Serif" w:hAnsi="Microsoft Sans Serif" w:cs="Microsoft Sans Serif"/>
        </w:rPr>
        <w:cr/>
        <w:t xml:space="preserve"> </w:t>
      </w:r>
      <w:r w:rsidRPr="00FB7EB0">
        <w:rPr>
          <w:rFonts w:ascii="Microsoft Sans Serif" w:eastAsia="Microsoft Sans Serif" w:hAnsi="Microsoft Sans Serif" w:cs="Microsoft Sans Serif"/>
        </w:rPr>
        <w:cr/>
      </w:r>
      <w:r w:rsidRPr="00FB7EB0">
        <w:rPr>
          <w:rFonts w:ascii="Microsoft Sans Serif" w:eastAsia="Microsoft Sans Serif" w:hAnsi="Microsoft Sans Serif" w:cs="Microsoft Sans Serif"/>
        </w:rPr>
        <w:cr/>
        <w:t>EMILY M FARAH ESQUIRE</w:t>
      </w:r>
      <w:r w:rsidRPr="00FB7EB0">
        <w:rPr>
          <w:rFonts w:ascii="Microsoft Sans Serif" w:eastAsia="Microsoft Sans Serif" w:hAnsi="Microsoft Sans Serif" w:cs="Microsoft Sans Serif"/>
        </w:rPr>
        <w:cr/>
        <w:t>DUQUESNE LIGHT COMPANY</w:t>
      </w:r>
      <w:r w:rsidRPr="00FB7EB0">
        <w:rPr>
          <w:rFonts w:ascii="Microsoft Sans Serif" w:eastAsia="Microsoft Sans Serif" w:hAnsi="Microsoft Sans Serif" w:cs="Microsoft Sans Serif"/>
        </w:rPr>
        <w:cr/>
        <w:t>411 SEVENTH AVENUE</w:t>
      </w:r>
      <w:r w:rsidRPr="00FB7EB0">
        <w:rPr>
          <w:rFonts w:ascii="Microsoft Sans Serif" w:eastAsia="Microsoft Sans Serif" w:hAnsi="Microsoft Sans Serif" w:cs="Microsoft Sans Serif"/>
        </w:rPr>
        <w:cr/>
        <w:t>PITTSBURGH PA  15219</w:t>
      </w:r>
      <w:r w:rsidRPr="00FB7EB0">
        <w:rPr>
          <w:rFonts w:ascii="Microsoft Sans Serif" w:eastAsia="Microsoft Sans Serif" w:hAnsi="Microsoft Sans Serif" w:cs="Microsoft Sans Serif"/>
        </w:rPr>
        <w:cr/>
      </w:r>
      <w:r w:rsidRPr="00FB7EB0">
        <w:rPr>
          <w:rFonts w:ascii="Microsoft Sans Serif" w:eastAsia="Microsoft Sans Serif" w:hAnsi="Microsoft Sans Serif" w:cs="Microsoft Sans Serif"/>
          <w:b/>
          <w:bCs/>
        </w:rPr>
        <w:t>412.393.6431</w:t>
      </w:r>
      <w:r w:rsidRPr="00FB7EB0">
        <w:rPr>
          <w:rFonts w:ascii="Microsoft Sans Serif" w:eastAsia="Microsoft Sans Serif" w:hAnsi="Microsoft Sans Serif" w:cs="Microsoft Sans Serif"/>
        </w:rPr>
        <w:cr/>
        <w:t>efarah@duqlight.com</w:t>
      </w:r>
      <w:r w:rsidRPr="00FB7EB0">
        <w:rPr>
          <w:rFonts w:ascii="Microsoft Sans Serif" w:eastAsia="Microsoft Sans Serif" w:hAnsi="Microsoft Sans Serif" w:cs="Microsoft Sans Serif"/>
        </w:rPr>
        <w:cr/>
        <w:t xml:space="preserve">Accepts eService </w:t>
      </w:r>
      <w:r w:rsidRPr="00FB7EB0">
        <w:rPr>
          <w:rFonts w:ascii="Microsoft Sans Serif" w:eastAsia="Microsoft Sans Serif" w:hAnsi="Microsoft Sans Serif" w:cs="Microsoft Sans Serif"/>
        </w:rPr>
        <w:cr/>
      </w:r>
      <w:r w:rsidRPr="00FB7EB0">
        <w:rPr>
          <w:rFonts w:ascii="Microsoft Sans Serif" w:eastAsia="Microsoft Sans Serif" w:hAnsi="Microsoft Sans Serif" w:cs="Microsoft Sans Serif"/>
        </w:rPr>
        <w:cr/>
        <w:t>DONALD R WAGNER ESQUIRE</w:t>
      </w:r>
      <w:r w:rsidRPr="00FB7EB0">
        <w:rPr>
          <w:rFonts w:ascii="Microsoft Sans Serif" w:eastAsia="Microsoft Sans Serif" w:hAnsi="Microsoft Sans Serif" w:cs="Microsoft Sans Serif"/>
        </w:rPr>
        <w:br/>
        <w:t>DAVID BEANE ESQUIRE</w:t>
      </w:r>
      <w:r w:rsidRPr="00FB7EB0">
        <w:rPr>
          <w:rFonts w:ascii="Microsoft Sans Serif" w:eastAsia="Microsoft Sans Serif" w:hAnsi="Microsoft Sans Serif" w:cs="Microsoft Sans Serif"/>
        </w:rPr>
        <w:cr/>
        <w:t>STEVENS &amp; LEE</w:t>
      </w:r>
      <w:r w:rsidRPr="00FB7EB0">
        <w:rPr>
          <w:rFonts w:ascii="Microsoft Sans Serif" w:eastAsia="Microsoft Sans Serif" w:hAnsi="Microsoft Sans Serif" w:cs="Microsoft Sans Serif"/>
        </w:rPr>
        <w:cr/>
        <w:t>111 N 6TH STREET</w:t>
      </w:r>
      <w:r w:rsidRPr="00FB7EB0">
        <w:rPr>
          <w:rFonts w:ascii="Microsoft Sans Serif" w:eastAsia="Microsoft Sans Serif" w:hAnsi="Microsoft Sans Serif" w:cs="Microsoft Sans Serif"/>
        </w:rPr>
        <w:br/>
        <w:t>READING PA  19601</w:t>
      </w:r>
      <w:r w:rsidRPr="00FB7EB0">
        <w:rPr>
          <w:rFonts w:ascii="Microsoft Sans Serif" w:eastAsia="Microsoft Sans Serif" w:hAnsi="Microsoft Sans Serif" w:cs="Microsoft Sans Serif"/>
        </w:rPr>
        <w:cr/>
      </w:r>
      <w:r w:rsidRPr="00FB7EB0">
        <w:rPr>
          <w:rFonts w:ascii="Microsoft Sans Serif" w:eastAsia="Microsoft Sans Serif" w:hAnsi="Microsoft Sans Serif" w:cs="Microsoft Sans Serif"/>
          <w:b/>
          <w:bCs/>
        </w:rPr>
        <w:t>610.478.2216</w:t>
      </w:r>
      <w:r w:rsidRPr="00FB7EB0">
        <w:rPr>
          <w:rFonts w:ascii="Microsoft Sans Serif" w:eastAsia="Microsoft Sans Serif" w:hAnsi="Microsoft Sans Serif" w:cs="Microsoft Sans Serif"/>
          <w:b/>
          <w:bCs/>
        </w:rPr>
        <w:br/>
        <w:t>610.478.2169</w:t>
      </w:r>
      <w:r w:rsidRPr="00FB7EB0">
        <w:rPr>
          <w:rFonts w:ascii="Microsoft Sans Serif" w:eastAsia="Microsoft Sans Serif" w:hAnsi="Microsoft Sans Serif" w:cs="Microsoft Sans Serif"/>
        </w:rPr>
        <w:cr/>
        <w:t>donald.wagner@stevenslee.com</w:t>
      </w:r>
      <w:r w:rsidRPr="00FB7EB0">
        <w:rPr>
          <w:rFonts w:ascii="Microsoft Sans Serif" w:eastAsia="Microsoft Sans Serif" w:hAnsi="Microsoft Sans Serif" w:cs="Microsoft Sans Serif"/>
        </w:rPr>
        <w:br/>
        <w:t>david.beane@stevenslee.com</w:t>
      </w:r>
      <w:r w:rsidRPr="00FB7EB0">
        <w:rPr>
          <w:rFonts w:ascii="Microsoft Sans Serif" w:eastAsia="Microsoft Sans Serif" w:hAnsi="Microsoft Sans Serif" w:cs="Microsoft Sans Serif"/>
        </w:rPr>
        <w:cr/>
        <w:t>Accepts eService</w:t>
      </w:r>
      <w:r w:rsidRPr="00FB7EB0">
        <w:rPr>
          <w:rFonts w:ascii="Microsoft Sans Serif" w:eastAsia="Microsoft Sans Serif" w:hAnsi="Microsoft Sans Serif" w:cs="Microsoft Sans Serif"/>
        </w:rPr>
        <w:br/>
      </w:r>
      <w:r w:rsidRPr="00FB7EB0">
        <w:rPr>
          <w:rFonts w:ascii="Microsoft Sans Serif" w:eastAsia="Microsoft Sans Serif" w:hAnsi="Microsoft Sans Serif" w:cs="Microsoft Sans Serif"/>
          <w:i/>
          <w:iCs/>
        </w:rPr>
        <w:t>Representing Duquesne Light Company</w:t>
      </w:r>
    </w:p>
    <w:p w14:paraId="0B4EAEC1" w14:textId="77777777" w:rsidR="00FB7EB0" w:rsidRPr="00FB7EB0" w:rsidRDefault="00FB7EB0" w:rsidP="00FB7EB0">
      <w:pPr>
        <w:spacing w:line="259" w:lineRule="auto"/>
        <w:rPr>
          <w:rFonts w:ascii="Calibri" w:eastAsia="Times New Roman" w:hAnsi="Calibri" w:cs="Times New Roman"/>
          <w:sz w:val="22"/>
        </w:rPr>
      </w:pPr>
    </w:p>
    <w:p w14:paraId="59D0A439" w14:textId="77777777" w:rsidR="00FB7EB0" w:rsidRDefault="00FB7EB0" w:rsidP="00FB7EB0">
      <w:pPr>
        <w:spacing w:after="0"/>
      </w:pPr>
    </w:p>
    <w:sectPr w:rsidR="00FB7E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951B" w14:textId="77777777" w:rsidR="00EF5EAB" w:rsidRDefault="00EF5EAB" w:rsidP="00D5097F">
      <w:pPr>
        <w:spacing w:after="0" w:line="240" w:lineRule="auto"/>
      </w:pPr>
      <w:r>
        <w:separator/>
      </w:r>
    </w:p>
  </w:endnote>
  <w:endnote w:type="continuationSeparator" w:id="0">
    <w:p w14:paraId="62929FA9" w14:textId="77777777" w:rsidR="00EF5EAB" w:rsidRDefault="00EF5EAB" w:rsidP="00D5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94665771"/>
      <w:docPartObj>
        <w:docPartGallery w:val="Page Numbers (Bottom of Page)"/>
        <w:docPartUnique/>
      </w:docPartObj>
    </w:sdtPr>
    <w:sdtEndPr>
      <w:rPr>
        <w:noProof/>
      </w:rPr>
    </w:sdtEndPr>
    <w:sdtContent>
      <w:p w14:paraId="62FFEB7A" w14:textId="4B796D0A" w:rsidR="00FB7EB0" w:rsidRPr="00FB7EB0" w:rsidRDefault="00FB7EB0" w:rsidP="00FB7EB0">
        <w:pPr>
          <w:pStyle w:val="Footer"/>
          <w:jc w:val="center"/>
          <w:rPr>
            <w:sz w:val="20"/>
            <w:szCs w:val="20"/>
          </w:rPr>
        </w:pPr>
        <w:r w:rsidRPr="00FB7EB0">
          <w:rPr>
            <w:sz w:val="20"/>
            <w:szCs w:val="20"/>
          </w:rPr>
          <w:fldChar w:fldCharType="begin"/>
        </w:r>
        <w:r w:rsidRPr="00FB7EB0">
          <w:rPr>
            <w:sz w:val="20"/>
            <w:szCs w:val="20"/>
          </w:rPr>
          <w:instrText xml:space="preserve"> PAGE   \* MERGEFORMAT </w:instrText>
        </w:r>
        <w:r w:rsidRPr="00FB7EB0">
          <w:rPr>
            <w:sz w:val="20"/>
            <w:szCs w:val="20"/>
          </w:rPr>
          <w:fldChar w:fldCharType="separate"/>
        </w:r>
        <w:r w:rsidRPr="00FB7EB0">
          <w:rPr>
            <w:noProof/>
            <w:sz w:val="20"/>
            <w:szCs w:val="20"/>
          </w:rPr>
          <w:t>2</w:t>
        </w:r>
        <w:r w:rsidRPr="00FB7EB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A01" w14:textId="310785FC" w:rsidR="00FB7EB0" w:rsidRPr="00FB7EB0" w:rsidRDefault="00FB7EB0" w:rsidP="00FB7EB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BCA0" w14:textId="77777777" w:rsidR="00EF5EAB" w:rsidRDefault="00EF5EAB" w:rsidP="00D5097F">
      <w:pPr>
        <w:spacing w:after="0" w:line="240" w:lineRule="auto"/>
      </w:pPr>
      <w:r>
        <w:separator/>
      </w:r>
    </w:p>
  </w:footnote>
  <w:footnote w:type="continuationSeparator" w:id="0">
    <w:p w14:paraId="7BC6AA73" w14:textId="77777777" w:rsidR="00EF5EAB" w:rsidRDefault="00EF5EAB" w:rsidP="00D5097F">
      <w:pPr>
        <w:spacing w:after="0" w:line="240" w:lineRule="auto"/>
      </w:pPr>
      <w:r>
        <w:continuationSeparator/>
      </w:r>
    </w:p>
  </w:footnote>
  <w:footnote w:id="1">
    <w:p w14:paraId="5ED12865" w14:textId="06E2AE49" w:rsidR="007333EB" w:rsidRDefault="007333EB" w:rsidP="00FB7EB0">
      <w:pPr>
        <w:pStyle w:val="FootnoteText"/>
        <w:ind w:firstLine="720"/>
      </w:pPr>
      <w:r>
        <w:rPr>
          <w:rStyle w:val="FootnoteReference"/>
        </w:rPr>
        <w:footnoteRef/>
      </w:r>
      <w:r>
        <w:t xml:space="preserve"> </w:t>
      </w:r>
      <w:r>
        <w:tab/>
      </w:r>
      <w:r w:rsidRPr="00C3402A">
        <w:rPr>
          <w:i/>
          <w:iCs/>
        </w:rPr>
        <w:t>Equitable Small Transportation Interveners v. Equitable Gas Company</w:t>
      </w:r>
      <w:r w:rsidRPr="007333EB">
        <w:t>, 1994 Pa. PUC LEXIS 69, Docket No. C-00935435 (July 18, 1994)</w:t>
      </w:r>
    </w:p>
  </w:footnote>
  <w:footnote w:id="2">
    <w:p w14:paraId="1DEF2146" w14:textId="5726013E" w:rsidR="00A16DA2" w:rsidRDefault="00A16DA2" w:rsidP="00FB7EB0">
      <w:pPr>
        <w:pStyle w:val="FootnoteText"/>
        <w:ind w:firstLine="720"/>
      </w:pPr>
      <w:r>
        <w:rPr>
          <w:rStyle w:val="FootnoteReference"/>
        </w:rPr>
        <w:footnoteRef/>
      </w:r>
      <w:r>
        <w:t xml:space="preserve"> </w:t>
      </w:r>
      <w:r w:rsidR="000064E5">
        <w:tab/>
      </w:r>
      <w:r w:rsidR="00CB3DE4" w:rsidRPr="000064E5">
        <w:rPr>
          <w:i/>
          <w:iCs/>
        </w:rPr>
        <w:t>Johnson v. Wetzel</w:t>
      </w:r>
      <w:r w:rsidR="00CB3DE4" w:rsidRPr="00CB3DE4">
        <w:t>, 271 A.3d 547 (Pa. Commw. Ct. 2021)</w:t>
      </w:r>
      <w:r w:rsidR="00C3402A">
        <w:t>.</w:t>
      </w:r>
    </w:p>
  </w:footnote>
  <w:footnote w:id="3">
    <w:p w14:paraId="66FA30AB" w14:textId="3DE8E188" w:rsidR="000064E5" w:rsidRPr="000064E5" w:rsidRDefault="000064E5" w:rsidP="00FB7EB0">
      <w:pPr>
        <w:pStyle w:val="FootnoteText"/>
        <w:ind w:firstLine="720"/>
        <w:rPr>
          <w:i/>
          <w:iCs/>
        </w:rPr>
      </w:pPr>
      <w:r>
        <w:rPr>
          <w:rStyle w:val="FootnoteReference"/>
        </w:rPr>
        <w:footnoteRef/>
      </w:r>
      <w:r>
        <w:t xml:space="preserve"> </w:t>
      </w:r>
      <w:r>
        <w:tab/>
      </w:r>
      <w:r>
        <w:rPr>
          <w:i/>
          <w:iCs/>
        </w:rPr>
        <w:t>Id.</w:t>
      </w:r>
    </w:p>
  </w:footnote>
  <w:footnote w:id="4">
    <w:p w14:paraId="3DB9F88D" w14:textId="28F5B4EA" w:rsidR="00E9689D" w:rsidRDefault="00E9689D" w:rsidP="00FB7EB0">
      <w:pPr>
        <w:pStyle w:val="FootnoteText"/>
        <w:ind w:firstLine="720"/>
      </w:pPr>
      <w:r>
        <w:rPr>
          <w:rStyle w:val="FootnoteReference"/>
        </w:rPr>
        <w:footnoteRef/>
      </w:r>
      <w:r>
        <w:t xml:space="preserve">  </w:t>
      </w:r>
      <w:r>
        <w:tab/>
      </w:r>
      <w:r w:rsidRPr="00C938EA">
        <w:t>52 Pa.Code §§ 5.22(a)(5) and (6).</w:t>
      </w:r>
    </w:p>
  </w:footnote>
  <w:footnote w:id="5">
    <w:p w14:paraId="7EDE2DAF" w14:textId="77777777" w:rsidR="00F24662" w:rsidRDefault="00F24662" w:rsidP="00FB7EB0">
      <w:pPr>
        <w:pStyle w:val="FootnoteText"/>
        <w:ind w:firstLine="720"/>
      </w:pPr>
      <w:r>
        <w:rPr>
          <w:rStyle w:val="FootnoteReference"/>
        </w:rPr>
        <w:footnoteRef/>
      </w:r>
      <w:r>
        <w:t xml:space="preserve"> </w:t>
      </w:r>
      <w:r>
        <w:tab/>
        <w:t>52 Pa.Code § 5.63(b).</w:t>
      </w:r>
    </w:p>
  </w:footnote>
  <w:footnote w:id="6">
    <w:p w14:paraId="2C8B85AA" w14:textId="77777777" w:rsidR="00F24662" w:rsidRDefault="00F24662" w:rsidP="00FB7EB0">
      <w:pPr>
        <w:pStyle w:val="FootnoteText"/>
        <w:ind w:firstLine="720"/>
      </w:pPr>
      <w:r>
        <w:rPr>
          <w:rStyle w:val="FootnoteReference"/>
        </w:rPr>
        <w:footnoteRef/>
      </w:r>
      <w:r>
        <w:t xml:space="preserve"> </w:t>
      </w:r>
      <w:r>
        <w:tab/>
      </w:r>
      <w:r w:rsidRPr="00341E8F">
        <w:t>Docket No. F 00163617 (Order entered July 14, 1993),</w:t>
      </w:r>
      <w:r>
        <w:br/>
      </w:r>
    </w:p>
  </w:footnote>
  <w:footnote w:id="7">
    <w:p w14:paraId="2A0BDCC9" w14:textId="66CF0219" w:rsidR="00C41DF1" w:rsidRDefault="00C41DF1" w:rsidP="00FB7EB0">
      <w:pPr>
        <w:pStyle w:val="FootnoteText"/>
        <w:ind w:firstLine="720"/>
      </w:pPr>
      <w:r>
        <w:rPr>
          <w:rStyle w:val="FootnoteReference"/>
        </w:rPr>
        <w:footnoteRef/>
      </w:r>
      <w:r>
        <w:t xml:space="preserve"> </w:t>
      </w:r>
      <w:r w:rsidR="001C5B5A">
        <w:tab/>
        <w:t xml:space="preserve">52 Pa.Code </w:t>
      </w:r>
      <w:r w:rsidR="00F85945">
        <w:t>§ 5.93.  I would also note that DLC could have filed a preliminary objection</w:t>
      </w:r>
      <w:r w:rsidR="00376948">
        <w:t xml:space="preserve"> </w:t>
      </w:r>
      <w:r w:rsidR="00D66660">
        <w:t xml:space="preserve">and requested a more specific pleading.  See 52 Pa.Code § </w:t>
      </w:r>
      <w:r w:rsidR="0022130F">
        <w:t>5.101(a)(3).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097F"/>
    <w:rsid w:val="00004C37"/>
    <w:rsid w:val="000064E5"/>
    <w:rsid w:val="000066B3"/>
    <w:rsid w:val="00006FEF"/>
    <w:rsid w:val="0004511B"/>
    <w:rsid w:val="00066D87"/>
    <w:rsid w:val="00083973"/>
    <w:rsid w:val="000B06BB"/>
    <w:rsid w:val="000E3EDE"/>
    <w:rsid w:val="00107E82"/>
    <w:rsid w:val="00133321"/>
    <w:rsid w:val="00141FF9"/>
    <w:rsid w:val="001470DA"/>
    <w:rsid w:val="00150347"/>
    <w:rsid w:val="001A0148"/>
    <w:rsid w:val="001A21B6"/>
    <w:rsid w:val="001A2238"/>
    <w:rsid w:val="001B1CBA"/>
    <w:rsid w:val="001C5B5A"/>
    <w:rsid w:val="001D2AF7"/>
    <w:rsid w:val="00207743"/>
    <w:rsid w:val="00213167"/>
    <w:rsid w:val="00215E31"/>
    <w:rsid w:val="0022130F"/>
    <w:rsid w:val="00244DDE"/>
    <w:rsid w:val="002512F9"/>
    <w:rsid w:val="002526B7"/>
    <w:rsid w:val="00263A83"/>
    <w:rsid w:val="00267405"/>
    <w:rsid w:val="00277A82"/>
    <w:rsid w:val="002C26C2"/>
    <w:rsid w:val="002C697B"/>
    <w:rsid w:val="00301442"/>
    <w:rsid w:val="00313B4B"/>
    <w:rsid w:val="003145FA"/>
    <w:rsid w:val="00343049"/>
    <w:rsid w:val="00367A41"/>
    <w:rsid w:val="00376948"/>
    <w:rsid w:val="003900CC"/>
    <w:rsid w:val="00393C92"/>
    <w:rsid w:val="003A1A41"/>
    <w:rsid w:val="003A3E09"/>
    <w:rsid w:val="003B273B"/>
    <w:rsid w:val="00417566"/>
    <w:rsid w:val="00424525"/>
    <w:rsid w:val="004C55EF"/>
    <w:rsid w:val="004D523C"/>
    <w:rsid w:val="004E5B61"/>
    <w:rsid w:val="00544881"/>
    <w:rsid w:val="00553B48"/>
    <w:rsid w:val="005A1C17"/>
    <w:rsid w:val="005A20B8"/>
    <w:rsid w:val="005A2ABA"/>
    <w:rsid w:val="005B13A9"/>
    <w:rsid w:val="005D180A"/>
    <w:rsid w:val="005E7B69"/>
    <w:rsid w:val="00613EA9"/>
    <w:rsid w:val="0061775F"/>
    <w:rsid w:val="00675846"/>
    <w:rsid w:val="00696C0D"/>
    <w:rsid w:val="006C5C66"/>
    <w:rsid w:val="006C6A0D"/>
    <w:rsid w:val="006E55BD"/>
    <w:rsid w:val="006F0329"/>
    <w:rsid w:val="006F2C87"/>
    <w:rsid w:val="00700807"/>
    <w:rsid w:val="00712E58"/>
    <w:rsid w:val="007333EB"/>
    <w:rsid w:val="007407AC"/>
    <w:rsid w:val="0075160B"/>
    <w:rsid w:val="00755D72"/>
    <w:rsid w:val="007725A8"/>
    <w:rsid w:val="007764F2"/>
    <w:rsid w:val="00791285"/>
    <w:rsid w:val="00792796"/>
    <w:rsid w:val="00795AC8"/>
    <w:rsid w:val="00796B64"/>
    <w:rsid w:val="007B4552"/>
    <w:rsid w:val="007E6779"/>
    <w:rsid w:val="007E7366"/>
    <w:rsid w:val="008139DA"/>
    <w:rsid w:val="00820B4C"/>
    <w:rsid w:val="0083239D"/>
    <w:rsid w:val="00840B65"/>
    <w:rsid w:val="008529D2"/>
    <w:rsid w:val="0088105E"/>
    <w:rsid w:val="00887ABC"/>
    <w:rsid w:val="00917DCA"/>
    <w:rsid w:val="00920221"/>
    <w:rsid w:val="00920D40"/>
    <w:rsid w:val="00926DE3"/>
    <w:rsid w:val="009A52D5"/>
    <w:rsid w:val="009C7C72"/>
    <w:rsid w:val="009D0EB5"/>
    <w:rsid w:val="00A115E6"/>
    <w:rsid w:val="00A16DA2"/>
    <w:rsid w:val="00A17B00"/>
    <w:rsid w:val="00A47096"/>
    <w:rsid w:val="00AA2EC5"/>
    <w:rsid w:val="00AA679C"/>
    <w:rsid w:val="00AB4C73"/>
    <w:rsid w:val="00AD27C0"/>
    <w:rsid w:val="00AE3128"/>
    <w:rsid w:val="00AE6F47"/>
    <w:rsid w:val="00B91E47"/>
    <w:rsid w:val="00BA25BE"/>
    <w:rsid w:val="00BC6B21"/>
    <w:rsid w:val="00C04D8A"/>
    <w:rsid w:val="00C12897"/>
    <w:rsid w:val="00C3402A"/>
    <w:rsid w:val="00C41DF1"/>
    <w:rsid w:val="00C65884"/>
    <w:rsid w:val="00C83E8A"/>
    <w:rsid w:val="00C87E57"/>
    <w:rsid w:val="00CA60BA"/>
    <w:rsid w:val="00CB3DE4"/>
    <w:rsid w:val="00CE5024"/>
    <w:rsid w:val="00CF6143"/>
    <w:rsid w:val="00D14843"/>
    <w:rsid w:val="00D5097F"/>
    <w:rsid w:val="00D52915"/>
    <w:rsid w:val="00D546A4"/>
    <w:rsid w:val="00D66660"/>
    <w:rsid w:val="00D8100C"/>
    <w:rsid w:val="00D87CED"/>
    <w:rsid w:val="00DA6532"/>
    <w:rsid w:val="00DC5075"/>
    <w:rsid w:val="00DD5C37"/>
    <w:rsid w:val="00DE4289"/>
    <w:rsid w:val="00DF0E4F"/>
    <w:rsid w:val="00DF35D9"/>
    <w:rsid w:val="00E4239A"/>
    <w:rsid w:val="00E71517"/>
    <w:rsid w:val="00E910A6"/>
    <w:rsid w:val="00E9689D"/>
    <w:rsid w:val="00EB027A"/>
    <w:rsid w:val="00EB27E9"/>
    <w:rsid w:val="00EC1CBA"/>
    <w:rsid w:val="00ED6DFC"/>
    <w:rsid w:val="00EE7801"/>
    <w:rsid w:val="00EF5EAB"/>
    <w:rsid w:val="00F11A19"/>
    <w:rsid w:val="00F16554"/>
    <w:rsid w:val="00F23A41"/>
    <w:rsid w:val="00F24662"/>
    <w:rsid w:val="00F30246"/>
    <w:rsid w:val="00F544E1"/>
    <w:rsid w:val="00F621B3"/>
    <w:rsid w:val="00F85945"/>
    <w:rsid w:val="00F95A29"/>
    <w:rsid w:val="00FA706C"/>
    <w:rsid w:val="00FB7EB0"/>
    <w:rsid w:val="00FD2B8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CCC8BF0"/>
  <w15:chartTrackingRefBased/>
  <w15:docId w15:val="{1215B332-FF45-4C3B-92B4-D2060F2A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aliases w:val="Car"/>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character" w:styleId="FootnoteReference">
    <w:name w:val="footnote reference"/>
    <w:basedOn w:val="DefaultParagraphFont"/>
    <w:uiPriority w:val="99"/>
    <w:unhideWhenUsed/>
    <w:rsid w:val="00D5097F"/>
    <w:rPr>
      <w:vertAlign w:val="superscript"/>
    </w:rPr>
  </w:style>
  <w:style w:type="paragraph" w:styleId="Header">
    <w:name w:val="header"/>
    <w:basedOn w:val="Normal"/>
    <w:link w:val="HeaderChar"/>
    <w:uiPriority w:val="99"/>
    <w:unhideWhenUsed/>
    <w:rsid w:val="00FB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EB0"/>
    <w:rPr>
      <w:rFonts w:cstheme="minorBidi"/>
      <w:szCs w:val="22"/>
    </w:rPr>
  </w:style>
  <w:style w:type="paragraph" w:styleId="Footer">
    <w:name w:val="footer"/>
    <w:basedOn w:val="Normal"/>
    <w:link w:val="FooterChar"/>
    <w:uiPriority w:val="99"/>
    <w:unhideWhenUsed/>
    <w:rsid w:val="00FB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EB0"/>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7</cp:revision>
  <dcterms:created xsi:type="dcterms:W3CDTF">2023-01-13T15:48:00Z</dcterms:created>
  <dcterms:modified xsi:type="dcterms:W3CDTF">2023-01-13T15:49:00Z</dcterms:modified>
</cp:coreProperties>
</file>