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C43930" w14:textId="77777777" w:rsidR="001553BB" w:rsidRPr="001553BB" w:rsidRDefault="001553BB" w:rsidP="001553BB">
      <w:pPr>
        <w:autoSpaceDE w:val="0"/>
        <w:autoSpaceDN w:val="0"/>
        <w:spacing w:after="0" w:line="240" w:lineRule="auto"/>
        <w:jc w:val="center"/>
        <w:rPr>
          <w:rFonts w:ascii="Times New Roman" w:eastAsia="Times New Roman" w:hAnsi="Times New Roman" w:cs="Times New Roman"/>
          <w:b/>
          <w:sz w:val="24"/>
          <w:szCs w:val="24"/>
        </w:rPr>
      </w:pPr>
      <w:r w:rsidRPr="001553BB">
        <w:rPr>
          <w:rFonts w:ascii="Times New Roman" w:eastAsia="Times New Roman" w:hAnsi="Times New Roman" w:cs="Times New Roman"/>
          <w:b/>
          <w:sz w:val="24"/>
          <w:szCs w:val="24"/>
        </w:rPr>
        <w:t>BEFORE THE</w:t>
      </w:r>
    </w:p>
    <w:p w14:paraId="12D2CDD7" w14:textId="77777777" w:rsidR="001553BB" w:rsidRPr="001553BB" w:rsidRDefault="001553BB" w:rsidP="001553BB">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1553BB">
        <w:rPr>
          <w:rFonts w:ascii="Times New Roman" w:eastAsia="Times New Roman" w:hAnsi="Times New Roman" w:cs="Times New Roman"/>
          <w:b/>
          <w:bCs/>
          <w:spacing w:val="-3"/>
          <w:sz w:val="24"/>
          <w:szCs w:val="24"/>
        </w:rPr>
        <w:t>PENNSYLVANIA PUBLIC UTILITY COMMISSION</w:t>
      </w:r>
    </w:p>
    <w:p w14:paraId="3C2F7E0F" w14:textId="27A98DE9" w:rsidR="001553BB" w:rsidRDefault="001553BB" w:rsidP="001553BB">
      <w:pPr>
        <w:autoSpaceDE w:val="0"/>
        <w:autoSpaceDN w:val="0"/>
        <w:spacing w:after="0" w:line="240" w:lineRule="auto"/>
        <w:rPr>
          <w:rFonts w:ascii="Times New Roman" w:eastAsia="Times New Roman" w:hAnsi="Times New Roman" w:cs="Times New Roman"/>
          <w:spacing w:val="-3"/>
          <w:sz w:val="24"/>
          <w:szCs w:val="24"/>
        </w:rPr>
      </w:pPr>
    </w:p>
    <w:p w14:paraId="2EB5F492" w14:textId="77777777" w:rsidR="00893F01" w:rsidRPr="001553BB" w:rsidRDefault="00893F01" w:rsidP="001553BB">
      <w:pPr>
        <w:autoSpaceDE w:val="0"/>
        <w:autoSpaceDN w:val="0"/>
        <w:spacing w:after="0" w:line="240" w:lineRule="auto"/>
        <w:rPr>
          <w:rFonts w:ascii="Times New Roman" w:eastAsia="Times New Roman" w:hAnsi="Times New Roman" w:cs="Times New Roman"/>
          <w:spacing w:val="-3"/>
          <w:sz w:val="24"/>
          <w:szCs w:val="24"/>
        </w:rPr>
      </w:pPr>
    </w:p>
    <w:p w14:paraId="0503CDD5" w14:textId="77777777" w:rsidR="001553BB" w:rsidRPr="001553BB" w:rsidRDefault="001553BB" w:rsidP="001553BB">
      <w:pPr>
        <w:autoSpaceDE w:val="0"/>
        <w:autoSpaceDN w:val="0"/>
        <w:spacing w:after="0" w:line="240" w:lineRule="auto"/>
        <w:rPr>
          <w:rFonts w:ascii="Times New Roman" w:eastAsia="Times New Roman" w:hAnsi="Times New Roman" w:cs="Times New Roman"/>
          <w:spacing w:val="-3"/>
          <w:sz w:val="24"/>
          <w:szCs w:val="24"/>
        </w:rPr>
      </w:pPr>
    </w:p>
    <w:p w14:paraId="7DFC29AF" w14:textId="77777777" w:rsidR="001553BB" w:rsidRPr="001553BB" w:rsidRDefault="001553BB" w:rsidP="001553BB">
      <w:pPr>
        <w:autoSpaceDE w:val="0"/>
        <w:autoSpaceDN w:val="0"/>
        <w:spacing w:after="0" w:line="240" w:lineRule="auto"/>
        <w:ind w:left="5040" w:hanging="5040"/>
        <w:rPr>
          <w:rFonts w:ascii="Times New Roman" w:eastAsia="Times New Roman" w:hAnsi="Times New Roman" w:cs="Times New Roman"/>
          <w:sz w:val="24"/>
          <w:szCs w:val="24"/>
        </w:rPr>
      </w:pPr>
      <w:r w:rsidRPr="001553BB">
        <w:rPr>
          <w:rFonts w:ascii="Times New Roman" w:eastAsia="Times New Roman" w:hAnsi="Times New Roman" w:cs="Times New Roman"/>
          <w:spacing w:val="-3"/>
          <w:sz w:val="24"/>
          <w:szCs w:val="24"/>
        </w:rPr>
        <w:t xml:space="preserve">SBG </w:t>
      </w:r>
      <w:bookmarkStart w:id="0" w:name="_Hlk121483352"/>
      <w:r w:rsidRPr="001553BB">
        <w:rPr>
          <w:rFonts w:ascii="Times New Roman" w:eastAsia="Times New Roman" w:hAnsi="Times New Roman" w:cs="Times New Roman"/>
          <w:spacing w:val="-3"/>
          <w:sz w:val="24"/>
          <w:szCs w:val="24"/>
        </w:rPr>
        <w:t xml:space="preserve">Management Services, Inc. </w:t>
      </w:r>
      <w:r w:rsidRPr="001553BB">
        <w:rPr>
          <w:rFonts w:ascii="Times New Roman" w:eastAsia="Times New Roman" w:hAnsi="Times New Roman" w:cs="Times New Roman"/>
          <w:i/>
          <w:iCs/>
          <w:spacing w:val="-3"/>
          <w:sz w:val="24"/>
          <w:szCs w:val="24"/>
        </w:rPr>
        <w:t>et al.</w:t>
      </w:r>
      <w:bookmarkEnd w:id="0"/>
      <w:r w:rsidRPr="001553BB">
        <w:rPr>
          <w:rFonts w:ascii="Times New Roman" w:eastAsia="Times New Roman" w:hAnsi="Times New Roman" w:cs="Times New Roman"/>
          <w:i/>
          <w:iCs/>
          <w:spacing w:val="-3"/>
          <w:sz w:val="24"/>
          <w:szCs w:val="24"/>
        </w:rPr>
        <w:tab/>
      </w:r>
      <w:r w:rsidRPr="001553BB">
        <w:rPr>
          <w:rFonts w:ascii="Times New Roman" w:eastAsia="Times New Roman" w:hAnsi="Times New Roman" w:cs="Times New Roman"/>
          <w:sz w:val="24"/>
          <w:szCs w:val="24"/>
        </w:rPr>
        <w:t>:</w:t>
      </w:r>
      <w:r w:rsidRPr="001553BB">
        <w:rPr>
          <w:rFonts w:ascii="Times New Roman" w:eastAsia="Times New Roman" w:hAnsi="Times New Roman" w:cs="Times New Roman"/>
          <w:sz w:val="24"/>
          <w:szCs w:val="24"/>
        </w:rPr>
        <w:tab/>
      </w:r>
      <w:bookmarkStart w:id="1" w:name="_Hlk125028116"/>
      <w:r w:rsidRPr="001553BB">
        <w:rPr>
          <w:rFonts w:ascii="Times New Roman" w:hAnsi="Times New Roman" w:cs="Times New Roman"/>
          <w:sz w:val="24"/>
          <w:szCs w:val="24"/>
        </w:rPr>
        <w:t>C-2012-2304183</w:t>
      </w:r>
      <w:r w:rsidRPr="001553BB">
        <w:rPr>
          <w:rFonts w:ascii="Times New Roman" w:hAnsi="Times New Roman" w:cs="Times New Roman"/>
          <w:sz w:val="24"/>
          <w:szCs w:val="24"/>
        </w:rPr>
        <w:br/>
        <w:t>:</w:t>
      </w:r>
      <w:r w:rsidRPr="001553BB">
        <w:rPr>
          <w:rFonts w:ascii="Times New Roman" w:hAnsi="Times New Roman" w:cs="Times New Roman"/>
          <w:sz w:val="24"/>
          <w:szCs w:val="24"/>
        </w:rPr>
        <w:tab/>
        <w:t>C-2012-2304324</w:t>
      </w:r>
      <w:bookmarkEnd w:id="1"/>
      <w:r w:rsidRPr="001553BB">
        <w:rPr>
          <w:rFonts w:ascii="Times New Roman" w:hAnsi="Times New Roman" w:cs="Times New Roman"/>
          <w:sz w:val="24"/>
          <w:szCs w:val="24"/>
        </w:rPr>
        <w:br/>
        <w:t>:</w:t>
      </w:r>
      <w:r w:rsidRPr="001553BB">
        <w:rPr>
          <w:rFonts w:ascii="Times New Roman" w:hAnsi="Times New Roman" w:cs="Times New Roman"/>
          <w:sz w:val="24"/>
          <w:szCs w:val="24"/>
        </w:rPr>
        <w:tab/>
        <w:t>C-2015-2486618</w:t>
      </w:r>
      <w:r w:rsidRPr="001553BB">
        <w:rPr>
          <w:rFonts w:ascii="Times New Roman" w:hAnsi="Times New Roman" w:cs="Times New Roman"/>
          <w:sz w:val="24"/>
          <w:szCs w:val="24"/>
        </w:rPr>
        <w:br/>
        <w:t>:</w:t>
      </w:r>
      <w:r w:rsidRPr="001553BB">
        <w:rPr>
          <w:rFonts w:ascii="Times New Roman" w:hAnsi="Times New Roman" w:cs="Times New Roman"/>
          <w:sz w:val="24"/>
          <w:szCs w:val="24"/>
        </w:rPr>
        <w:tab/>
        <w:t>C-2015-2486677</w:t>
      </w:r>
      <w:r w:rsidRPr="001553BB">
        <w:rPr>
          <w:rFonts w:ascii="Times New Roman" w:hAnsi="Times New Roman" w:cs="Times New Roman"/>
          <w:sz w:val="24"/>
          <w:szCs w:val="24"/>
        </w:rPr>
        <w:br/>
        <w:t>:</w:t>
      </w:r>
      <w:r w:rsidRPr="001553BB">
        <w:rPr>
          <w:rFonts w:ascii="Times New Roman" w:hAnsi="Times New Roman" w:cs="Times New Roman"/>
          <w:sz w:val="24"/>
          <w:szCs w:val="24"/>
        </w:rPr>
        <w:tab/>
        <w:t>C-2015-2486674</w:t>
      </w:r>
      <w:r w:rsidRPr="001553BB">
        <w:rPr>
          <w:rFonts w:ascii="Times New Roman" w:hAnsi="Times New Roman" w:cs="Times New Roman"/>
          <w:sz w:val="24"/>
          <w:szCs w:val="24"/>
        </w:rPr>
        <w:br/>
        <w:t>:</w:t>
      </w:r>
      <w:r w:rsidRPr="001553BB">
        <w:rPr>
          <w:rFonts w:ascii="Times New Roman" w:hAnsi="Times New Roman" w:cs="Times New Roman"/>
          <w:sz w:val="24"/>
          <w:szCs w:val="24"/>
        </w:rPr>
        <w:tab/>
        <w:t>C-2015-2486670</w:t>
      </w:r>
    </w:p>
    <w:p w14:paraId="4DD81F73" w14:textId="77777777" w:rsidR="001553BB" w:rsidRPr="001553BB" w:rsidRDefault="001553BB" w:rsidP="001553BB">
      <w:pPr>
        <w:autoSpaceDE w:val="0"/>
        <w:autoSpaceDN w:val="0"/>
        <w:spacing w:after="0" w:line="240" w:lineRule="auto"/>
        <w:ind w:left="1440" w:firstLine="720"/>
        <w:rPr>
          <w:rFonts w:ascii="Times New Roman" w:eastAsia="Times New Roman" w:hAnsi="Times New Roman" w:cs="Times New Roman"/>
          <w:sz w:val="24"/>
          <w:szCs w:val="24"/>
        </w:rPr>
      </w:pPr>
      <w:r w:rsidRPr="001553BB">
        <w:rPr>
          <w:rFonts w:ascii="Times New Roman" w:hAnsi="Times New Roman" w:cs="Times New Roman"/>
          <w:sz w:val="24"/>
          <w:szCs w:val="24"/>
        </w:rPr>
        <w:t>v.</w:t>
      </w:r>
      <w:r w:rsidRPr="001553BB">
        <w:rPr>
          <w:rFonts w:ascii="Times New Roman" w:hAnsi="Times New Roman" w:cs="Times New Roman"/>
          <w:sz w:val="24"/>
          <w:szCs w:val="24"/>
        </w:rPr>
        <w:tab/>
      </w:r>
      <w:r w:rsidRPr="001553BB">
        <w:rPr>
          <w:rFonts w:ascii="Times New Roman" w:hAnsi="Times New Roman" w:cs="Times New Roman"/>
          <w:sz w:val="24"/>
          <w:szCs w:val="24"/>
        </w:rPr>
        <w:tab/>
      </w:r>
      <w:r w:rsidRPr="001553BB">
        <w:rPr>
          <w:rFonts w:ascii="Times New Roman" w:hAnsi="Times New Roman" w:cs="Times New Roman"/>
          <w:sz w:val="24"/>
          <w:szCs w:val="24"/>
        </w:rPr>
        <w:tab/>
      </w:r>
      <w:r w:rsidRPr="001553BB">
        <w:rPr>
          <w:rFonts w:ascii="Times New Roman" w:hAnsi="Times New Roman" w:cs="Times New Roman"/>
          <w:sz w:val="24"/>
          <w:szCs w:val="24"/>
        </w:rPr>
        <w:tab/>
        <w:t>:</w:t>
      </w:r>
      <w:r w:rsidRPr="001553BB">
        <w:rPr>
          <w:rFonts w:ascii="Times New Roman" w:hAnsi="Times New Roman" w:cs="Times New Roman"/>
          <w:sz w:val="24"/>
          <w:szCs w:val="24"/>
        </w:rPr>
        <w:tab/>
        <w:t>C-2015-2486664</w:t>
      </w:r>
    </w:p>
    <w:p w14:paraId="773B68CC" w14:textId="77777777" w:rsidR="001553BB" w:rsidRPr="001553BB" w:rsidRDefault="001553BB" w:rsidP="001553BB">
      <w:pPr>
        <w:spacing w:after="0" w:line="240" w:lineRule="auto"/>
        <w:ind w:left="4320" w:firstLine="720"/>
        <w:rPr>
          <w:rFonts w:ascii="Times New Roman" w:hAnsi="Times New Roman" w:cs="Times New Roman"/>
          <w:sz w:val="24"/>
          <w:szCs w:val="24"/>
        </w:rPr>
      </w:pPr>
      <w:r w:rsidRPr="001553BB">
        <w:rPr>
          <w:rFonts w:ascii="Times New Roman" w:hAnsi="Times New Roman" w:cs="Times New Roman"/>
          <w:sz w:val="24"/>
          <w:szCs w:val="24"/>
        </w:rPr>
        <w:t>:</w:t>
      </w:r>
      <w:r w:rsidRPr="001553BB">
        <w:rPr>
          <w:rFonts w:ascii="Times New Roman" w:hAnsi="Times New Roman" w:cs="Times New Roman"/>
          <w:sz w:val="24"/>
          <w:szCs w:val="24"/>
        </w:rPr>
        <w:tab/>
        <w:t>C-2015-2486655</w:t>
      </w:r>
    </w:p>
    <w:p w14:paraId="3D305B23" w14:textId="77777777" w:rsidR="001553BB" w:rsidRPr="001553BB" w:rsidRDefault="001553BB" w:rsidP="001553BB">
      <w:pPr>
        <w:spacing w:after="0" w:line="240" w:lineRule="auto"/>
        <w:ind w:left="4320" w:firstLine="720"/>
        <w:rPr>
          <w:rFonts w:ascii="Times New Roman" w:hAnsi="Times New Roman" w:cs="Times New Roman"/>
          <w:sz w:val="24"/>
          <w:szCs w:val="24"/>
        </w:rPr>
      </w:pPr>
      <w:r w:rsidRPr="001553BB">
        <w:rPr>
          <w:rFonts w:ascii="Times New Roman" w:hAnsi="Times New Roman" w:cs="Times New Roman"/>
          <w:sz w:val="24"/>
          <w:szCs w:val="24"/>
        </w:rPr>
        <w:t>:</w:t>
      </w:r>
      <w:r w:rsidRPr="001553BB">
        <w:rPr>
          <w:rFonts w:ascii="Times New Roman" w:hAnsi="Times New Roman" w:cs="Times New Roman"/>
          <w:sz w:val="24"/>
          <w:szCs w:val="24"/>
        </w:rPr>
        <w:tab/>
        <w:t>C-2015-2486648</w:t>
      </w:r>
    </w:p>
    <w:p w14:paraId="03251F77" w14:textId="77777777" w:rsidR="001553BB" w:rsidRPr="001553BB" w:rsidRDefault="001553BB" w:rsidP="001553BB">
      <w:pPr>
        <w:autoSpaceDE w:val="0"/>
        <w:autoSpaceDN w:val="0"/>
        <w:spacing w:after="0" w:line="240" w:lineRule="auto"/>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Philadelphia Gas Works</w:t>
      </w:r>
      <w:r w:rsidRPr="001553BB">
        <w:rPr>
          <w:rFonts w:ascii="Times New Roman" w:eastAsia="Times New Roman" w:hAnsi="Times New Roman" w:cs="Times New Roman"/>
          <w:sz w:val="24"/>
          <w:szCs w:val="24"/>
        </w:rPr>
        <w:tab/>
      </w:r>
      <w:r w:rsidRPr="001553BB">
        <w:rPr>
          <w:rFonts w:ascii="Times New Roman" w:eastAsia="Times New Roman" w:hAnsi="Times New Roman" w:cs="Times New Roman"/>
          <w:sz w:val="24"/>
          <w:szCs w:val="24"/>
        </w:rPr>
        <w:tab/>
      </w:r>
      <w:r w:rsidRPr="001553BB">
        <w:rPr>
          <w:rFonts w:ascii="Times New Roman" w:eastAsia="Times New Roman" w:hAnsi="Times New Roman" w:cs="Times New Roman"/>
          <w:sz w:val="24"/>
          <w:szCs w:val="24"/>
        </w:rPr>
        <w:tab/>
      </w:r>
      <w:r w:rsidRPr="001553BB">
        <w:rPr>
          <w:rFonts w:ascii="Times New Roman" w:eastAsia="Times New Roman" w:hAnsi="Times New Roman" w:cs="Times New Roman"/>
          <w:sz w:val="24"/>
          <w:szCs w:val="24"/>
        </w:rPr>
        <w:tab/>
      </w:r>
      <w:r w:rsidRPr="001553BB">
        <w:rPr>
          <w:rFonts w:ascii="Times New Roman" w:hAnsi="Times New Roman" w:cs="Times New Roman"/>
          <w:sz w:val="24"/>
          <w:szCs w:val="24"/>
        </w:rPr>
        <w:t>:</w:t>
      </w:r>
      <w:r w:rsidRPr="001553BB">
        <w:rPr>
          <w:rFonts w:ascii="Times New Roman" w:hAnsi="Times New Roman" w:cs="Times New Roman"/>
          <w:sz w:val="24"/>
          <w:szCs w:val="24"/>
        </w:rPr>
        <w:tab/>
        <w:t>C-2015-2486674</w:t>
      </w:r>
    </w:p>
    <w:p w14:paraId="4234D23A" w14:textId="77777777" w:rsidR="001553BB" w:rsidRPr="001553BB" w:rsidRDefault="001553BB" w:rsidP="001553B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7F71C52C" w14:textId="77777777" w:rsidR="001553BB" w:rsidRPr="001553BB" w:rsidRDefault="001553BB" w:rsidP="001553B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4AA6327A" w14:textId="77777777" w:rsidR="001553BB" w:rsidRPr="001553BB" w:rsidRDefault="001553BB" w:rsidP="001553BB">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14:paraId="64EB5825" w14:textId="48B8A043" w:rsidR="001553BB" w:rsidRDefault="001553BB" w:rsidP="001553BB">
      <w:pPr>
        <w:spacing w:line="256" w:lineRule="auto"/>
        <w:jc w:val="center"/>
        <w:rPr>
          <w:rFonts w:ascii="Times New Roman" w:eastAsia="Times New Roman" w:hAnsi="Times New Roman" w:cs="Times New Roman"/>
          <w:b/>
          <w:bCs/>
          <w:spacing w:val="-3"/>
          <w:sz w:val="24"/>
          <w:szCs w:val="24"/>
          <w:u w:val="single"/>
        </w:rPr>
      </w:pPr>
      <w:r w:rsidRPr="001553BB">
        <w:rPr>
          <w:rFonts w:ascii="Times New Roman" w:eastAsia="Times New Roman" w:hAnsi="Times New Roman" w:cs="Times New Roman"/>
          <w:b/>
          <w:bCs/>
          <w:spacing w:val="-3"/>
          <w:sz w:val="24"/>
          <w:szCs w:val="24"/>
          <w:u w:val="single"/>
        </w:rPr>
        <w:t>ORDER ON RESPONDENT’S MOTION IN LIMINE</w:t>
      </w:r>
    </w:p>
    <w:p w14:paraId="6DE90347" w14:textId="77777777" w:rsidR="001553BB" w:rsidRPr="001553BB" w:rsidRDefault="001553BB" w:rsidP="001553BB">
      <w:pPr>
        <w:spacing w:line="256" w:lineRule="auto"/>
        <w:jc w:val="center"/>
        <w:rPr>
          <w:rFonts w:ascii="Times New Roman" w:eastAsia="Times New Roman" w:hAnsi="Times New Roman" w:cs="Times New Roman"/>
          <w:b/>
          <w:bCs/>
          <w:spacing w:val="-3"/>
          <w:sz w:val="24"/>
          <w:szCs w:val="24"/>
          <w:u w:val="single"/>
        </w:rPr>
      </w:pPr>
    </w:p>
    <w:p w14:paraId="33A17DE0" w14:textId="250F009D" w:rsidR="001553BB" w:rsidRPr="001553BB" w:rsidRDefault="001553BB" w:rsidP="001553BB">
      <w:pPr>
        <w:spacing w:after="0" w:line="360" w:lineRule="auto"/>
        <w:ind w:firstLine="1440"/>
        <w:rPr>
          <w:rFonts w:ascii="Times New Roman" w:eastAsia="Times New Roman" w:hAnsi="Times New Roman" w:cs="Times New Roman"/>
          <w:spacing w:val="-3"/>
          <w:sz w:val="24"/>
          <w:szCs w:val="24"/>
        </w:rPr>
      </w:pPr>
      <w:r w:rsidRPr="001553BB">
        <w:rPr>
          <w:rFonts w:ascii="Times New Roman" w:eastAsia="Times New Roman" w:hAnsi="Times New Roman" w:cs="Times New Roman"/>
          <w:spacing w:val="-3"/>
          <w:sz w:val="24"/>
          <w:szCs w:val="24"/>
        </w:rPr>
        <w:t xml:space="preserve">On December 28, 2022, Philadelphia Gas Works (PGW or Respondent) filed a Motion in </w:t>
      </w:r>
      <w:r w:rsidR="001F1130">
        <w:rPr>
          <w:rFonts w:ascii="Times New Roman" w:eastAsia="Times New Roman" w:hAnsi="Times New Roman" w:cs="Times New Roman"/>
          <w:spacing w:val="-3"/>
          <w:sz w:val="24"/>
          <w:szCs w:val="24"/>
        </w:rPr>
        <w:t>L</w:t>
      </w:r>
      <w:r w:rsidRPr="001553BB">
        <w:rPr>
          <w:rFonts w:ascii="Times New Roman" w:eastAsia="Times New Roman" w:hAnsi="Times New Roman" w:cs="Times New Roman"/>
          <w:spacing w:val="-3"/>
          <w:sz w:val="24"/>
          <w:szCs w:val="24"/>
        </w:rPr>
        <w:t xml:space="preserve">imine along with a request for expedited response and treatment (Motion).  In its Motion, PGW states, </w:t>
      </w:r>
    </w:p>
    <w:p w14:paraId="5566CC92" w14:textId="1F2FABF0" w:rsidR="001553BB" w:rsidRPr="001553BB" w:rsidRDefault="001553BB" w:rsidP="001553BB">
      <w:pPr>
        <w:spacing w:after="0" w:line="240" w:lineRule="auto"/>
        <w:ind w:left="1526" w:right="1440"/>
        <w:rPr>
          <w:rFonts w:ascii="Times New Roman" w:eastAsia="Calibri" w:hAnsi="Times New Roman" w:cs="Times New Roman"/>
          <w:sz w:val="24"/>
          <w:szCs w:val="24"/>
        </w:rPr>
      </w:pPr>
      <w:r w:rsidRPr="001553BB">
        <w:rPr>
          <w:rFonts w:ascii="Times New Roman" w:eastAsia="Calibri" w:hAnsi="Times New Roman" w:cs="Times New Roman"/>
          <w:sz w:val="24"/>
          <w:szCs w:val="24"/>
        </w:rPr>
        <w:t xml:space="preserve">On November 8, 2022, PGW served its Set I Interrogatories requesting that the Complainants SBG Management Services, Inc. </w:t>
      </w:r>
      <w:r w:rsidRPr="001553BB">
        <w:rPr>
          <w:rFonts w:ascii="Times New Roman" w:eastAsia="Calibri" w:hAnsi="Times New Roman" w:cs="Times New Roman"/>
          <w:i/>
          <w:iCs/>
          <w:sz w:val="24"/>
          <w:szCs w:val="24"/>
        </w:rPr>
        <w:t xml:space="preserve">et al </w:t>
      </w:r>
      <w:r w:rsidRPr="001553BB">
        <w:rPr>
          <w:rFonts w:ascii="Times New Roman" w:eastAsia="Calibri" w:hAnsi="Times New Roman" w:cs="Times New Roman"/>
          <w:sz w:val="24"/>
          <w:szCs w:val="24"/>
        </w:rPr>
        <w:t xml:space="preserve">(“SBG”) identify their expert and other witnesses and identify the subject matter of those witnesses’ testimony that will be provided on by SBG on December 30, 2022. On December 8, 2022, SBG served its responses to PGW Set I. Concerningly, SBG’s responses identifying the subject matter of their witness testimony signals that SBG intends to submit expert testimony on alleged damages including “resulting lost income/excess costs incurred as a result of liens” and lay witness testimony on “the damages caused by the improper calculations and billings made by PGW.” </w:t>
      </w:r>
      <w:r w:rsidRPr="001553BB">
        <w:rPr>
          <w:rFonts w:ascii="Times New Roman" w:eastAsia="Calibri" w:hAnsi="Times New Roman" w:cs="Times New Roman"/>
          <w:i/>
          <w:iCs/>
          <w:sz w:val="24"/>
          <w:szCs w:val="24"/>
        </w:rPr>
        <w:t>See</w:t>
      </w:r>
      <w:r w:rsidRPr="001553BB">
        <w:rPr>
          <w:rFonts w:ascii="Times New Roman" w:eastAsia="Calibri" w:hAnsi="Times New Roman" w:cs="Times New Roman"/>
          <w:sz w:val="24"/>
          <w:szCs w:val="24"/>
        </w:rPr>
        <w:t xml:space="preserve"> SBG responses to PGW-I-1(b) and 2(b) included as </w:t>
      </w:r>
      <w:r w:rsidRPr="001553BB">
        <w:rPr>
          <w:rFonts w:ascii="Times New Roman" w:eastAsia="Calibri" w:hAnsi="Times New Roman" w:cs="Times New Roman"/>
          <w:b/>
          <w:bCs/>
          <w:sz w:val="24"/>
          <w:szCs w:val="24"/>
        </w:rPr>
        <w:t>Attachment A</w:t>
      </w:r>
      <w:r w:rsidRPr="001553BB">
        <w:rPr>
          <w:rFonts w:ascii="Times New Roman" w:eastAsia="Calibri" w:hAnsi="Times New Roman" w:cs="Times New Roman"/>
          <w:sz w:val="24"/>
          <w:szCs w:val="24"/>
        </w:rPr>
        <w:t xml:space="preserve">.  As such testimony on alleged damages is outside the limited scope of these proceedings and improper before the Commission, SBG should be precluded from inserting new, never before raised issues through its witness testimony. </w:t>
      </w:r>
    </w:p>
    <w:p w14:paraId="63C2E0D7" w14:textId="77777777" w:rsidR="001553BB" w:rsidRPr="001553BB" w:rsidRDefault="001553BB" w:rsidP="001553BB">
      <w:pPr>
        <w:spacing w:after="0" w:line="360" w:lineRule="auto"/>
        <w:rPr>
          <w:rFonts w:ascii="Times New Roman" w:eastAsia="Calibri" w:hAnsi="Times New Roman" w:cs="Times New Roman"/>
          <w:sz w:val="24"/>
          <w:szCs w:val="24"/>
        </w:rPr>
      </w:pPr>
    </w:p>
    <w:p w14:paraId="46389636" w14:textId="15325CDC" w:rsidR="001553BB" w:rsidRDefault="001553BB" w:rsidP="001553BB">
      <w:pPr>
        <w:spacing w:after="0" w:line="360" w:lineRule="auto"/>
        <w:rPr>
          <w:rFonts w:ascii="Times New Roman" w:eastAsia="Calibri" w:hAnsi="Times New Roman" w:cs="Times New Roman"/>
          <w:sz w:val="24"/>
          <w:szCs w:val="24"/>
        </w:rPr>
      </w:pPr>
      <w:r w:rsidRPr="001553BB">
        <w:rPr>
          <w:rFonts w:ascii="Times New Roman" w:eastAsia="Times New Roman" w:hAnsi="Times New Roman" w:cs="Times New Roman"/>
          <w:spacing w:val="-3"/>
          <w:sz w:val="24"/>
          <w:szCs w:val="24"/>
        </w:rPr>
        <w:t>Motion at 1-2</w:t>
      </w:r>
      <w:r>
        <w:rPr>
          <w:rFonts w:ascii="Times New Roman" w:eastAsia="Times New Roman" w:hAnsi="Times New Roman" w:cs="Times New Roman"/>
          <w:spacing w:val="-3"/>
          <w:sz w:val="24"/>
          <w:szCs w:val="24"/>
        </w:rPr>
        <w:t>, footnotes omitted</w:t>
      </w:r>
      <w:r w:rsidRPr="001553BB">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In its Motion, PGW argues that </w:t>
      </w:r>
      <w:r w:rsidRPr="001553BB">
        <w:rPr>
          <w:rFonts w:ascii="Times New Roman" w:eastAsia="Calibri" w:hAnsi="Times New Roman" w:cs="Times New Roman"/>
          <w:sz w:val="24"/>
          <w:szCs w:val="24"/>
        </w:rPr>
        <w:t xml:space="preserve">SBG appears to be intending to expand the scope of the issues and to provide testimony on </w:t>
      </w:r>
      <w:r w:rsidRPr="001553BB">
        <w:rPr>
          <w:rFonts w:ascii="Times New Roman" w:eastAsia="Calibri" w:hAnsi="Times New Roman" w:cs="Times New Roman"/>
          <w:i/>
          <w:iCs/>
          <w:sz w:val="24"/>
          <w:szCs w:val="24"/>
        </w:rPr>
        <w:t>alleged</w:t>
      </w:r>
      <w:r w:rsidRPr="001553BB">
        <w:rPr>
          <w:rFonts w:ascii="Times New Roman" w:eastAsia="Calibri" w:hAnsi="Times New Roman" w:cs="Times New Roman"/>
          <w:sz w:val="24"/>
          <w:szCs w:val="24"/>
        </w:rPr>
        <w:t xml:space="preserve"> consequential damages SBG </w:t>
      </w:r>
      <w:r w:rsidRPr="001553BB">
        <w:rPr>
          <w:rFonts w:ascii="Times New Roman" w:eastAsia="Calibri" w:hAnsi="Times New Roman" w:cs="Times New Roman"/>
          <w:sz w:val="24"/>
          <w:szCs w:val="24"/>
        </w:rPr>
        <w:lastRenderedPageBreak/>
        <w:t xml:space="preserve">has suffered. </w:t>
      </w:r>
      <w:r>
        <w:rPr>
          <w:rFonts w:ascii="Times New Roman" w:eastAsia="Calibri" w:hAnsi="Times New Roman" w:cs="Times New Roman"/>
          <w:sz w:val="24"/>
          <w:szCs w:val="24"/>
        </w:rPr>
        <w:t xml:space="preserve"> According to PGW, </w:t>
      </w:r>
      <w:r w:rsidRPr="001553BB">
        <w:rPr>
          <w:rFonts w:ascii="Times New Roman" w:eastAsia="Calibri" w:hAnsi="Times New Roman" w:cs="Times New Roman"/>
          <w:sz w:val="24"/>
          <w:szCs w:val="24"/>
        </w:rPr>
        <w:t>SBG’s responses to discovery states that SBG hopes to provide both expert and lay testimony on alleged damages in the form of “lost income / excess costs” and other “damages caused by the improper calculations and billings made by PGW.”</w:t>
      </w:r>
      <w:r>
        <w:rPr>
          <w:rFonts w:ascii="Times New Roman" w:eastAsia="Calibri" w:hAnsi="Times New Roman" w:cs="Times New Roman"/>
          <w:sz w:val="24"/>
          <w:szCs w:val="24"/>
          <w:vertAlign w:val="superscript"/>
        </w:rPr>
        <w:t xml:space="preserve"> </w:t>
      </w:r>
      <w:r>
        <w:rPr>
          <w:rFonts w:ascii="Times New Roman" w:eastAsia="Calibri" w:hAnsi="Times New Roman" w:cs="Times New Roman"/>
          <w:sz w:val="24"/>
          <w:szCs w:val="24"/>
        </w:rPr>
        <w:t xml:space="preserve">  However, PGW points out that </w:t>
      </w:r>
      <w:r w:rsidRPr="001553BB">
        <w:rPr>
          <w:rFonts w:ascii="Times New Roman" w:eastAsia="Calibri" w:hAnsi="Times New Roman" w:cs="Times New Roman"/>
          <w:sz w:val="24"/>
          <w:szCs w:val="24"/>
        </w:rPr>
        <w:t>testimony on such issues is not within the scope of the two remaining issues</w:t>
      </w:r>
      <w:r>
        <w:rPr>
          <w:rFonts w:ascii="Times New Roman" w:eastAsia="Calibri" w:hAnsi="Times New Roman" w:cs="Times New Roman"/>
          <w:sz w:val="24"/>
          <w:szCs w:val="24"/>
          <w:vertAlign w:val="superscript"/>
        </w:rPr>
        <w:t xml:space="preserve"> </w:t>
      </w:r>
      <w:r w:rsidRPr="001553BB">
        <w:rPr>
          <w:rFonts w:ascii="Times New Roman" w:eastAsia="Calibri" w:hAnsi="Times New Roman" w:cs="Times New Roman"/>
          <w:sz w:val="24"/>
          <w:szCs w:val="24"/>
        </w:rPr>
        <w:t xml:space="preserve">in this proceeding and is obviously outside the scope of the Commission’s jurisdiction. </w:t>
      </w:r>
      <w:r>
        <w:rPr>
          <w:rFonts w:ascii="Times New Roman" w:eastAsia="Calibri" w:hAnsi="Times New Roman" w:cs="Times New Roman"/>
          <w:sz w:val="24"/>
          <w:szCs w:val="24"/>
        </w:rPr>
        <w:t xml:space="preserve"> </w:t>
      </w:r>
      <w:r w:rsidRPr="001553BB">
        <w:rPr>
          <w:rFonts w:ascii="Times New Roman" w:eastAsia="Calibri" w:hAnsi="Times New Roman" w:cs="Times New Roman"/>
          <w:sz w:val="24"/>
          <w:szCs w:val="24"/>
        </w:rPr>
        <w:t>Even if the Commission could hear such claims for damages</w:t>
      </w:r>
      <w:r>
        <w:rPr>
          <w:rFonts w:ascii="Times New Roman" w:eastAsia="Calibri" w:hAnsi="Times New Roman" w:cs="Times New Roman"/>
          <w:sz w:val="24"/>
          <w:szCs w:val="24"/>
        </w:rPr>
        <w:t>, PGW argues that</w:t>
      </w:r>
      <w:r w:rsidRPr="001553BB">
        <w:rPr>
          <w:rFonts w:ascii="Times New Roman" w:eastAsia="Calibri" w:hAnsi="Times New Roman" w:cs="Times New Roman"/>
          <w:sz w:val="24"/>
          <w:szCs w:val="24"/>
        </w:rPr>
        <w:t xml:space="preserve"> the Commonwealth Court’s remand and remaining issues do not give SBG the ability to pursue alleged consequential damages at this late point in the procedural posture. </w:t>
      </w:r>
      <w:r>
        <w:rPr>
          <w:rFonts w:ascii="Times New Roman" w:eastAsia="Calibri" w:hAnsi="Times New Roman" w:cs="Times New Roman"/>
          <w:sz w:val="24"/>
          <w:szCs w:val="24"/>
        </w:rPr>
        <w:t xml:space="preserve"> </w:t>
      </w:r>
      <w:r w:rsidRPr="001553BB">
        <w:rPr>
          <w:rFonts w:ascii="Times New Roman" w:eastAsia="Calibri" w:hAnsi="Times New Roman" w:cs="Times New Roman"/>
          <w:sz w:val="24"/>
          <w:szCs w:val="24"/>
        </w:rPr>
        <w:t xml:space="preserve">Moreover, </w:t>
      </w:r>
      <w:r>
        <w:rPr>
          <w:rFonts w:ascii="Times New Roman" w:eastAsia="Calibri" w:hAnsi="Times New Roman" w:cs="Times New Roman"/>
          <w:sz w:val="24"/>
          <w:szCs w:val="24"/>
        </w:rPr>
        <w:t xml:space="preserve">PGW notes that </w:t>
      </w:r>
      <w:r w:rsidRPr="001553BB">
        <w:rPr>
          <w:rFonts w:ascii="Times New Roman" w:eastAsia="Calibri" w:hAnsi="Times New Roman" w:cs="Times New Roman"/>
          <w:sz w:val="24"/>
          <w:szCs w:val="24"/>
        </w:rPr>
        <w:t>given the very compressed schedule that has been established for the remand proceeding, there simply is not sufficient time for this new issue testimony to be adequately addressed.</w:t>
      </w:r>
      <w:r>
        <w:rPr>
          <w:rFonts w:ascii="Times New Roman" w:eastAsia="Calibri" w:hAnsi="Times New Roman" w:cs="Times New Roman"/>
          <w:sz w:val="24"/>
          <w:szCs w:val="24"/>
        </w:rPr>
        <w:t xml:space="preserve">  Consequently, </w:t>
      </w:r>
      <w:r w:rsidRPr="001553BB">
        <w:rPr>
          <w:rFonts w:ascii="Times New Roman" w:eastAsia="Calibri" w:hAnsi="Times New Roman" w:cs="Times New Roman"/>
          <w:sz w:val="24"/>
          <w:szCs w:val="24"/>
        </w:rPr>
        <w:t xml:space="preserve">PGW </w:t>
      </w:r>
      <w:r>
        <w:rPr>
          <w:rFonts w:ascii="Times New Roman" w:eastAsia="Calibri" w:hAnsi="Times New Roman" w:cs="Times New Roman"/>
          <w:sz w:val="24"/>
          <w:szCs w:val="24"/>
        </w:rPr>
        <w:t>filed the</w:t>
      </w:r>
      <w:r w:rsidRPr="001553BB">
        <w:rPr>
          <w:rFonts w:ascii="Times New Roman" w:eastAsia="Calibri" w:hAnsi="Times New Roman" w:cs="Times New Roman"/>
          <w:sz w:val="24"/>
          <w:szCs w:val="24"/>
        </w:rPr>
        <w:t xml:space="preserve"> Motion in attempt to avoid having to prepare to respond – through rebuttal testimony or cross-examination – to</w:t>
      </w:r>
      <w:r>
        <w:rPr>
          <w:rFonts w:ascii="Times New Roman" w:eastAsia="Calibri" w:hAnsi="Times New Roman" w:cs="Times New Roman"/>
          <w:sz w:val="24"/>
          <w:szCs w:val="24"/>
        </w:rPr>
        <w:t xml:space="preserve"> SBG’s</w:t>
      </w:r>
      <w:r w:rsidRPr="001553BB">
        <w:rPr>
          <w:rFonts w:ascii="Times New Roman" w:eastAsia="Calibri" w:hAnsi="Times New Roman" w:cs="Times New Roman"/>
          <w:sz w:val="24"/>
          <w:szCs w:val="24"/>
        </w:rPr>
        <w:t xml:space="preserve"> inappropriate testimony.  Motion at 3-4.</w:t>
      </w:r>
    </w:p>
    <w:p w14:paraId="48211BE5" w14:textId="3937EDF8" w:rsidR="008C42EA" w:rsidRDefault="008C42EA" w:rsidP="001553BB">
      <w:pPr>
        <w:spacing w:after="0" w:line="360" w:lineRule="auto"/>
        <w:rPr>
          <w:rFonts w:ascii="Times New Roman" w:eastAsia="Calibri" w:hAnsi="Times New Roman" w:cs="Times New Roman"/>
          <w:sz w:val="24"/>
          <w:szCs w:val="24"/>
        </w:rPr>
      </w:pPr>
    </w:p>
    <w:p w14:paraId="31B10B67" w14:textId="449B074A" w:rsidR="008C42EA" w:rsidRPr="008C42EA" w:rsidRDefault="008C42EA" w:rsidP="008C42EA">
      <w:pPr>
        <w:spacing w:after="0" w:line="360" w:lineRule="auto"/>
        <w:ind w:firstLine="1440"/>
        <w:rPr>
          <w:rFonts w:ascii="Times New Roman" w:eastAsia="Calibri" w:hAnsi="Times New Roman" w:cs="Times New Roman"/>
          <w:sz w:val="24"/>
          <w:szCs w:val="24"/>
        </w:rPr>
      </w:pPr>
      <w:r>
        <w:rPr>
          <w:rFonts w:ascii="Times New Roman" w:eastAsia="Calibri" w:hAnsi="Times New Roman" w:cs="Times New Roman"/>
          <w:sz w:val="24"/>
          <w:szCs w:val="24"/>
        </w:rPr>
        <w:t xml:space="preserve">By email </w:t>
      </w:r>
      <w:r w:rsidRPr="008C42EA">
        <w:rPr>
          <w:rFonts w:ascii="Times New Roman" w:eastAsia="Calibri" w:hAnsi="Times New Roman" w:cs="Times New Roman"/>
          <w:sz w:val="24"/>
          <w:szCs w:val="24"/>
        </w:rPr>
        <w:t xml:space="preserve">dated December 29, 2022, SBG’s counsel informed me that </w:t>
      </w:r>
      <w:r w:rsidRPr="008C42EA">
        <w:rPr>
          <w:rFonts w:ascii="Times New Roman" w:hAnsi="Times New Roman" w:cs="Times New Roman"/>
          <w:sz w:val="24"/>
          <w:szCs w:val="24"/>
        </w:rPr>
        <w:t>his offices sustained serious water damage due to a major pipe leak.   Counsel requested and was granted an extension of time to file SBG’s Response to PGW’s Motion.</w:t>
      </w:r>
    </w:p>
    <w:p w14:paraId="167B5B9E" w14:textId="77777777" w:rsidR="001553BB" w:rsidRPr="001553BB" w:rsidRDefault="001553BB" w:rsidP="001553BB">
      <w:pPr>
        <w:spacing w:after="0" w:line="360" w:lineRule="auto"/>
        <w:rPr>
          <w:rFonts w:ascii="Times New Roman" w:eastAsia="Calibri" w:hAnsi="Times New Roman" w:cs="Times New Roman"/>
          <w:sz w:val="24"/>
          <w:szCs w:val="24"/>
        </w:rPr>
      </w:pPr>
    </w:p>
    <w:p w14:paraId="3A017B20" w14:textId="2E548FFB" w:rsidR="001553BB" w:rsidRDefault="001553BB" w:rsidP="001553BB">
      <w:pPr>
        <w:spacing w:after="0" w:line="360" w:lineRule="auto"/>
        <w:ind w:firstLine="1440"/>
        <w:rPr>
          <w:rFonts w:ascii="Times New Roman" w:eastAsia="Calibri" w:hAnsi="Times New Roman" w:cs="Times New Roman"/>
          <w:sz w:val="24"/>
          <w:szCs w:val="24"/>
        </w:rPr>
      </w:pPr>
      <w:r w:rsidRPr="001553BB">
        <w:rPr>
          <w:rFonts w:ascii="Times New Roman" w:eastAsia="Calibri" w:hAnsi="Times New Roman" w:cs="Times New Roman"/>
          <w:sz w:val="24"/>
          <w:szCs w:val="24"/>
        </w:rPr>
        <w:t xml:space="preserve">On January 10, 2023, SBG filed a </w:t>
      </w:r>
      <w:r w:rsidR="008C42EA">
        <w:rPr>
          <w:rFonts w:ascii="Times New Roman" w:eastAsia="Calibri" w:hAnsi="Times New Roman" w:cs="Times New Roman"/>
          <w:sz w:val="24"/>
          <w:szCs w:val="24"/>
        </w:rPr>
        <w:t xml:space="preserve">timely </w:t>
      </w:r>
      <w:r w:rsidRPr="001553BB">
        <w:rPr>
          <w:rFonts w:ascii="Times New Roman" w:eastAsia="Calibri" w:hAnsi="Times New Roman" w:cs="Times New Roman"/>
          <w:sz w:val="24"/>
          <w:szCs w:val="24"/>
        </w:rPr>
        <w:t>letter-response (Response) to PGW’s Motion.  In its Response</w:t>
      </w:r>
      <w:r w:rsidRPr="008C42EA">
        <w:rPr>
          <w:rFonts w:ascii="Times New Roman" w:eastAsia="Calibri" w:hAnsi="Times New Roman" w:cs="Times New Roman"/>
          <w:sz w:val="24"/>
          <w:szCs w:val="24"/>
        </w:rPr>
        <w:t>,</w:t>
      </w:r>
      <w:r w:rsidRPr="001553BB">
        <w:rPr>
          <w:rFonts w:ascii="Times New Roman" w:eastAsia="Calibri" w:hAnsi="Times New Roman" w:cs="Times New Roman"/>
          <w:sz w:val="24"/>
          <w:szCs w:val="24"/>
        </w:rPr>
        <w:t xml:space="preserve"> SBG explains that, although it does not necessarily agree with PGW’s description as to the nature and scope of the two issues currently pending before the Commission, recognizes that Section 1312(a) of the </w:t>
      </w:r>
      <w:r w:rsidRPr="008C42EA">
        <w:rPr>
          <w:rFonts w:ascii="Times New Roman" w:eastAsia="Calibri" w:hAnsi="Times New Roman" w:cs="Times New Roman"/>
          <w:sz w:val="24"/>
          <w:szCs w:val="24"/>
        </w:rPr>
        <w:t>Pu</w:t>
      </w:r>
      <w:r>
        <w:rPr>
          <w:rFonts w:ascii="Times New Roman" w:eastAsia="Calibri" w:hAnsi="Times New Roman" w:cs="Times New Roman"/>
          <w:sz w:val="24"/>
          <w:szCs w:val="24"/>
        </w:rPr>
        <w:t xml:space="preserve">blic Utility </w:t>
      </w:r>
      <w:r w:rsidRPr="001553BB">
        <w:rPr>
          <w:rFonts w:ascii="Times New Roman" w:eastAsia="Calibri" w:hAnsi="Times New Roman" w:cs="Times New Roman"/>
          <w:sz w:val="24"/>
          <w:szCs w:val="24"/>
        </w:rPr>
        <w:t>Code</w:t>
      </w:r>
      <w:r w:rsidR="008C42EA">
        <w:rPr>
          <w:rFonts w:ascii="Times New Roman" w:eastAsia="Calibri" w:hAnsi="Times New Roman" w:cs="Times New Roman"/>
          <w:sz w:val="24"/>
          <w:szCs w:val="24"/>
        </w:rPr>
        <w:t xml:space="preserve"> (the Code)</w:t>
      </w:r>
      <w:r w:rsidRPr="001553BB">
        <w:rPr>
          <w:rFonts w:ascii="Times New Roman" w:eastAsia="Calibri" w:hAnsi="Times New Roman" w:cs="Times New Roman"/>
          <w:sz w:val="24"/>
          <w:szCs w:val="24"/>
        </w:rPr>
        <w:t xml:space="preserve"> defines the parameters of the refund proceeding. </w:t>
      </w:r>
      <w:r>
        <w:rPr>
          <w:rFonts w:ascii="Times New Roman" w:eastAsia="Calibri" w:hAnsi="Times New Roman" w:cs="Times New Roman"/>
          <w:sz w:val="24"/>
          <w:szCs w:val="24"/>
        </w:rPr>
        <w:t xml:space="preserve"> </w:t>
      </w:r>
      <w:r w:rsidRPr="001553BB">
        <w:rPr>
          <w:rFonts w:ascii="Times New Roman" w:eastAsia="Calibri" w:hAnsi="Times New Roman" w:cs="Times New Roman"/>
          <w:sz w:val="24"/>
          <w:szCs w:val="24"/>
        </w:rPr>
        <w:t xml:space="preserve">In particular, </w:t>
      </w:r>
      <w:r>
        <w:rPr>
          <w:rFonts w:ascii="Times New Roman" w:eastAsia="Calibri" w:hAnsi="Times New Roman" w:cs="Times New Roman"/>
          <w:sz w:val="24"/>
          <w:szCs w:val="24"/>
        </w:rPr>
        <w:t xml:space="preserve">SBG argues that, </w:t>
      </w:r>
      <w:r w:rsidRPr="001553BB">
        <w:rPr>
          <w:rFonts w:ascii="Times New Roman" w:eastAsia="Calibri" w:hAnsi="Times New Roman" w:cs="Times New Roman"/>
          <w:sz w:val="24"/>
          <w:szCs w:val="24"/>
        </w:rPr>
        <w:t xml:space="preserve">when determining the amount PGW owes Complainants for its erroneous application of the eighteen percent (18%) tariff rate over the course of many years – as specified by the Supreme Court’s decision in </w:t>
      </w:r>
      <w:r w:rsidRPr="001553BB">
        <w:rPr>
          <w:rFonts w:ascii="Times New Roman" w:eastAsia="Calibri" w:hAnsi="Times New Roman" w:cs="Times New Roman"/>
          <w:i/>
          <w:iCs/>
          <w:sz w:val="24"/>
          <w:szCs w:val="24"/>
        </w:rPr>
        <w:t>PGW II</w:t>
      </w:r>
      <w:r w:rsidRPr="001553BB">
        <w:rPr>
          <w:rFonts w:ascii="Times New Roman" w:eastAsia="Calibri" w:hAnsi="Times New Roman" w:cs="Times New Roman"/>
          <w:sz w:val="24"/>
          <w:szCs w:val="24"/>
        </w:rPr>
        <w:t xml:space="preserve"> – § 1312(a) provides as follows: </w:t>
      </w:r>
    </w:p>
    <w:p w14:paraId="74212BE1" w14:textId="7EB75806" w:rsidR="001553BB" w:rsidRDefault="001553BB" w:rsidP="001553BB">
      <w:pPr>
        <w:spacing w:after="0" w:line="240" w:lineRule="auto"/>
        <w:ind w:left="1440" w:right="1440"/>
        <w:rPr>
          <w:rFonts w:ascii="Times New Roman" w:eastAsia="Calibri" w:hAnsi="Times New Roman" w:cs="Times New Roman"/>
          <w:sz w:val="24"/>
          <w:szCs w:val="24"/>
        </w:rPr>
      </w:pPr>
      <w:r w:rsidRPr="001553BB">
        <w:rPr>
          <w:rFonts w:ascii="Times New Roman" w:eastAsia="Calibri" w:hAnsi="Times New Roman" w:cs="Times New Roman"/>
          <w:sz w:val="24"/>
          <w:szCs w:val="24"/>
        </w:rPr>
        <w:t xml:space="preserve">…the commission shall have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  </w:t>
      </w:r>
    </w:p>
    <w:p w14:paraId="5AB8E713" w14:textId="77777777" w:rsidR="001553BB" w:rsidRDefault="001553BB" w:rsidP="001553BB">
      <w:pPr>
        <w:spacing w:after="0" w:line="240" w:lineRule="auto"/>
        <w:ind w:left="1440" w:right="1440"/>
        <w:rPr>
          <w:rFonts w:ascii="Times New Roman" w:eastAsia="Calibri" w:hAnsi="Times New Roman" w:cs="Times New Roman"/>
          <w:sz w:val="24"/>
          <w:szCs w:val="24"/>
        </w:rPr>
      </w:pPr>
    </w:p>
    <w:p w14:paraId="5EF3E0F6" w14:textId="7134E497" w:rsidR="001553BB" w:rsidRPr="001553BB" w:rsidRDefault="001553BB" w:rsidP="001553BB">
      <w:pPr>
        <w:spacing w:after="0" w:line="360" w:lineRule="auto"/>
        <w:rPr>
          <w:rFonts w:ascii="Times New Roman" w:eastAsia="Calibri" w:hAnsi="Times New Roman" w:cs="Times New Roman"/>
          <w:sz w:val="24"/>
          <w:szCs w:val="24"/>
        </w:rPr>
      </w:pPr>
      <w:r w:rsidRPr="001553BB">
        <w:rPr>
          <w:rFonts w:ascii="Times New Roman" w:eastAsia="Calibri" w:hAnsi="Times New Roman" w:cs="Times New Roman"/>
          <w:sz w:val="24"/>
          <w:szCs w:val="24"/>
        </w:rPr>
        <w:lastRenderedPageBreak/>
        <w:t xml:space="preserve">66 Pa. C.S.A. § 1312(a).  Accordingly, </w:t>
      </w:r>
      <w:r w:rsidR="008C42EA">
        <w:rPr>
          <w:rFonts w:ascii="Times New Roman" w:eastAsia="Calibri" w:hAnsi="Times New Roman" w:cs="Times New Roman"/>
          <w:sz w:val="24"/>
          <w:szCs w:val="24"/>
        </w:rPr>
        <w:t xml:space="preserve">SBG argues that in </w:t>
      </w:r>
      <w:r w:rsidRPr="001553BB">
        <w:rPr>
          <w:rFonts w:ascii="Times New Roman" w:eastAsia="Calibri" w:hAnsi="Times New Roman" w:cs="Times New Roman"/>
          <w:sz w:val="24"/>
          <w:szCs w:val="24"/>
        </w:rPr>
        <w:t xml:space="preserve">determining the refund amounts owed by PGW – the Commission shall assess the exact amount of the overcharges (a) looking back “four years prior to the date of the filing of [each SBG] complaint” in 2012 and 2015, and (b) adding “interest at the legal rate from the date of each such excessive payment.”  </w:t>
      </w:r>
      <w:r w:rsidRPr="001553BB">
        <w:rPr>
          <w:rFonts w:ascii="Times New Roman" w:eastAsia="Calibri" w:hAnsi="Times New Roman" w:cs="Times New Roman"/>
          <w:sz w:val="24"/>
          <w:szCs w:val="24"/>
          <w:u w:val="single"/>
        </w:rPr>
        <w:t>Id.</w:t>
      </w:r>
      <w:r w:rsidRPr="001553BB">
        <w:rPr>
          <w:rFonts w:ascii="Times New Roman" w:eastAsia="Calibri" w:hAnsi="Times New Roman" w:cs="Times New Roman"/>
          <w:sz w:val="24"/>
          <w:szCs w:val="24"/>
        </w:rPr>
        <w:t xml:space="preserve">  SBG</w:t>
      </w:r>
      <w:r w:rsidR="008C42EA">
        <w:rPr>
          <w:rFonts w:ascii="Times New Roman" w:eastAsia="Calibri" w:hAnsi="Times New Roman" w:cs="Times New Roman"/>
          <w:sz w:val="24"/>
          <w:szCs w:val="24"/>
        </w:rPr>
        <w:t xml:space="preserve"> further explains that its </w:t>
      </w:r>
      <w:r w:rsidRPr="001553BB">
        <w:rPr>
          <w:rFonts w:ascii="Times New Roman" w:eastAsia="Calibri" w:hAnsi="Times New Roman" w:cs="Times New Roman"/>
          <w:sz w:val="24"/>
          <w:szCs w:val="24"/>
        </w:rPr>
        <w:t>expert report will</w:t>
      </w:r>
      <w:r w:rsidR="008C42EA">
        <w:rPr>
          <w:rFonts w:ascii="Times New Roman" w:eastAsia="Calibri" w:hAnsi="Times New Roman" w:cs="Times New Roman"/>
          <w:sz w:val="24"/>
          <w:szCs w:val="24"/>
        </w:rPr>
        <w:t xml:space="preserve"> </w:t>
      </w:r>
      <w:r w:rsidRPr="001553BB">
        <w:rPr>
          <w:rFonts w:ascii="Times New Roman" w:eastAsia="Calibri" w:hAnsi="Times New Roman" w:cs="Times New Roman"/>
          <w:sz w:val="24"/>
          <w:szCs w:val="24"/>
        </w:rPr>
        <w:t xml:space="preserve">only include and discuss the refund amounts as permitted under § 1312(a) of the Code. </w:t>
      </w:r>
      <w:r w:rsidR="008C42EA">
        <w:rPr>
          <w:rFonts w:ascii="Times New Roman" w:eastAsia="Calibri" w:hAnsi="Times New Roman" w:cs="Times New Roman"/>
          <w:sz w:val="24"/>
          <w:szCs w:val="24"/>
        </w:rPr>
        <w:t xml:space="preserve"> </w:t>
      </w:r>
      <w:r w:rsidRPr="001553BB">
        <w:rPr>
          <w:rFonts w:ascii="Times New Roman" w:eastAsia="Calibri" w:hAnsi="Times New Roman" w:cs="Times New Roman"/>
          <w:sz w:val="24"/>
          <w:szCs w:val="24"/>
        </w:rPr>
        <w:t xml:space="preserve">SBG’s expert analysis will not include any discussion of “lost income / excess costs” and “damages caused by the improper calculations and billings made by PGW.” </w:t>
      </w:r>
      <w:r w:rsidR="008C42EA">
        <w:rPr>
          <w:rFonts w:ascii="Times New Roman" w:eastAsia="Calibri" w:hAnsi="Times New Roman" w:cs="Times New Roman"/>
          <w:sz w:val="24"/>
          <w:szCs w:val="24"/>
        </w:rPr>
        <w:t xml:space="preserve"> </w:t>
      </w:r>
      <w:r w:rsidRPr="001553BB">
        <w:rPr>
          <w:rFonts w:ascii="Times New Roman" w:eastAsia="Calibri" w:hAnsi="Times New Roman" w:cs="Times New Roman"/>
          <w:sz w:val="24"/>
          <w:szCs w:val="24"/>
        </w:rPr>
        <w:t>SBG reserves the right to pursue those consequential damages – which are related to the refund amounts – in the appropriate forum and after this Commission determines the total refund amount PGW must remit to SBG.</w:t>
      </w:r>
    </w:p>
    <w:p w14:paraId="4D0A2777" w14:textId="77777777" w:rsidR="001553BB" w:rsidRPr="001553BB" w:rsidRDefault="001553BB" w:rsidP="001553BB">
      <w:pPr>
        <w:spacing w:after="0" w:line="360" w:lineRule="auto"/>
        <w:ind w:firstLine="720"/>
        <w:rPr>
          <w:rFonts w:ascii="Times New Roman" w:eastAsia="Calibri" w:hAnsi="Times New Roman" w:cs="Times New Roman"/>
          <w:sz w:val="24"/>
          <w:szCs w:val="24"/>
        </w:rPr>
      </w:pPr>
    </w:p>
    <w:p w14:paraId="1998E1DD" w14:textId="77777777" w:rsidR="001553BB" w:rsidRPr="001553BB" w:rsidRDefault="001553BB" w:rsidP="001553BB">
      <w:pPr>
        <w:spacing w:after="0" w:line="360" w:lineRule="auto"/>
        <w:ind w:firstLine="1440"/>
        <w:rPr>
          <w:rFonts w:ascii="Times New Roman" w:eastAsia="Calibri" w:hAnsi="Times New Roman" w:cs="Times New Roman"/>
          <w:sz w:val="24"/>
          <w:szCs w:val="24"/>
        </w:rPr>
      </w:pPr>
      <w:r w:rsidRPr="001553BB">
        <w:rPr>
          <w:rFonts w:ascii="Times New Roman" w:eastAsia="Calibri" w:hAnsi="Times New Roman" w:cs="Times New Roman"/>
          <w:sz w:val="24"/>
          <w:szCs w:val="24"/>
        </w:rPr>
        <w:t>The Motion is now ready for ruling.</w:t>
      </w:r>
    </w:p>
    <w:p w14:paraId="191DA8C4" w14:textId="77777777" w:rsidR="001553BB" w:rsidRPr="001553BB" w:rsidRDefault="001553BB" w:rsidP="001553BB">
      <w:pPr>
        <w:spacing w:after="0" w:line="360" w:lineRule="auto"/>
        <w:rPr>
          <w:rFonts w:ascii="Times New Roman" w:eastAsia="Times New Roman" w:hAnsi="Times New Roman" w:cs="Times New Roman"/>
          <w:spacing w:val="-3"/>
          <w:sz w:val="24"/>
          <w:szCs w:val="24"/>
        </w:rPr>
      </w:pPr>
    </w:p>
    <w:p w14:paraId="21E013A3" w14:textId="77777777" w:rsidR="001553BB" w:rsidRPr="001553BB" w:rsidRDefault="001553BB" w:rsidP="001553BB">
      <w:pPr>
        <w:widowControl w:val="0"/>
        <w:autoSpaceDE w:val="0"/>
        <w:autoSpaceDN w:val="0"/>
        <w:adjustRightInd w:val="0"/>
        <w:spacing w:after="0" w:line="360" w:lineRule="auto"/>
        <w:ind w:firstLine="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 xml:space="preserve">As a creature of legislation, the Commission possesses only the authority the State Legislature has specifically granted to it in the Public Utility Code (the “Code”), 66 Pa. C.S. </w:t>
      </w:r>
    </w:p>
    <w:p w14:paraId="2C5E230A" w14:textId="412C32F8" w:rsidR="001553BB" w:rsidRPr="001553BB" w:rsidRDefault="001553BB" w:rsidP="001553BB">
      <w:pPr>
        <w:widowControl w:val="0"/>
        <w:autoSpaceDE w:val="0"/>
        <w:autoSpaceDN w:val="0"/>
        <w:adjustRightInd w:val="0"/>
        <w:spacing w:after="0" w:line="360" w:lineRule="auto"/>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 xml:space="preserve">§§ 101, </w:t>
      </w:r>
      <w:r w:rsidRPr="001553BB">
        <w:rPr>
          <w:rFonts w:ascii="Times New Roman" w:eastAsia="Times New Roman" w:hAnsi="Times New Roman" w:cs="Times New Roman"/>
          <w:i/>
          <w:sz w:val="24"/>
          <w:szCs w:val="24"/>
        </w:rPr>
        <w:t>et</w:t>
      </w:r>
      <w:r w:rsidRPr="001553BB">
        <w:rPr>
          <w:rFonts w:ascii="Times New Roman" w:eastAsia="Times New Roman" w:hAnsi="Times New Roman" w:cs="Times New Roman"/>
          <w:sz w:val="24"/>
          <w:szCs w:val="24"/>
        </w:rPr>
        <w:t xml:space="preserve"> </w:t>
      </w:r>
      <w:r w:rsidRPr="001553BB">
        <w:rPr>
          <w:rFonts w:ascii="Times New Roman" w:eastAsia="Times New Roman" w:hAnsi="Times New Roman" w:cs="Times New Roman"/>
          <w:i/>
          <w:sz w:val="24"/>
          <w:szCs w:val="24"/>
        </w:rPr>
        <w:t>seq</w:t>
      </w:r>
      <w:r w:rsidRPr="001553BB">
        <w:rPr>
          <w:rFonts w:ascii="Times New Roman" w:eastAsia="Times New Roman" w:hAnsi="Times New Roman" w:cs="Times New Roman"/>
          <w:sz w:val="24"/>
          <w:szCs w:val="24"/>
        </w:rPr>
        <w:t xml:space="preserve">.  Its jurisdiction must arise from the express language of the pertinent enabling legislation or by strong and necessary implication therefrom.  </w:t>
      </w:r>
      <w:r w:rsidRPr="001553BB">
        <w:rPr>
          <w:rFonts w:ascii="Times New Roman" w:eastAsia="Times New Roman" w:hAnsi="Times New Roman" w:cs="Times New Roman"/>
          <w:i/>
          <w:iCs/>
          <w:sz w:val="24"/>
          <w:szCs w:val="24"/>
        </w:rPr>
        <w:t>Feingold v. Bell of Pa.</w:t>
      </w:r>
      <w:r w:rsidRPr="001553BB">
        <w:rPr>
          <w:rFonts w:ascii="Times New Roman" w:eastAsia="Times New Roman" w:hAnsi="Times New Roman" w:cs="Times New Roman"/>
          <w:sz w:val="24"/>
          <w:szCs w:val="24"/>
        </w:rPr>
        <w:t>, 383 A.2d 1191 (</w:t>
      </w:r>
      <w:smartTag w:uri="urn:schemas-microsoft-com:office:smarttags" w:element="State">
        <w:r w:rsidRPr="001553BB">
          <w:rPr>
            <w:rFonts w:ascii="Times New Roman" w:eastAsia="Times New Roman" w:hAnsi="Times New Roman" w:cs="Times New Roman"/>
            <w:sz w:val="24"/>
            <w:szCs w:val="24"/>
          </w:rPr>
          <w:t>Pa.</w:t>
        </w:r>
      </w:smartTag>
      <w:r w:rsidRPr="001553BB">
        <w:rPr>
          <w:rFonts w:ascii="Times New Roman" w:eastAsia="Times New Roman" w:hAnsi="Times New Roman" w:cs="Times New Roman"/>
          <w:sz w:val="24"/>
          <w:szCs w:val="24"/>
        </w:rPr>
        <w:t xml:space="preserve"> 1977); </w:t>
      </w:r>
      <w:r w:rsidRPr="001553BB">
        <w:rPr>
          <w:rFonts w:ascii="Times New Roman" w:eastAsia="Times New Roman" w:hAnsi="Times New Roman" w:cs="Times New Roman"/>
          <w:i/>
          <w:iCs/>
          <w:sz w:val="24"/>
          <w:szCs w:val="24"/>
        </w:rPr>
        <w:t>Allegheny County Port Authority v. Pa. P.U.C.</w:t>
      </w:r>
      <w:r w:rsidRPr="001553BB">
        <w:rPr>
          <w:rFonts w:ascii="Times New Roman" w:eastAsia="Times New Roman" w:hAnsi="Times New Roman" w:cs="Times New Roman"/>
          <w:sz w:val="24"/>
          <w:szCs w:val="24"/>
        </w:rPr>
        <w:t>, 237 A.2d 602 (</w:t>
      </w:r>
      <w:smartTag w:uri="urn:schemas-microsoft-com:office:smarttags" w:element="State">
        <w:r w:rsidRPr="001553BB">
          <w:rPr>
            <w:rFonts w:ascii="Times New Roman" w:eastAsia="Times New Roman" w:hAnsi="Times New Roman" w:cs="Times New Roman"/>
            <w:sz w:val="24"/>
            <w:szCs w:val="24"/>
          </w:rPr>
          <w:t>Pa.</w:t>
        </w:r>
      </w:smartTag>
      <w:r w:rsidRPr="001553BB">
        <w:rPr>
          <w:rFonts w:ascii="Times New Roman" w:eastAsia="Times New Roman" w:hAnsi="Times New Roman" w:cs="Times New Roman"/>
          <w:sz w:val="24"/>
          <w:szCs w:val="24"/>
        </w:rPr>
        <w:t xml:space="preserve"> 1967</w:t>
      </w:r>
      <w:r w:rsidR="0053699F" w:rsidRPr="001553BB">
        <w:rPr>
          <w:rFonts w:ascii="Times New Roman" w:eastAsia="Times New Roman" w:hAnsi="Times New Roman" w:cs="Times New Roman"/>
          <w:sz w:val="24"/>
          <w:szCs w:val="24"/>
        </w:rPr>
        <w:t>).</w:t>
      </w:r>
      <w:r w:rsidRPr="001553BB">
        <w:rPr>
          <w:rFonts w:ascii="Times New Roman" w:eastAsia="Times New Roman" w:hAnsi="Times New Roman" w:cs="Times New Roman"/>
          <w:sz w:val="24"/>
          <w:szCs w:val="24"/>
        </w:rPr>
        <w:t xml:space="preserve"> </w:t>
      </w:r>
    </w:p>
    <w:p w14:paraId="327313C5" w14:textId="129C165D" w:rsidR="001553BB" w:rsidRPr="001553BB" w:rsidRDefault="001553BB" w:rsidP="001553BB">
      <w:pPr>
        <w:spacing w:after="0" w:line="360" w:lineRule="auto"/>
        <w:contextualSpacing/>
        <w:rPr>
          <w:rFonts w:ascii="Times New Roman" w:eastAsia="Calibri" w:hAnsi="Times New Roman" w:cs="Times New Roman"/>
          <w:sz w:val="24"/>
          <w:szCs w:val="24"/>
        </w:rPr>
      </w:pPr>
      <w:r w:rsidRPr="001553BB">
        <w:rPr>
          <w:rFonts w:ascii="Times New Roman" w:eastAsia="Times New Roman" w:hAnsi="Times New Roman" w:cs="Times New Roman"/>
          <w:i/>
          <w:iCs/>
          <w:sz w:val="24"/>
          <w:szCs w:val="24"/>
        </w:rPr>
        <w:t>Behrend v. Bell of PA</w:t>
      </w:r>
      <w:r w:rsidRPr="001553BB">
        <w:rPr>
          <w:rFonts w:ascii="Times New Roman" w:eastAsia="Times New Roman" w:hAnsi="Times New Roman" w:cs="Times New Roman"/>
          <w:sz w:val="24"/>
          <w:szCs w:val="24"/>
        </w:rPr>
        <w:t>, 390 A.2d 233 (</w:t>
      </w:r>
      <w:smartTag w:uri="urn:schemas-microsoft-com:office:smarttags" w:element="State">
        <w:r w:rsidRPr="001553BB">
          <w:rPr>
            <w:rFonts w:ascii="Times New Roman" w:eastAsia="Times New Roman" w:hAnsi="Times New Roman" w:cs="Times New Roman"/>
            <w:sz w:val="24"/>
            <w:szCs w:val="24"/>
          </w:rPr>
          <w:t>Pa.</w:t>
        </w:r>
      </w:smartTag>
      <w:r w:rsidRPr="001553BB">
        <w:rPr>
          <w:rFonts w:ascii="Times New Roman" w:eastAsia="Times New Roman" w:hAnsi="Times New Roman" w:cs="Times New Roman"/>
          <w:sz w:val="24"/>
          <w:szCs w:val="24"/>
        </w:rPr>
        <w:t xml:space="preserve"> Super. 1978); </w:t>
      </w:r>
      <w:r w:rsidRPr="001553BB">
        <w:rPr>
          <w:rFonts w:ascii="Times New Roman" w:eastAsia="Times New Roman" w:hAnsi="Times New Roman" w:cs="Times New Roman"/>
          <w:i/>
          <w:iCs/>
          <w:sz w:val="24"/>
          <w:szCs w:val="24"/>
        </w:rPr>
        <w:t>Pa. Department of Highways v. Pa. P.U.C.</w:t>
      </w:r>
      <w:r w:rsidRPr="001553BB">
        <w:rPr>
          <w:rFonts w:ascii="Times New Roman" w:eastAsia="Times New Roman" w:hAnsi="Times New Roman" w:cs="Times New Roman"/>
          <w:sz w:val="24"/>
          <w:szCs w:val="24"/>
        </w:rPr>
        <w:t>, 182 A.2d 267 (</w:t>
      </w:r>
      <w:smartTag w:uri="urn:schemas-microsoft-com:office:smarttags" w:element="State">
        <w:r w:rsidRPr="001553BB">
          <w:rPr>
            <w:rFonts w:ascii="Times New Roman" w:eastAsia="Times New Roman" w:hAnsi="Times New Roman" w:cs="Times New Roman"/>
            <w:sz w:val="24"/>
            <w:szCs w:val="24"/>
          </w:rPr>
          <w:t>Pa.</w:t>
        </w:r>
      </w:smartTag>
      <w:r w:rsidRPr="001553BB">
        <w:rPr>
          <w:rFonts w:ascii="Times New Roman" w:eastAsia="Times New Roman" w:hAnsi="Times New Roman" w:cs="Times New Roman"/>
          <w:sz w:val="24"/>
          <w:szCs w:val="24"/>
        </w:rPr>
        <w:t xml:space="preserve"> Super. 1962); </w:t>
      </w:r>
      <w:r w:rsidRPr="001553BB">
        <w:rPr>
          <w:rFonts w:ascii="Times New Roman" w:eastAsia="Times New Roman" w:hAnsi="Times New Roman" w:cs="Times New Roman"/>
          <w:i/>
          <w:iCs/>
          <w:sz w:val="24"/>
          <w:szCs w:val="24"/>
        </w:rPr>
        <w:t>City of Erie v. Pa. Electric Co.</w:t>
      </w:r>
      <w:r w:rsidRPr="001553BB">
        <w:rPr>
          <w:rFonts w:ascii="Times New Roman" w:eastAsia="Times New Roman" w:hAnsi="Times New Roman" w:cs="Times New Roman"/>
          <w:sz w:val="24"/>
          <w:szCs w:val="24"/>
        </w:rPr>
        <w:t>, 383 A.2d 575 (Pa.</w:t>
      </w:r>
      <w:r w:rsidR="0053699F">
        <w:rPr>
          <w:rFonts w:ascii="Times New Roman" w:eastAsia="Times New Roman" w:hAnsi="Times New Roman" w:cs="Times New Roman"/>
          <w:sz w:val="24"/>
          <w:szCs w:val="24"/>
        </w:rPr>
        <w:t> </w:t>
      </w:r>
      <w:r w:rsidRPr="001553BB">
        <w:rPr>
          <w:rFonts w:ascii="Times New Roman" w:eastAsia="Times New Roman" w:hAnsi="Times New Roman" w:cs="Times New Roman"/>
          <w:sz w:val="24"/>
          <w:szCs w:val="24"/>
        </w:rPr>
        <w:t xml:space="preserve">Cmwlth. 1978).  Nothing in the Code confers jurisdiction upon the Commission to award monetary damages.  See, </w:t>
      </w:r>
      <w:r w:rsidRPr="001553BB">
        <w:rPr>
          <w:rFonts w:ascii="Times New Roman" w:eastAsia="Times New Roman" w:hAnsi="Times New Roman" w:cs="Times New Roman"/>
          <w:i/>
          <w:iCs/>
          <w:sz w:val="24"/>
          <w:szCs w:val="24"/>
        </w:rPr>
        <w:t>DeFrancesco v. Western Pennsylvania Water Company</w:t>
      </w:r>
      <w:r w:rsidRPr="001553BB">
        <w:rPr>
          <w:rFonts w:ascii="Times New Roman" w:eastAsia="Times New Roman" w:hAnsi="Times New Roman" w:cs="Times New Roman"/>
          <w:sz w:val="24"/>
          <w:szCs w:val="24"/>
        </w:rPr>
        <w:t>, 453 A.2d 595 (</w:t>
      </w:r>
      <w:smartTag w:uri="urn:schemas-microsoft-com:office:smarttags" w:element="State">
        <w:r w:rsidRPr="001553BB">
          <w:rPr>
            <w:rFonts w:ascii="Times New Roman" w:eastAsia="Times New Roman" w:hAnsi="Times New Roman" w:cs="Times New Roman"/>
            <w:sz w:val="24"/>
            <w:szCs w:val="24"/>
          </w:rPr>
          <w:t>Pa.</w:t>
        </w:r>
      </w:smartTag>
      <w:r w:rsidRPr="001553BB">
        <w:rPr>
          <w:rFonts w:ascii="Times New Roman" w:eastAsia="Times New Roman" w:hAnsi="Times New Roman" w:cs="Times New Roman"/>
          <w:sz w:val="24"/>
          <w:szCs w:val="24"/>
        </w:rPr>
        <w:t xml:space="preserve"> 1982); </w:t>
      </w:r>
      <w:r w:rsidRPr="001553BB">
        <w:rPr>
          <w:rFonts w:ascii="Times New Roman" w:eastAsia="Times New Roman" w:hAnsi="Times New Roman" w:cs="Times New Roman"/>
          <w:i/>
          <w:iCs/>
          <w:sz w:val="24"/>
          <w:szCs w:val="24"/>
        </w:rPr>
        <w:t>Elkin v. Bell of Pa.</w:t>
      </w:r>
      <w:r w:rsidRPr="001553BB">
        <w:rPr>
          <w:rFonts w:ascii="Times New Roman" w:eastAsia="Times New Roman" w:hAnsi="Times New Roman" w:cs="Times New Roman"/>
          <w:sz w:val="24"/>
          <w:szCs w:val="24"/>
        </w:rPr>
        <w:t>, 420 A.2d 371 (</w:t>
      </w:r>
      <w:smartTag w:uri="urn:schemas-microsoft-com:office:smarttags" w:element="State">
        <w:r w:rsidRPr="001553BB">
          <w:rPr>
            <w:rFonts w:ascii="Times New Roman" w:eastAsia="Times New Roman" w:hAnsi="Times New Roman" w:cs="Times New Roman"/>
            <w:sz w:val="24"/>
            <w:szCs w:val="24"/>
          </w:rPr>
          <w:t>Pa.</w:t>
        </w:r>
      </w:smartTag>
      <w:r w:rsidRPr="001553BB">
        <w:rPr>
          <w:rFonts w:ascii="Times New Roman" w:eastAsia="Times New Roman" w:hAnsi="Times New Roman" w:cs="Times New Roman"/>
          <w:sz w:val="24"/>
          <w:szCs w:val="24"/>
        </w:rPr>
        <w:t xml:space="preserve"> 1980); Feingold v. </w:t>
      </w:r>
      <w:smartTag w:uri="urn:schemas-microsoft-com:office:smarttags" w:element="City">
        <w:r w:rsidRPr="001553BB">
          <w:rPr>
            <w:rFonts w:ascii="Times New Roman" w:eastAsia="Times New Roman" w:hAnsi="Times New Roman" w:cs="Times New Roman"/>
            <w:sz w:val="24"/>
            <w:szCs w:val="24"/>
          </w:rPr>
          <w:t>Bell</w:t>
        </w:r>
      </w:smartTag>
      <w:r w:rsidRPr="001553BB">
        <w:rPr>
          <w:rFonts w:ascii="Times New Roman" w:eastAsia="Times New Roman" w:hAnsi="Times New Roman" w:cs="Times New Roman"/>
          <w:sz w:val="24"/>
          <w:szCs w:val="24"/>
        </w:rPr>
        <w:t xml:space="preserve"> of </w:t>
      </w:r>
      <w:smartTag w:uri="urn:schemas-microsoft-com:office:smarttags" w:element="State">
        <w:r w:rsidRPr="001553BB">
          <w:rPr>
            <w:rFonts w:ascii="Times New Roman" w:eastAsia="Times New Roman" w:hAnsi="Times New Roman" w:cs="Times New Roman"/>
            <w:sz w:val="24"/>
            <w:szCs w:val="24"/>
          </w:rPr>
          <w:t>Pa.</w:t>
        </w:r>
      </w:smartTag>
      <w:r w:rsidRPr="001553BB">
        <w:rPr>
          <w:rFonts w:ascii="Times New Roman" w:eastAsia="Times New Roman" w:hAnsi="Times New Roman" w:cs="Times New Roman"/>
          <w:sz w:val="24"/>
          <w:szCs w:val="24"/>
        </w:rPr>
        <w:t>, 383 A.2d 791 (</w:t>
      </w:r>
      <w:smartTag w:uri="urn:schemas-microsoft-com:office:smarttags" w:element="State">
        <w:r w:rsidRPr="001553BB">
          <w:rPr>
            <w:rFonts w:ascii="Times New Roman" w:eastAsia="Times New Roman" w:hAnsi="Times New Roman" w:cs="Times New Roman"/>
            <w:sz w:val="24"/>
            <w:szCs w:val="24"/>
          </w:rPr>
          <w:t>Pa.</w:t>
        </w:r>
      </w:smartTag>
      <w:r w:rsidRPr="001553BB">
        <w:rPr>
          <w:rFonts w:ascii="Times New Roman" w:eastAsia="Times New Roman" w:hAnsi="Times New Roman" w:cs="Times New Roman"/>
          <w:sz w:val="24"/>
          <w:szCs w:val="24"/>
        </w:rPr>
        <w:t xml:space="preserve"> 1977); </w:t>
      </w:r>
      <w:r w:rsidRPr="001553BB">
        <w:rPr>
          <w:rFonts w:ascii="Times New Roman" w:eastAsia="Times New Roman" w:hAnsi="Times New Roman" w:cs="Times New Roman"/>
          <w:i/>
          <w:iCs/>
          <w:sz w:val="24"/>
          <w:szCs w:val="24"/>
        </w:rPr>
        <w:t>Poorbaugh v. Pa. PUC</w:t>
      </w:r>
      <w:r w:rsidRPr="001553BB">
        <w:rPr>
          <w:rFonts w:ascii="Times New Roman" w:eastAsia="Times New Roman" w:hAnsi="Times New Roman" w:cs="Times New Roman"/>
          <w:sz w:val="24"/>
          <w:szCs w:val="24"/>
        </w:rPr>
        <w:t xml:space="preserve">, 666 A.2d 744 (Pa.Cmwlth. 1995).  </w:t>
      </w:r>
      <w:r w:rsidRPr="001553BB">
        <w:rPr>
          <w:rFonts w:ascii="Times New Roman" w:eastAsia="Calibri" w:hAnsi="Times New Roman" w:cs="Times New Roman"/>
          <w:sz w:val="24"/>
          <w:szCs w:val="24"/>
        </w:rPr>
        <w:t xml:space="preserve">To the extent that SBG seeks or plan to seek compensation for monetary damages, this request will be denied because the Commission lacks the authority to award such damages.  </w:t>
      </w:r>
    </w:p>
    <w:p w14:paraId="03CA3DF1" w14:textId="77777777" w:rsidR="001553BB" w:rsidRPr="001553BB" w:rsidRDefault="001553BB" w:rsidP="001553BB">
      <w:pPr>
        <w:spacing w:after="0" w:line="360" w:lineRule="auto"/>
        <w:contextualSpacing/>
        <w:rPr>
          <w:rFonts w:ascii="Times New Roman" w:eastAsia="Calibri" w:hAnsi="Times New Roman" w:cs="Times New Roman"/>
          <w:sz w:val="24"/>
          <w:szCs w:val="24"/>
        </w:rPr>
      </w:pPr>
    </w:p>
    <w:p w14:paraId="00B70412" w14:textId="2E78CE35" w:rsidR="001553BB" w:rsidRPr="001553BB" w:rsidRDefault="001553BB" w:rsidP="001553BB">
      <w:pPr>
        <w:spacing w:after="0" w:line="360" w:lineRule="auto"/>
        <w:ind w:firstLine="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However, under Public Utility Code Sections 3301(a) and (b), "the Commission may levy a fine of up to $ 1,000 per day for continuing violations of the Public Utility Code." 66</w:t>
      </w:r>
      <w:r w:rsidR="00A4534E">
        <w:rPr>
          <w:rFonts w:ascii="Times New Roman" w:eastAsia="Times New Roman" w:hAnsi="Times New Roman" w:cs="Times New Roman"/>
          <w:sz w:val="24"/>
          <w:szCs w:val="24"/>
        </w:rPr>
        <w:t> </w:t>
      </w:r>
      <w:r w:rsidRPr="001553BB">
        <w:rPr>
          <w:rFonts w:ascii="Times New Roman" w:eastAsia="Times New Roman" w:hAnsi="Times New Roman" w:cs="Times New Roman"/>
          <w:sz w:val="24"/>
          <w:szCs w:val="24"/>
        </w:rPr>
        <w:t xml:space="preserve">Pa.C.S.A. § 3301.  The Commission has set forth, in a statement of policy, the factors and standards for evaluating proceedings involving violations of the Public Utility Code for purposes </w:t>
      </w:r>
      <w:r w:rsidRPr="001553BB">
        <w:rPr>
          <w:rFonts w:ascii="Times New Roman" w:eastAsia="Times New Roman" w:hAnsi="Times New Roman" w:cs="Times New Roman"/>
          <w:sz w:val="24"/>
          <w:szCs w:val="24"/>
        </w:rPr>
        <w:lastRenderedPageBreak/>
        <w:t>of determining appropriate civil penalty amounts.  See, 52 Pa. Code § 69.1201(c).  These factors and standards are as follows:</w:t>
      </w:r>
    </w:p>
    <w:p w14:paraId="0823DEE4" w14:textId="77777777" w:rsidR="001553BB" w:rsidRPr="001553BB" w:rsidRDefault="001553BB" w:rsidP="001553BB">
      <w:pPr>
        <w:spacing w:after="0" w:line="360" w:lineRule="auto"/>
        <w:ind w:firstLine="1440"/>
        <w:rPr>
          <w:rFonts w:ascii="Times New Roman" w:eastAsia="Times New Roman" w:hAnsi="Times New Roman" w:cs="Times New Roman"/>
          <w:sz w:val="24"/>
          <w:szCs w:val="24"/>
        </w:rPr>
      </w:pPr>
    </w:p>
    <w:p w14:paraId="632A74B8" w14:textId="77777777" w:rsidR="001553BB" w:rsidRPr="001553BB" w:rsidRDefault="001553BB" w:rsidP="001553BB">
      <w:pPr>
        <w:spacing w:after="0" w:line="240" w:lineRule="auto"/>
        <w:ind w:left="1440" w:right="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(1) Whether the conduct at issue was of a serious nature. When conduct of a serious nature is involved, such as willful fraud or misrepresentation, the conduct may warrant a higher penalty. When the conduct is less egregious, such as administrative filing or technical errors, it may warrant a lower penalty.</w:t>
      </w:r>
    </w:p>
    <w:p w14:paraId="6ECC9C68" w14:textId="77777777" w:rsidR="001553BB" w:rsidRPr="001553BB" w:rsidRDefault="001553BB" w:rsidP="001553BB">
      <w:pPr>
        <w:spacing w:after="0" w:line="240" w:lineRule="auto"/>
        <w:ind w:left="1440" w:right="1440"/>
        <w:rPr>
          <w:rFonts w:ascii="Times New Roman" w:eastAsia="Times New Roman" w:hAnsi="Times New Roman" w:cs="Times New Roman"/>
          <w:sz w:val="24"/>
          <w:szCs w:val="24"/>
        </w:rPr>
      </w:pPr>
    </w:p>
    <w:p w14:paraId="3A9936F8" w14:textId="77777777" w:rsidR="001553BB" w:rsidRPr="001553BB" w:rsidRDefault="001553BB" w:rsidP="001553BB">
      <w:pPr>
        <w:spacing w:after="0" w:line="240" w:lineRule="auto"/>
        <w:ind w:left="1440" w:right="1440"/>
        <w:rPr>
          <w:rFonts w:ascii="Times New Roman" w:eastAsia="Times New Roman" w:hAnsi="Times New Roman" w:cs="Times New Roman"/>
          <w:b/>
          <w:bCs/>
          <w:sz w:val="24"/>
          <w:szCs w:val="24"/>
        </w:rPr>
      </w:pPr>
      <w:r w:rsidRPr="001553BB">
        <w:rPr>
          <w:rFonts w:ascii="Times New Roman" w:eastAsia="Times New Roman" w:hAnsi="Times New Roman" w:cs="Times New Roman"/>
          <w:sz w:val="24"/>
          <w:szCs w:val="24"/>
        </w:rPr>
        <w:t xml:space="preserve">(2) </w:t>
      </w:r>
      <w:r w:rsidRPr="001553BB">
        <w:rPr>
          <w:rFonts w:ascii="Times New Roman" w:eastAsia="Times New Roman" w:hAnsi="Times New Roman" w:cs="Times New Roman"/>
          <w:b/>
          <w:bCs/>
          <w:sz w:val="24"/>
          <w:szCs w:val="24"/>
        </w:rPr>
        <w:t>Whether the resulting consequences of the conduct at issue were of a serious nature. When consequences of a serious nature are involved, such as personal injury or property damage, the consequences may warrant a higher penalty.</w:t>
      </w:r>
    </w:p>
    <w:p w14:paraId="22DEA53B" w14:textId="77777777" w:rsidR="001553BB" w:rsidRPr="001553BB" w:rsidRDefault="001553BB" w:rsidP="001553BB">
      <w:pPr>
        <w:spacing w:before="100" w:beforeAutospacing="1" w:after="100" w:afterAutospacing="1" w:line="240" w:lineRule="auto"/>
        <w:ind w:left="1440" w:right="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(3) Whether the conduct at issue was deemed intentional or negligent. This factor may only be considered in evaluating litigated cases. When conduct has been deemed intentional, the conduct may result in a higher penalty.</w:t>
      </w:r>
    </w:p>
    <w:p w14:paraId="527599CE" w14:textId="77777777" w:rsidR="001553BB" w:rsidRPr="001553BB" w:rsidRDefault="001553BB" w:rsidP="001553BB">
      <w:pPr>
        <w:spacing w:before="100" w:beforeAutospacing="1" w:after="100" w:afterAutospacing="1" w:line="240" w:lineRule="auto"/>
        <w:ind w:left="1440" w:right="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(4) Whether the regulated entity made efforts to modify internal practices and procedures to address the conduct at issue and prevent similar conduct in the future. These modifications may include activities such as training and improving company techniques and supervision. The amount of time it took the utility to correct the conduct once it was discovered and the involvement of top-level management in correcting the conduct may be considered.</w:t>
      </w:r>
    </w:p>
    <w:p w14:paraId="049A57B8" w14:textId="77777777" w:rsidR="001553BB" w:rsidRPr="001553BB" w:rsidRDefault="001553BB" w:rsidP="001553BB">
      <w:pPr>
        <w:spacing w:before="100" w:beforeAutospacing="1" w:after="100" w:afterAutospacing="1" w:line="240" w:lineRule="auto"/>
        <w:ind w:left="1440" w:right="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(5) The number of customers affected and the duration of the violation.</w:t>
      </w:r>
    </w:p>
    <w:p w14:paraId="3023E631" w14:textId="77777777" w:rsidR="001553BB" w:rsidRPr="001553BB" w:rsidRDefault="001553BB" w:rsidP="001553BB">
      <w:pPr>
        <w:spacing w:before="100" w:beforeAutospacing="1" w:after="100" w:afterAutospacing="1" w:line="240" w:lineRule="auto"/>
        <w:ind w:left="1440" w:right="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(6) The compliance history of the regulated entity which committed the violation. An isolated incident from an otherwise compliant utility may result in a lower penalty, whereas frequent, recurrent violations by a utility may result in a higher penalty.</w:t>
      </w:r>
    </w:p>
    <w:p w14:paraId="6C42B00D" w14:textId="77777777" w:rsidR="001553BB" w:rsidRPr="001553BB" w:rsidRDefault="001553BB" w:rsidP="001553BB">
      <w:pPr>
        <w:spacing w:before="100" w:beforeAutospacing="1" w:after="100" w:afterAutospacing="1" w:line="240" w:lineRule="auto"/>
        <w:ind w:left="1440" w:right="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(7) Whether the regulated entity cooperated with the Commission's investigation. Facts establishing bad faith, active concealment of violations, or attempts to interfere with Commission investigations may result in a higher penalty.</w:t>
      </w:r>
    </w:p>
    <w:p w14:paraId="5568E326" w14:textId="77777777" w:rsidR="001553BB" w:rsidRPr="001553BB" w:rsidRDefault="001553BB" w:rsidP="001553BB">
      <w:pPr>
        <w:spacing w:before="100" w:beforeAutospacing="1" w:after="100" w:afterAutospacing="1" w:line="240" w:lineRule="auto"/>
        <w:ind w:left="1440" w:right="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(8) The amount of the civil penalty or fine necessary to deter future violations. The size of the utility may be considered to determine an appropriate penalty amount.</w:t>
      </w:r>
    </w:p>
    <w:p w14:paraId="33DF0F88" w14:textId="77777777" w:rsidR="001553BB" w:rsidRPr="001553BB" w:rsidRDefault="001553BB" w:rsidP="001553BB">
      <w:pPr>
        <w:spacing w:before="100" w:beforeAutospacing="1" w:after="100" w:afterAutospacing="1" w:line="240" w:lineRule="auto"/>
        <w:ind w:left="1440" w:right="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lastRenderedPageBreak/>
        <w:t>(9) Past Commission decisions in similar situations.</w:t>
      </w:r>
    </w:p>
    <w:p w14:paraId="0F63AF5F" w14:textId="77777777" w:rsidR="001553BB" w:rsidRPr="001553BB" w:rsidRDefault="001553BB" w:rsidP="001553BB">
      <w:pPr>
        <w:spacing w:before="100" w:beforeAutospacing="1" w:after="100" w:afterAutospacing="1" w:line="240" w:lineRule="auto"/>
        <w:ind w:left="1440" w:right="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(10) Other relevant factors.</w:t>
      </w:r>
    </w:p>
    <w:p w14:paraId="7E4B969D" w14:textId="77777777" w:rsidR="001553BB" w:rsidRPr="001553BB" w:rsidRDefault="001553BB" w:rsidP="001553BB">
      <w:pPr>
        <w:spacing w:after="0" w:line="360" w:lineRule="auto"/>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 xml:space="preserve">52 Pa. Code § 69.1201(c).  </w:t>
      </w:r>
      <w:r w:rsidRPr="001553BB">
        <w:rPr>
          <w:rFonts w:ascii="Times New Roman" w:eastAsia="Times New Roman" w:hAnsi="Times New Roman" w:cs="Times New Roman"/>
          <w:b/>
          <w:bCs/>
          <w:sz w:val="24"/>
          <w:szCs w:val="24"/>
        </w:rPr>
        <w:t>(Emphasis added).</w:t>
      </w:r>
      <w:r w:rsidRPr="001553BB">
        <w:rPr>
          <w:rFonts w:ascii="Times New Roman" w:eastAsia="Times New Roman" w:hAnsi="Times New Roman" w:cs="Times New Roman"/>
          <w:sz w:val="24"/>
          <w:szCs w:val="24"/>
        </w:rPr>
        <w:t xml:space="preserve">  A party that alleges violation of the public Utility Code may put forth on-the-record testimony on any or all of the factors and standards listed above (e.g., whether the resulting consequences of the conduct at issue were of a serious nature) for the limited purpose of allowing the presiding officer to assess a civil penalty against the violator.</w:t>
      </w:r>
    </w:p>
    <w:p w14:paraId="34DE13B3" w14:textId="77777777" w:rsidR="001553BB" w:rsidRPr="001553BB" w:rsidRDefault="001553BB" w:rsidP="001553BB">
      <w:pPr>
        <w:spacing w:after="0" w:line="360" w:lineRule="auto"/>
        <w:ind w:firstLine="1440"/>
        <w:rPr>
          <w:rFonts w:ascii="Times New Roman" w:eastAsia="Times New Roman" w:hAnsi="Times New Roman" w:cs="Times New Roman"/>
          <w:spacing w:val="-3"/>
          <w:sz w:val="24"/>
          <w:szCs w:val="24"/>
        </w:rPr>
      </w:pPr>
    </w:p>
    <w:p w14:paraId="46A68DDF" w14:textId="77777777" w:rsidR="001553BB" w:rsidRPr="001553BB" w:rsidRDefault="001553BB" w:rsidP="001553BB">
      <w:pPr>
        <w:spacing w:after="0" w:line="360" w:lineRule="auto"/>
        <w:ind w:firstLine="1440"/>
        <w:rPr>
          <w:rFonts w:ascii="Times New Roman" w:hAnsi="Times New Roman" w:cs="Times New Roman"/>
          <w:sz w:val="24"/>
          <w:szCs w:val="24"/>
        </w:rPr>
      </w:pPr>
      <w:r w:rsidRPr="001553BB">
        <w:rPr>
          <w:rFonts w:ascii="Times New Roman" w:eastAsia="Times New Roman" w:hAnsi="Times New Roman" w:cs="Times New Roman"/>
          <w:spacing w:val="-3"/>
          <w:sz w:val="24"/>
          <w:szCs w:val="24"/>
        </w:rPr>
        <w:t xml:space="preserve">Additionally, I agree with SBG that the provisions of </w:t>
      </w:r>
      <w:r w:rsidRPr="001553BB">
        <w:rPr>
          <w:rFonts w:ascii="Times New Roman" w:hAnsi="Times New Roman" w:cs="Times New Roman"/>
          <w:sz w:val="24"/>
          <w:szCs w:val="24"/>
        </w:rPr>
        <w:t>66 Pa. C.S.A. § 1312 grant the Commission the power and authority to make an order requiring the public utility to refund the amount of any excess paid by any patron, in consequence of such unlawful collection, within four years prior to the date of the filing of the complaint, together with interest at the legal rate from the date of each such excessive payment.  Therefore, any discussion and testimony pertaining to overcharges alleged in the Complaints are relevant and admissible under § 1312(a) of the Code.</w:t>
      </w:r>
    </w:p>
    <w:p w14:paraId="7E9D87AA" w14:textId="77777777" w:rsidR="001553BB" w:rsidRPr="001553BB" w:rsidRDefault="001553BB" w:rsidP="001553BB">
      <w:pPr>
        <w:spacing w:after="0" w:line="360" w:lineRule="auto"/>
        <w:ind w:firstLine="1440"/>
        <w:rPr>
          <w:rFonts w:ascii="Times New Roman" w:eastAsia="Times New Roman" w:hAnsi="Times New Roman" w:cs="Times New Roman"/>
          <w:spacing w:val="-3"/>
          <w:sz w:val="24"/>
          <w:szCs w:val="24"/>
        </w:rPr>
      </w:pPr>
    </w:p>
    <w:p w14:paraId="7C6A74EC" w14:textId="77777777" w:rsidR="001553BB" w:rsidRPr="001553BB" w:rsidRDefault="001553BB" w:rsidP="001553BB">
      <w:pPr>
        <w:spacing w:after="0" w:line="360" w:lineRule="auto"/>
        <w:ind w:firstLine="1440"/>
        <w:rPr>
          <w:rFonts w:ascii="Times New Roman" w:eastAsia="Times New Roman" w:hAnsi="Times New Roman" w:cs="Times New Roman"/>
          <w:spacing w:val="-3"/>
          <w:sz w:val="24"/>
          <w:szCs w:val="24"/>
        </w:rPr>
      </w:pPr>
      <w:r w:rsidRPr="001553BB">
        <w:rPr>
          <w:rFonts w:ascii="Times New Roman" w:eastAsia="Times New Roman" w:hAnsi="Times New Roman" w:cs="Times New Roman"/>
          <w:spacing w:val="-3"/>
          <w:sz w:val="24"/>
          <w:szCs w:val="24"/>
        </w:rPr>
        <w:t>In view of the above, PGW’s Motion is granted, in part, with regard to any relief requested by SBG in the form of monetary damages, and denied, in part, with regard to evidence related to overcharges or submitted on the record for the purpose of assessment of civil penalties.</w:t>
      </w:r>
    </w:p>
    <w:p w14:paraId="1B147ECB" w14:textId="77777777" w:rsidR="001553BB" w:rsidRPr="001553BB" w:rsidRDefault="001553BB" w:rsidP="001553BB">
      <w:pPr>
        <w:spacing w:after="0" w:line="360" w:lineRule="auto"/>
        <w:contextualSpacing/>
        <w:rPr>
          <w:rFonts w:ascii="Times New Roman" w:hAnsi="Times New Roman" w:cs="Times New Roman"/>
          <w:sz w:val="24"/>
          <w:szCs w:val="24"/>
        </w:rPr>
      </w:pPr>
    </w:p>
    <w:p w14:paraId="7C50EB5D" w14:textId="405E3A60" w:rsidR="001553BB" w:rsidRPr="001553BB" w:rsidRDefault="001553BB" w:rsidP="001553BB">
      <w:pPr>
        <w:spacing w:after="0" w:line="360" w:lineRule="auto"/>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ab/>
      </w:r>
      <w:r w:rsidRPr="001553BB">
        <w:rPr>
          <w:rFonts w:ascii="Times New Roman" w:eastAsia="Times New Roman" w:hAnsi="Times New Roman" w:cs="Times New Roman"/>
          <w:sz w:val="24"/>
          <w:szCs w:val="24"/>
        </w:rPr>
        <w:tab/>
        <w:t>Before concluding, I’d like to clarify that, unlike the 2012 Complaints which were litigated at length, the 2015 Complaints (</w:t>
      </w:r>
      <w:r w:rsidRPr="001553BB">
        <w:rPr>
          <w:rFonts w:ascii="Times New Roman" w:hAnsi="Times New Roman" w:cs="Times New Roman"/>
          <w:sz w:val="24"/>
          <w:szCs w:val="24"/>
        </w:rPr>
        <w:t xml:space="preserve">t Docket Nos. C-2015-2486642, C-2015-2486677, C-2015-2486674; C-2015-2486670, C-2015-2486664, C-2015-2486655, C-2015-2486648, and C-2015-2486618) </w:t>
      </w:r>
      <w:r w:rsidRPr="001553BB">
        <w:rPr>
          <w:rFonts w:ascii="Times New Roman" w:eastAsia="Times New Roman" w:hAnsi="Times New Roman" w:cs="Times New Roman"/>
          <w:sz w:val="24"/>
          <w:szCs w:val="24"/>
        </w:rPr>
        <w:t xml:space="preserve">were not.  The eight 2015 Complaints involve not only the same parties and properties but also raise the same </w:t>
      </w:r>
      <w:r w:rsidR="00457DDD" w:rsidRPr="00604522">
        <w:rPr>
          <w:rFonts w:ascii="Times New Roman" w:eastAsia="Times New Roman" w:hAnsi="Times New Roman" w:cs="Times New Roman"/>
          <w:sz w:val="24"/>
          <w:szCs w:val="24"/>
        </w:rPr>
        <w:t xml:space="preserve">or similar </w:t>
      </w:r>
      <w:r w:rsidRPr="001553BB">
        <w:rPr>
          <w:rFonts w:ascii="Times New Roman" w:eastAsia="Times New Roman" w:hAnsi="Times New Roman" w:cs="Times New Roman"/>
          <w:sz w:val="24"/>
          <w:szCs w:val="24"/>
        </w:rPr>
        <w:t xml:space="preserve">issues as the 2012 Complaints.  </w:t>
      </w:r>
      <w:r w:rsidR="00AD6211" w:rsidRPr="00604522">
        <w:rPr>
          <w:rFonts w:ascii="Times New Roman" w:hAnsi="Times New Roman" w:cs="Times New Roman"/>
          <w:sz w:val="24"/>
          <w:szCs w:val="24"/>
        </w:rPr>
        <w:t>In particular, in each of the 2015 Complainants, Complainants have checked the boxes nex</w:t>
      </w:r>
      <w:r w:rsidR="00B05071" w:rsidRPr="00604522">
        <w:rPr>
          <w:rFonts w:ascii="Times New Roman" w:hAnsi="Times New Roman" w:cs="Times New Roman"/>
          <w:sz w:val="24"/>
          <w:szCs w:val="24"/>
        </w:rPr>
        <w:t>t to</w:t>
      </w:r>
      <w:r w:rsidR="00AD6211" w:rsidRPr="00604522">
        <w:rPr>
          <w:rFonts w:ascii="Times New Roman" w:hAnsi="Times New Roman" w:cs="Times New Roman"/>
          <w:sz w:val="24"/>
          <w:szCs w:val="24"/>
        </w:rPr>
        <w:t xml:space="preserve"> the statements “</w:t>
      </w:r>
      <w:r w:rsidR="00B05071" w:rsidRPr="00604522">
        <w:rPr>
          <w:rFonts w:ascii="Times New Roman" w:hAnsi="Times New Roman" w:cs="Times New Roman"/>
          <w:sz w:val="24"/>
          <w:szCs w:val="24"/>
        </w:rPr>
        <w:t>Incorrect Charges are on my bill,” “</w:t>
      </w:r>
      <w:r w:rsidR="005E3DA3" w:rsidRPr="00604522">
        <w:rPr>
          <w:rFonts w:ascii="Times New Roman" w:hAnsi="Times New Roman" w:cs="Times New Roman"/>
          <w:sz w:val="24"/>
          <w:szCs w:val="24"/>
        </w:rPr>
        <w:t xml:space="preserve">I am having a reliability, safety and quality of service </w:t>
      </w:r>
      <w:r w:rsidR="009342DC" w:rsidRPr="00604522">
        <w:rPr>
          <w:rFonts w:ascii="Times New Roman" w:hAnsi="Times New Roman" w:cs="Times New Roman"/>
          <w:sz w:val="24"/>
          <w:szCs w:val="24"/>
        </w:rPr>
        <w:t>problem</w:t>
      </w:r>
      <w:r w:rsidR="005E3DA3" w:rsidRPr="00604522">
        <w:rPr>
          <w:rFonts w:ascii="Times New Roman" w:hAnsi="Times New Roman" w:cs="Times New Roman"/>
          <w:sz w:val="24"/>
          <w:szCs w:val="24"/>
        </w:rPr>
        <w:t xml:space="preserve"> with my utility</w:t>
      </w:r>
      <w:r w:rsidR="00AD6211" w:rsidRPr="00604522">
        <w:rPr>
          <w:rFonts w:ascii="Times New Roman" w:hAnsi="Times New Roman" w:cs="Times New Roman"/>
          <w:sz w:val="24"/>
          <w:szCs w:val="24"/>
        </w:rPr>
        <w:t xml:space="preserve"> </w:t>
      </w:r>
      <w:r w:rsidR="009342DC" w:rsidRPr="00604522">
        <w:rPr>
          <w:rFonts w:ascii="Times New Roman" w:hAnsi="Times New Roman" w:cs="Times New Roman"/>
          <w:sz w:val="24"/>
          <w:szCs w:val="24"/>
        </w:rPr>
        <w:t>service,” and “Other</w:t>
      </w:r>
      <w:r w:rsidR="00604522">
        <w:rPr>
          <w:rFonts w:ascii="Times New Roman" w:hAnsi="Times New Roman" w:cs="Times New Roman"/>
          <w:sz w:val="24"/>
          <w:szCs w:val="24"/>
        </w:rPr>
        <w:t>,</w:t>
      </w:r>
      <w:r w:rsidR="009342DC" w:rsidRPr="00604522">
        <w:rPr>
          <w:rFonts w:ascii="Times New Roman" w:hAnsi="Times New Roman" w:cs="Times New Roman"/>
          <w:sz w:val="24"/>
          <w:szCs w:val="24"/>
        </w:rPr>
        <w:t>”</w:t>
      </w:r>
      <w:r w:rsidR="00604522" w:rsidRPr="00604522">
        <w:rPr>
          <w:rFonts w:ascii="Times New Roman" w:hAnsi="Times New Roman" w:cs="Times New Roman"/>
          <w:sz w:val="24"/>
          <w:szCs w:val="24"/>
        </w:rPr>
        <w:t xml:space="preserve"> and submitted detailed explanations of their claims.</w:t>
      </w:r>
      <w:r w:rsidR="00604522">
        <w:t xml:space="preserve"> </w:t>
      </w:r>
      <w:r w:rsidR="00AD6211">
        <w:t xml:space="preserve"> </w:t>
      </w:r>
      <w:r w:rsidRPr="001553BB">
        <w:rPr>
          <w:rFonts w:ascii="Times New Roman" w:eastAsia="Times New Roman" w:hAnsi="Times New Roman" w:cs="Times New Roman"/>
          <w:sz w:val="24"/>
          <w:szCs w:val="24"/>
        </w:rPr>
        <w:t xml:space="preserve">On June 8, 2016, counsel for SBG and PGW filed a Joint Motion in each of the 2015 Complaints requesting that the proceedings under those Docket Numbers be stayed pending </w:t>
      </w:r>
      <w:r w:rsidRPr="001553BB">
        <w:rPr>
          <w:rFonts w:ascii="Times New Roman" w:eastAsia="Times New Roman" w:hAnsi="Times New Roman" w:cs="Times New Roman"/>
          <w:sz w:val="24"/>
          <w:szCs w:val="24"/>
        </w:rPr>
        <w:lastRenderedPageBreak/>
        <w:t xml:space="preserve">Commission determination on the eight 2012 Complaints at Docket No. (C-2012-2304183, C-20012-2304215, C-2012-2304324, C-2012-2304167, C-2012-23043003, C-2012-2308454, C-2012-2308462, and C-2012-2308465).  In that Joint Motion, the parties averred that in August 2015, the parties entered into an agreement regarding, </w:t>
      </w:r>
      <w:r w:rsidRPr="001553BB">
        <w:rPr>
          <w:rFonts w:ascii="Times New Roman" w:eastAsia="Times New Roman" w:hAnsi="Times New Roman" w:cs="Times New Roman"/>
          <w:i/>
          <w:iCs/>
          <w:sz w:val="24"/>
          <w:szCs w:val="24"/>
        </w:rPr>
        <w:t>inter alia</w:t>
      </w:r>
      <w:r w:rsidRPr="001553BB">
        <w:rPr>
          <w:rFonts w:ascii="Times New Roman" w:eastAsia="Times New Roman" w:hAnsi="Times New Roman" w:cs="Times New Roman"/>
          <w:sz w:val="24"/>
          <w:szCs w:val="24"/>
        </w:rPr>
        <w:t xml:space="preserve">, the inspection of SBG’s properties involved in the 2015 Complaints.  As the inspections occurred, </w:t>
      </w:r>
      <w:r w:rsidR="007D0B0C">
        <w:rPr>
          <w:rFonts w:ascii="Times New Roman" w:eastAsia="Times New Roman" w:hAnsi="Times New Roman" w:cs="Times New Roman"/>
          <w:sz w:val="24"/>
          <w:szCs w:val="24"/>
        </w:rPr>
        <w:t>“</w:t>
      </w:r>
      <w:r w:rsidRPr="001553BB">
        <w:rPr>
          <w:rFonts w:ascii="Times New Roman" w:eastAsia="Times New Roman" w:hAnsi="Times New Roman" w:cs="Times New Roman"/>
          <w:sz w:val="24"/>
          <w:szCs w:val="24"/>
        </w:rPr>
        <w:t xml:space="preserve">the parties </w:t>
      </w:r>
      <w:r w:rsidRPr="001553BB">
        <w:rPr>
          <w:rFonts w:ascii="Times New Roman" w:eastAsia="Times New Roman" w:hAnsi="Times New Roman" w:cs="Times New Roman"/>
          <w:sz w:val="24"/>
          <w:szCs w:val="24"/>
          <w:u w:val="single"/>
        </w:rPr>
        <w:t>clarified and resolved</w:t>
      </w:r>
      <w:r w:rsidR="007D0B0C">
        <w:rPr>
          <w:rFonts w:ascii="Times New Roman" w:eastAsia="Times New Roman" w:hAnsi="Times New Roman" w:cs="Times New Roman"/>
          <w:sz w:val="24"/>
          <w:szCs w:val="24"/>
          <w:u w:val="single"/>
        </w:rPr>
        <w:t>”</w:t>
      </w:r>
      <w:r w:rsidRPr="001553BB">
        <w:rPr>
          <w:rFonts w:ascii="Times New Roman" w:eastAsia="Times New Roman" w:hAnsi="Times New Roman" w:cs="Times New Roman"/>
          <w:sz w:val="24"/>
          <w:szCs w:val="24"/>
          <w:u w:val="single"/>
        </w:rPr>
        <w:t xml:space="preserve"> </w:t>
      </w:r>
      <w:r w:rsidRPr="001553BB">
        <w:rPr>
          <w:rFonts w:ascii="Times New Roman" w:eastAsia="Times New Roman" w:hAnsi="Times New Roman" w:cs="Times New Roman"/>
          <w:sz w:val="24"/>
          <w:szCs w:val="24"/>
        </w:rPr>
        <w:t>some of the issue raised in the 2015 Complaints and committed to provide the following information:</w:t>
      </w:r>
    </w:p>
    <w:p w14:paraId="476242C6" w14:textId="77777777" w:rsidR="001553BB" w:rsidRPr="001553BB" w:rsidRDefault="001553BB" w:rsidP="001553BB">
      <w:pPr>
        <w:spacing w:after="0" w:line="360" w:lineRule="auto"/>
        <w:rPr>
          <w:rFonts w:ascii="Times New Roman" w:eastAsia="Times New Roman" w:hAnsi="Times New Roman" w:cs="Times New Roman"/>
          <w:sz w:val="24"/>
          <w:szCs w:val="24"/>
        </w:rPr>
      </w:pPr>
    </w:p>
    <w:p w14:paraId="1FA886AA" w14:textId="77777777" w:rsidR="001553BB" w:rsidRPr="001553BB" w:rsidRDefault="001553BB" w:rsidP="001553BB">
      <w:pPr>
        <w:numPr>
          <w:ilvl w:val="0"/>
          <w:numId w:val="1"/>
        </w:numPr>
        <w:spacing w:after="0" w:line="240" w:lineRule="auto"/>
        <w:contextualSpacing/>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Information on new meters installed after exchange</w:t>
      </w:r>
    </w:p>
    <w:p w14:paraId="1F42EE58" w14:textId="77777777" w:rsidR="001553BB" w:rsidRPr="001553BB" w:rsidRDefault="001553BB" w:rsidP="001553BB">
      <w:pPr>
        <w:numPr>
          <w:ilvl w:val="0"/>
          <w:numId w:val="1"/>
        </w:numPr>
        <w:spacing w:after="0" w:line="240" w:lineRule="auto"/>
        <w:contextualSpacing/>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Information the meter removed for testing</w:t>
      </w:r>
    </w:p>
    <w:p w14:paraId="65BE5D7D" w14:textId="77777777" w:rsidR="001553BB" w:rsidRPr="001553BB" w:rsidRDefault="001553BB" w:rsidP="001553BB">
      <w:pPr>
        <w:numPr>
          <w:ilvl w:val="0"/>
          <w:numId w:val="1"/>
        </w:numPr>
        <w:spacing w:after="0" w:line="240" w:lineRule="auto"/>
        <w:contextualSpacing/>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The meter test results</w:t>
      </w:r>
    </w:p>
    <w:p w14:paraId="5315751A" w14:textId="77777777" w:rsidR="001553BB" w:rsidRPr="001553BB" w:rsidRDefault="001553BB" w:rsidP="001553BB">
      <w:pPr>
        <w:numPr>
          <w:ilvl w:val="0"/>
          <w:numId w:val="1"/>
        </w:numPr>
        <w:spacing w:after="0" w:line="240" w:lineRule="auto"/>
        <w:contextualSpacing/>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 xml:space="preserve">Technician notes on the investigation </w:t>
      </w:r>
    </w:p>
    <w:p w14:paraId="793A4779" w14:textId="77777777" w:rsidR="001553BB" w:rsidRPr="001553BB" w:rsidRDefault="001553BB" w:rsidP="001553BB">
      <w:pPr>
        <w:numPr>
          <w:ilvl w:val="0"/>
          <w:numId w:val="1"/>
        </w:numPr>
        <w:spacing w:after="0" w:line="240" w:lineRule="auto"/>
        <w:contextualSpacing/>
        <w:rPr>
          <w:rFonts w:ascii="Times New Roman" w:hAnsi="Times New Roman" w:cs="Times New Roman"/>
          <w:sz w:val="24"/>
          <w:szCs w:val="24"/>
        </w:rPr>
      </w:pPr>
      <w:r w:rsidRPr="001553BB">
        <w:rPr>
          <w:rFonts w:ascii="Times New Roman" w:eastAsia="Times New Roman" w:hAnsi="Times New Roman" w:cs="Times New Roman"/>
          <w:sz w:val="24"/>
          <w:szCs w:val="24"/>
        </w:rPr>
        <w:t>Updated late payment analysis and account histories for the accounts at issue.</w:t>
      </w:r>
    </w:p>
    <w:p w14:paraId="4BD4F5C7" w14:textId="77777777" w:rsidR="001553BB" w:rsidRPr="001553BB" w:rsidRDefault="001553BB" w:rsidP="00422CCD">
      <w:pPr>
        <w:spacing w:after="0" w:line="360" w:lineRule="auto"/>
        <w:ind w:left="720"/>
        <w:contextualSpacing/>
        <w:rPr>
          <w:rFonts w:ascii="Times New Roman" w:hAnsi="Times New Roman" w:cs="Times New Roman"/>
          <w:sz w:val="24"/>
          <w:szCs w:val="24"/>
        </w:rPr>
      </w:pPr>
    </w:p>
    <w:p w14:paraId="43E5A0D8" w14:textId="564D1BD5" w:rsidR="001553BB" w:rsidRPr="001553BB" w:rsidRDefault="001553BB" w:rsidP="001553BB">
      <w:pPr>
        <w:spacing w:after="120" w:line="360" w:lineRule="auto"/>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 xml:space="preserve">Joint Motion at 2. </w:t>
      </w:r>
      <w:r w:rsidR="007D0B0C">
        <w:rPr>
          <w:rFonts w:ascii="Times New Roman" w:eastAsia="Times New Roman" w:hAnsi="Times New Roman" w:cs="Times New Roman"/>
          <w:sz w:val="24"/>
          <w:szCs w:val="24"/>
        </w:rPr>
        <w:t xml:space="preserve"> (Emphasis added).</w:t>
      </w:r>
      <w:r w:rsidRPr="001553BB">
        <w:rPr>
          <w:rFonts w:ascii="Times New Roman" w:eastAsia="Times New Roman" w:hAnsi="Times New Roman" w:cs="Times New Roman"/>
          <w:sz w:val="24"/>
          <w:szCs w:val="24"/>
        </w:rPr>
        <w:t xml:space="preserve"> </w:t>
      </w:r>
    </w:p>
    <w:p w14:paraId="5B58583B" w14:textId="77777777" w:rsidR="001553BB" w:rsidRPr="001553BB" w:rsidRDefault="001553BB" w:rsidP="001553BB">
      <w:pPr>
        <w:spacing w:after="120" w:line="360" w:lineRule="auto"/>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 xml:space="preserve">By Orders dated July 5, 2016, the Joint Motion for Further Stay of proceedings in the 2015 Complaints were granted and the 2015 Complaints have remained stayed until, at least, March 26, 2022, when the Commonwealth Court heard </w:t>
      </w:r>
      <w:r w:rsidRPr="001553BB">
        <w:rPr>
          <w:rFonts w:ascii="Times New Roman" w:eastAsia="Times New Roman" w:hAnsi="Times New Roman" w:cs="Times New Roman"/>
          <w:i/>
          <w:iCs/>
          <w:sz w:val="24"/>
          <w:szCs w:val="24"/>
        </w:rPr>
        <w:t>PGW v. PUC,</w:t>
      </w:r>
      <w:r w:rsidRPr="001553BB">
        <w:rPr>
          <w:rFonts w:ascii="Times New Roman" w:eastAsia="Times New Roman" w:hAnsi="Times New Roman" w:cs="Times New Roman"/>
          <w:sz w:val="24"/>
          <w:szCs w:val="24"/>
        </w:rPr>
        <w:t xml:space="preserve"> 2022 Pa. Commw. Unpub. LEXIS 92, 2022 WL 793332 (Pa.Cmwlth., Mar. 16, 2022) (</w:t>
      </w:r>
      <w:r w:rsidRPr="001553BB">
        <w:rPr>
          <w:rFonts w:ascii="Times New Roman" w:eastAsia="Times New Roman" w:hAnsi="Times New Roman" w:cs="Times New Roman"/>
          <w:i/>
          <w:iCs/>
          <w:sz w:val="24"/>
          <w:szCs w:val="24"/>
        </w:rPr>
        <w:t>PGW III</w:t>
      </w:r>
      <w:r w:rsidRPr="001553BB">
        <w:rPr>
          <w:rFonts w:ascii="Times New Roman" w:eastAsia="Times New Roman" w:hAnsi="Times New Roman" w:cs="Times New Roman"/>
          <w:sz w:val="24"/>
          <w:szCs w:val="24"/>
        </w:rPr>
        <w:t>) on remand and issued a ruling, in turn, remanding the two 2012 Complaints at Docket No. C-2012-2304183, C-2012-2304324 to the Commission</w:t>
      </w:r>
    </w:p>
    <w:p w14:paraId="673DC080" w14:textId="77777777" w:rsidR="001553BB" w:rsidRPr="001553BB" w:rsidRDefault="001553BB" w:rsidP="001553BB">
      <w:pPr>
        <w:spacing w:line="240" w:lineRule="auto"/>
        <w:ind w:left="1440" w:right="1440"/>
        <w:rPr>
          <w:rFonts w:ascii="Times New Roman" w:hAnsi="Times New Roman" w:cs="Times New Roman"/>
          <w:sz w:val="24"/>
          <w:szCs w:val="24"/>
        </w:rPr>
      </w:pPr>
      <w:r w:rsidRPr="001553BB">
        <w:rPr>
          <w:rFonts w:ascii="Times New Roman" w:hAnsi="Times New Roman" w:cs="Times New Roman"/>
          <w:sz w:val="24"/>
          <w:szCs w:val="24"/>
        </w:rPr>
        <w:t>…</w:t>
      </w:r>
      <w:r w:rsidRPr="001553BB">
        <w:rPr>
          <w:rFonts w:ascii="Times New Roman" w:hAnsi="Times New Roman" w:cs="Times New Roman"/>
          <w:b/>
          <w:bCs/>
          <w:sz w:val="24"/>
          <w:szCs w:val="24"/>
        </w:rPr>
        <w:t>solely for the presentation of evidence by the parties and a determination by the Commission concerning the correct amounts of any refunds</w:t>
      </w:r>
      <w:r w:rsidRPr="001553BB">
        <w:rPr>
          <w:rFonts w:ascii="Times New Roman" w:hAnsi="Times New Roman" w:cs="Times New Roman"/>
          <w:sz w:val="24"/>
          <w:szCs w:val="24"/>
        </w:rPr>
        <w:t xml:space="preserve"> owed by PGW to SBG Management Services, Inc., Colonial Garden Realty Company and Simon Garden Realty Company (collectively, Intervenors) </w:t>
      </w:r>
      <w:bookmarkStart w:id="2" w:name="_Hlk121493891"/>
      <w:r w:rsidRPr="001553BB">
        <w:rPr>
          <w:rFonts w:ascii="Times New Roman" w:hAnsi="Times New Roman" w:cs="Times New Roman"/>
          <w:sz w:val="24"/>
          <w:szCs w:val="24"/>
        </w:rPr>
        <w:t>relating to late fees charged on docketed municipal liens against Intervenors for unpaid natural gas charges prior to April 29, 2021.</w:t>
      </w:r>
      <w:bookmarkEnd w:id="2"/>
    </w:p>
    <w:p w14:paraId="470ECC03" w14:textId="77777777" w:rsidR="001553BB" w:rsidRPr="001553BB" w:rsidRDefault="001553BB" w:rsidP="001553BB">
      <w:pPr>
        <w:spacing w:line="240" w:lineRule="auto"/>
        <w:ind w:left="1440" w:right="1440"/>
        <w:rPr>
          <w:rFonts w:ascii="Times New Roman" w:hAnsi="Times New Roman" w:cs="Times New Roman"/>
          <w:sz w:val="24"/>
          <w:szCs w:val="24"/>
        </w:rPr>
      </w:pPr>
    </w:p>
    <w:p w14:paraId="1DB55CF1" w14:textId="77777777" w:rsidR="001553BB" w:rsidRPr="001553BB" w:rsidRDefault="001553BB" w:rsidP="001553BB">
      <w:pPr>
        <w:spacing w:after="0" w:line="360" w:lineRule="auto"/>
        <w:rPr>
          <w:rFonts w:ascii="Times New Roman" w:hAnsi="Times New Roman" w:cs="Times New Roman"/>
          <w:b/>
          <w:bCs/>
          <w:sz w:val="24"/>
          <w:szCs w:val="24"/>
        </w:rPr>
      </w:pPr>
      <w:bookmarkStart w:id="3" w:name="_Hlk121828324"/>
      <w:r w:rsidRPr="001553BB">
        <w:rPr>
          <w:rFonts w:ascii="Times New Roman" w:hAnsi="Times New Roman" w:cs="Times New Roman"/>
          <w:i/>
          <w:iCs/>
          <w:sz w:val="24"/>
          <w:szCs w:val="24"/>
        </w:rPr>
        <w:t>PGW III,</w:t>
      </w:r>
      <w:r w:rsidRPr="001553BB">
        <w:rPr>
          <w:rFonts w:ascii="Times New Roman" w:hAnsi="Times New Roman" w:cs="Times New Roman"/>
          <w:sz w:val="24"/>
          <w:szCs w:val="24"/>
        </w:rPr>
        <w:t xml:space="preserve"> at 1219.  </w:t>
      </w:r>
      <w:r w:rsidRPr="001553BB">
        <w:rPr>
          <w:rFonts w:ascii="Times New Roman" w:hAnsi="Times New Roman" w:cs="Times New Roman"/>
          <w:b/>
          <w:bCs/>
          <w:sz w:val="24"/>
          <w:szCs w:val="24"/>
        </w:rPr>
        <w:t>(Emphasis added).</w:t>
      </w:r>
      <w:bookmarkEnd w:id="3"/>
      <w:r w:rsidRPr="001553BB">
        <w:rPr>
          <w:rFonts w:ascii="Times New Roman" w:hAnsi="Times New Roman" w:cs="Times New Roman"/>
          <w:sz w:val="24"/>
          <w:szCs w:val="24"/>
        </w:rPr>
        <w:t xml:space="preserve">  Consequently, as ordered in my December 19, 2022 Order on PGW’s Partial Motion to Dismiss, “the 2015 Complaints at Docket Nos. </w:t>
      </w:r>
      <w:bookmarkStart w:id="4" w:name="_Hlk122328756"/>
      <w:r w:rsidRPr="001553BB">
        <w:rPr>
          <w:rFonts w:ascii="Times New Roman" w:hAnsi="Times New Roman" w:cs="Times New Roman"/>
          <w:sz w:val="24"/>
          <w:szCs w:val="24"/>
        </w:rPr>
        <w:t xml:space="preserve">C-2015-2486642, C-2015-2486677, C-2015-2486674; C-2015-2486670, C-2015-2486664, C-2015-2486655, C-2015-2486648, and C-2015-2486618 </w:t>
      </w:r>
      <w:bookmarkEnd w:id="4"/>
      <w:r w:rsidRPr="001553BB">
        <w:rPr>
          <w:rFonts w:ascii="Times New Roman" w:hAnsi="Times New Roman" w:cs="Times New Roman"/>
          <w:sz w:val="24"/>
          <w:szCs w:val="24"/>
        </w:rPr>
        <w:t xml:space="preserve">will proceed to an evidentiary hearing on </w:t>
      </w:r>
      <w:r w:rsidRPr="001553BB">
        <w:rPr>
          <w:rFonts w:ascii="Times New Roman" w:hAnsi="Times New Roman" w:cs="Times New Roman"/>
          <w:b/>
          <w:bCs/>
          <w:sz w:val="24"/>
          <w:szCs w:val="24"/>
        </w:rPr>
        <w:t xml:space="preserve">all pending issues.”  </w:t>
      </w:r>
      <w:r w:rsidRPr="001553BB">
        <w:rPr>
          <w:rFonts w:ascii="Times New Roman" w:hAnsi="Times New Roman" w:cs="Times New Roman"/>
          <w:sz w:val="24"/>
          <w:szCs w:val="24"/>
        </w:rPr>
        <w:t>December 19, 2022 Order, Ordering Paragraph # 5.</w:t>
      </w:r>
      <w:r w:rsidRPr="001553BB">
        <w:rPr>
          <w:rFonts w:ascii="Times New Roman" w:hAnsi="Times New Roman" w:cs="Times New Roman"/>
          <w:b/>
          <w:bCs/>
          <w:sz w:val="24"/>
          <w:szCs w:val="24"/>
        </w:rPr>
        <w:t xml:space="preserve">  (Emphasis added).  </w:t>
      </w:r>
    </w:p>
    <w:p w14:paraId="51BB58D3" w14:textId="77777777" w:rsidR="001553BB" w:rsidRPr="001553BB" w:rsidRDefault="001553BB" w:rsidP="001553BB">
      <w:pPr>
        <w:spacing w:after="0" w:line="360" w:lineRule="auto"/>
        <w:ind w:firstLine="1440"/>
        <w:rPr>
          <w:rFonts w:ascii="Times New Roman" w:hAnsi="Times New Roman" w:cs="Times New Roman"/>
          <w:b/>
          <w:bCs/>
          <w:sz w:val="24"/>
          <w:szCs w:val="24"/>
        </w:rPr>
      </w:pPr>
    </w:p>
    <w:p w14:paraId="1B4B773D" w14:textId="5E841F4D" w:rsidR="001553BB" w:rsidRPr="001553BB" w:rsidRDefault="001553BB" w:rsidP="001553BB">
      <w:pPr>
        <w:spacing w:after="0" w:line="360" w:lineRule="auto"/>
        <w:ind w:firstLine="1440"/>
        <w:rPr>
          <w:rFonts w:ascii="Times New Roman" w:hAnsi="Times New Roman" w:cs="Times New Roman"/>
          <w:sz w:val="24"/>
          <w:szCs w:val="24"/>
        </w:rPr>
      </w:pPr>
      <w:r w:rsidRPr="001553BB">
        <w:rPr>
          <w:rFonts w:ascii="Times New Roman" w:hAnsi="Times New Roman" w:cs="Times New Roman"/>
          <w:sz w:val="24"/>
          <w:szCs w:val="24"/>
        </w:rPr>
        <w:t xml:space="preserve">As for the 2012 Complaints, the December 19, </w:t>
      </w:r>
      <w:r w:rsidR="00422CCD" w:rsidRPr="001553BB">
        <w:rPr>
          <w:rFonts w:ascii="Times New Roman" w:hAnsi="Times New Roman" w:cs="Times New Roman"/>
          <w:sz w:val="24"/>
          <w:szCs w:val="24"/>
        </w:rPr>
        <w:t>2022,</w:t>
      </w:r>
      <w:r w:rsidRPr="001553BB">
        <w:rPr>
          <w:rFonts w:ascii="Times New Roman" w:hAnsi="Times New Roman" w:cs="Times New Roman"/>
          <w:sz w:val="24"/>
          <w:szCs w:val="24"/>
        </w:rPr>
        <w:t xml:space="preserve"> Order, Ordering Paragraph #6 specified that, “[T]he 2012 Complaints at Docket Nos. C-2012-2304324 and C-2012-2304183 will proceed to an evidentiary hearing for the calculation of refunds due because of Philadelphia Gas Works’ improper assessment of 18% tariffed interest rate as late payment charge on outstanding balances that had already been filed as municipal liens.”</w:t>
      </w:r>
    </w:p>
    <w:p w14:paraId="392A17CF" w14:textId="77777777" w:rsidR="001553BB" w:rsidRPr="001553BB" w:rsidRDefault="001553BB" w:rsidP="001553BB">
      <w:pPr>
        <w:spacing w:after="0" w:line="360" w:lineRule="auto"/>
        <w:ind w:firstLine="1440"/>
        <w:rPr>
          <w:rFonts w:ascii="Times New Roman" w:hAnsi="Times New Roman" w:cs="Times New Roman"/>
          <w:sz w:val="24"/>
          <w:szCs w:val="24"/>
        </w:rPr>
      </w:pPr>
    </w:p>
    <w:p w14:paraId="1EE01FF7" w14:textId="77777777" w:rsidR="001553BB" w:rsidRPr="001553BB" w:rsidRDefault="001553BB" w:rsidP="001553BB">
      <w:pPr>
        <w:spacing w:after="0" w:line="360" w:lineRule="auto"/>
        <w:ind w:firstLine="1440"/>
        <w:rPr>
          <w:rFonts w:ascii="Times New Roman" w:hAnsi="Times New Roman" w:cs="Times New Roman"/>
          <w:sz w:val="24"/>
          <w:szCs w:val="24"/>
        </w:rPr>
      </w:pPr>
      <w:r w:rsidRPr="001553BB">
        <w:rPr>
          <w:rFonts w:ascii="Times New Roman" w:hAnsi="Times New Roman" w:cs="Times New Roman"/>
          <w:sz w:val="24"/>
          <w:szCs w:val="24"/>
        </w:rPr>
        <w:t xml:space="preserve">These rulings remain unchanged. </w:t>
      </w:r>
    </w:p>
    <w:p w14:paraId="17371050" w14:textId="77777777" w:rsidR="001553BB" w:rsidRPr="001553BB" w:rsidRDefault="001553BB" w:rsidP="001553BB">
      <w:pPr>
        <w:spacing w:after="0" w:line="360" w:lineRule="auto"/>
        <w:rPr>
          <w:rFonts w:ascii="Times New Roman" w:hAnsi="Times New Roman" w:cs="Times New Roman"/>
          <w:b/>
          <w:bCs/>
          <w:sz w:val="24"/>
          <w:szCs w:val="24"/>
        </w:rPr>
      </w:pPr>
    </w:p>
    <w:p w14:paraId="36798EC7" w14:textId="77777777" w:rsidR="001553BB" w:rsidRPr="001553BB" w:rsidRDefault="001553BB" w:rsidP="001553BB">
      <w:pPr>
        <w:widowControl w:val="0"/>
        <w:autoSpaceDE w:val="0"/>
        <w:autoSpaceDN w:val="0"/>
        <w:spacing w:after="0" w:line="360" w:lineRule="auto"/>
        <w:ind w:firstLine="1440"/>
        <w:rPr>
          <w:rFonts w:ascii="Times New Roman" w:eastAsia="Times New Roman" w:hAnsi="Times New Roman" w:cs="CG Times"/>
          <w:sz w:val="24"/>
          <w:szCs w:val="24"/>
        </w:rPr>
      </w:pPr>
      <w:r w:rsidRPr="001553BB">
        <w:rPr>
          <w:rFonts w:ascii="Times New Roman" w:eastAsia="Times New Roman" w:hAnsi="Times New Roman" w:cs="CG Times"/>
          <w:sz w:val="24"/>
          <w:szCs w:val="24"/>
        </w:rPr>
        <w:t>THEREFORE,</w:t>
      </w:r>
    </w:p>
    <w:p w14:paraId="7067273B" w14:textId="77777777" w:rsidR="001553BB" w:rsidRPr="001553BB" w:rsidRDefault="001553BB" w:rsidP="001553BB">
      <w:pPr>
        <w:widowControl w:val="0"/>
        <w:autoSpaceDE w:val="0"/>
        <w:autoSpaceDN w:val="0"/>
        <w:spacing w:after="0" w:line="360" w:lineRule="auto"/>
        <w:ind w:firstLine="1440"/>
        <w:rPr>
          <w:rFonts w:ascii="Times New Roman" w:eastAsia="Times New Roman" w:hAnsi="Times New Roman" w:cs="Times New Roman"/>
          <w:sz w:val="24"/>
          <w:szCs w:val="24"/>
        </w:rPr>
      </w:pPr>
    </w:p>
    <w:p w14:paraId="4058F274" w14:textId="77777777" w:rsidR="001553BB" w:rsidRPr="001553BB" w:rsidRDefault="001553BB" w:rsidP="001553BB">
      <w:pPr>
        <w:widowControl w:val="0"/>
        <w:autoSpaceDE w:val="0"/>
        <w:autoSpaceDN w:val="0"/>
        <w:spacing w:after="0" w:line="360" w:lineRule="auto"/>
        <w:ind w:firstLine="1440"/>
        <w:rPr>
          <w:rFonts w:ascii="Times New Roman" w:eastAsia="Times New Roman" w:hAnsi="Times New Roman" w:cs="Times New Roman"/>
          <w:sz w:val="24"/>
          <w:szCs w:val="24"/>
        </w:rPr>
      </w:pPr>
      <w:r w:rsidRPr="001553BB">
        <w:rPr>
          <w:rFonts w:ascii="Times New Roman" w:eastAsia="Times New Roman" w:hAnsi="Times New Roman" w:cs="Times New Roman"/>
          <w:sz w:val="24"/>
          <w:szCs w:val="24"/>
        </w:rPr>
        <w:t>IT IS ORDERED:</w:t>
      </w:r>
    </w:p>
    <w:p w14:paraId="2F5A14E6" w14:textId="77777777" w:rsidR="001553BB" w:rsidRPr="001553BB" w:rsidRDefault="001553BB" w:rsidP="001553BB">
      <w:pPr>
        <w:widowControl w:val="0"/>
        <w:autoSpaceDE w:val="0"/>
        <w:autoSpaceDN w:val="0"/>
        <w:adjustRightInd w:val="0"/>
        <w:spacing w:after="0" w:line="360" w:lineRule="auto"/>
        <w:rPr>
          <w:rFonts w:ascii="Times New Roman" w:eastAsia="Times New Roman" w:hAnsi="Times New Roman" w:cs="Times New Roman"/>
          <w:spacing w:val="-3"/>
          <w:sz w:val="24"/>
          <w:szCs w:val="24"/>
        </w:rPr>
      </w:pPr>
    </w:p>
    <w:p w14:paraId="2DE07D58" w14:textId="77777777" w:rsidR="001553BB" w:rsidRPr="001553BB" w:rsidRDefault="001553BB" w:rsidP="001553BB">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r w:rsidRPr="001553BB">
        <w:rPr>
          <w:rFonts w:ascii="Times New Roman" w:eastAsia="Times New Roman" w:hAnsi="Times New Roman" w:cs="Times New Roman"/>
          <w:spacing w:val="-3"/>
          <w:sz w:val="24"/>
          <w:szCs w:val="24"/>
        </w:rPr>
        <w:t>1.</w:t>
      </w:r>
      <w:r w:rsidRPr="001553BB">
        <w:rPr>
          <w:rFonts w:ascii="Times New Roman" w:eastAsia="Times New Roman" w:hAnsi="Times New Roman" w:cs="Times New Roman"/>
          <w:spacing w:val="-3"/>
          <w:sz w:val="24"/>
          <w:szCs w:val="24"/>
        </w:rPr>
        <w:tab/>
        <w:t>That Philadelphia Gas Works’ Motion in Limine is granted, in part, with regard to any relief requested by the Complainants in the form of monetary damages, and denied, in part, with regard to evidence related to overcharges or submitted on the record for the purpose of assessment of civil penalties.</w:t>
      </w:r>
    </w:p>
    <w:p w14:paraId="18355EE1" w14:textId="77777777" w:rsidR="001553BB" w:rsidRPr="001553BB" w:rsidRDefault="001553BB" w:rsidP="001553BB">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p>
    <w:p w14:paraId="5285A345" w14:textId="77777777" w:rsidR="001553BB" w:rsidRPr="001553BB" w:rsidRDefault="001553BB" w:rsidP="001553BB">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r w:rsidRPr="001553BB">
        <w:rPr>
          <w:rFonts w:ascii="Times New Roman" w:eastAsia="Times New Roman" w:hAnsi="Times New Roman" w:cs="Times New Roman"/>
          <w:spacing w:val="-3"/>
          <w:sz w:val="24"/>
          <w:szCs w:val="24"/>
        </w:rPr>
        <w:t>2.</w:t>
      </w:r>
      <w:r w:rsidRPr="001553BB">
        <w:rPr>
          <w:rFonts w:ascii="Times New Roman" w:eastAsia="Times New Roman" w:hAnsi="Times New Roman" w:cs="Times New Roman"/>
          <w:spacing w:val="-3"/>
          <w:sz w:val="24"/>
          <w:szCs w:val="24"/>
        </w:rPr>
        <w:tab/>
        <w:t xml:space="preserve">That </w:t>
      </w:r>
      <w:r w:rsidRPr="001553BB">
        <w:rPr>
          <w:rFonts w:ascii="Times New Roman" w:hAnsi="Times New Roman" w:cs="Times New Roman"/>
          <w:sz w:val="24"/>
          <w:szCs w:val="24"/>
        </w:rPr>
        <w:t>the 2015 Complaints at Docket Nos. C-2015-2486642, C-2015-2486677, C-2015-2486674; C-2015-2486670, C-2015-2486664, C-2015-2486655, C-2015-2486648, and C-2015-2486618 will proceed to an evidentiary hearing on all pending issues.</w:t>
      </w:r>
    </w:p>
    <w:p w14:paraId="6BD57D7C" w14:textId="77777777" w:rsidR="001553BB" w:rsidRPr="001553BB" w:rsidRDefault="001553BB" w:rsidP="001553BB">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p>
    <w:p w14:paraId="783BDBB4" w14:textId="77777777" w:rsidR="001553BB" w:rsidRPr="001553BB" w:rsidRDefault="001553BB" w:rsidP="001553BB">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r w:rsidRPr="001553BB">
        <w:rPr>
          <w:rFonts w:ascii="Times New Roman" w:eastAsia="Times New Roman" w:hAnsi="Times New Roman" w:cs="Times New Roman"/>
          <w:spacing w:val="-3"/>
          <w:sz w:val="24"/>
          <w:szCs w:val="24"/>
        </w:rPr>
        <w:t>3.</w:t>
      </w:r>
      <w:r w:rsidRPr="001553BB">
        <w:rPr>
          <w:rFonts w:ascii="Times New Roman" w:eastAsia="Times New Roman" w:hAnsi="Times New Roman" w:cs="Times New Roman"/>
          <w:spacing w:val="-3"/>
          <w:sz w:val="24"/>
          <w:szCs w:val="24"/>
        </w:rPr>
        <w:tab/>
        <w:t>That t</w:t>
      </w:r>
      <w:r w:rsidRPr="001553BB">
        <w:rPr>
          <w:rFonts w:ascii="Times New Roman" w:hAnsi="Times New Roman" w:cs="Times New Roman"/>
          <w:sz w:val="24"/>
          <w:szCs w:val="24"/>
        </w:rPr>
        <w:t>he 2012 Complaints at Docket Nos. C-2012-2304324 and C-2012-2304183 will proceed to an evidentiary hearing for the calculation of refunds due because of Philadelphia Gas Works’ improper assessment of 18% tariffed interest rate as late payment charge on outstanding balances that had already been filed as municipal liens.</w:t>
      </w:r>
    </w:p>
    <w:p w14:paraId="2B688AB1" w14:textId="77777777" w:rsidR="001553BB" w:rsidRPr="001553BB" w:rsidRDefault="001553BB" w:rsidP="001553BB">
      <w:pPr>
        <w:widowControl w:val="0"/>
        <w:autoSpaceDE w:val="0"/>
        <w:autoSpaceDN w:val="0"/>
        <w:adjustRightInd w:val="0"/>
        <w:spacing w:after="0" w:line="360" w:lineRule="auto"/>
        <w:ind w:firstLine="1440"/>
        <w:rPr>
          <w:rFonts w:ascii="Times New Roman" w:eastAsia="Times New Roman" w:hAnsi="Times New Roman" w:cs="Times New Roman"/>
          <w:spacing w:val="-3"/>
          <w:sz w:val="24"/>
          <w:szCs w:val="24"/>
        </w:rPr>
      </w:pPr>
    </w:p>
    <w:p w14:paraId="6DEF808D" w14:textId="77777777" w:rsidR="000E10E1" w:rsidRPr="000E10E1" w:rsidRDefault="000E10E1" w:rsidP="000E10E1">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rPr>
      </w:pPr>
    </w:p>
    <w:p w14:paraId="18239703" w14:textId="58219B09" w:rsidR="000E10E1" w:rsidRPr="000E10E1" w:rsidRDefault="000E10E1" w:rsidP="000E10E1">
      <w:pPr>
        <w:tabs>
          <w:tab w:val="left" w:pos="720"/>
          <w:tab w:val="left" w:pos="5040"/>
          <w:tab w:val="left" w:pos="576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E10E1">
        <w:rPr>
          <w:rFonts w:ascii="Times New Roman" w:eastAsia="Times New Roman" w:hAnsi="Times New Roman" w:cs="Times New Roman"/>
          <w:spacing w:val="-3"/>
          <w:sz w:val="24"/>
          <w:szCs w:val="24"/>
          <w:u w:val="single"/>
        </w:rPr>
        <w:t>Date:</w:t>
      </w:r>
      <w:r w:rsidRPr="000E10E1">
        <w:rPr>
          <w:rFonts w:ascii="Times New Roman" w:eastAsia="Times New Roman" w:hAnsi="Times New Roman" w:cs="Times New Roman"/>
          <w:spacing w:val="-3"/>
          <w:sz w:val="24"/>
          <w:szCs w:val="24"/>
          <w:u w:val="single"/>
        </w:rPr>
        <w:tab/>
      </w:r>
      <w:r>
        <w:rPr>
          <w:rFonts w:ascii="Times New Roman" w:eastAsia="Times New Roman" w:hAnsi="Times New Roman" w:cs="Times New Roman"/>
          <w:spacing w:val="-3"/>
          <w:sz w:val="24"/>
          <w:szCs w:val="24"/>
          <w:u w:val="single"/>
        </w:rPr>
        <w:t>January 20, 2023</w:t>
      </w:r>
      <w:r w:rsidRPr="000E10E1">
        <w:rPr>
          <w:rFonts w:ascii="Times New Roman" w:eastAsia="Times New Roman" w:hAnsi="Times New Roman" w:cs="Times New Roman"/>
          <w:spacing w:val="-3"/>
          <w:sz w:val="24"/>
          <w:szCs w:val="24"/>
        </w:rPr>
        <w:tab/>
      </w:r>
      <w:r w:rsidRPr="000E10E1">
        <w:rPr>
          <w:rFonts w:ascii="Times New Roman" w:eastAsia="Times New Roman" w:hAnsi="Times New Roman" w:cs="Times New Roman"/>
          <w:spacing w:val="-3"/>
          <w:sz w:val="24"/>
          <w:szCs w:val="24"/>
        </w:rPr>
        <w:tab/>
      </w:r>
      <w:r w:rsidRPr="000E10E1">
        <w:rPr>
          <w:rFonts w:ascii="Times New Roman" w:eastAsia="Times New Roman" w:hAnsi="Times New Roman" w:cs="Times New Roman"/>
          <w:spacing w:val="-3"/>
          <w:sz w:val="24"/>
          <w:szCs w:val="24"/>
          <w:u w:val="single"/>
        </w:rPr>
        <w:tab/>
      </w:r>
      <w:r w:rsidRPr="000E10E1">
        <w:rPr>
          <w:rFonts w:ascii="Times New Roman" w:eastAsia="Times New Roman" w:hAnsi="Times New Roman" w:cs="Times New Roman"/>
          <w:spacing w:val="-3"/>
          <w:sz w:val="24"/>
          <w:szCs w:val="24"/>
          <w:u w:val="single"/>
        </w:rPr>
        <w:tab/>
        <w:t>/s/</w:t>
      </w:r>
      <w:r w:rsidRPr="000E10E1">
        <w:rPr>
          <w:rFonts w:ascii="Times New Roman" w:eastAsia="Times New Roman" w:hAnsi="Times New Roman" w:cs="Times New Roman"/>
          <w:spacing w:val="-3"/>
          <w:sz w:val="24"/>
          <w:szCs w:val="24"/>
          <w:u w:val="single"/>
        </w:rPr>
        <w:tab/>
      </w:r>
      <w:r w:rsidRPr="000E10E1">
        <w:rPr>
          <w:rFonts w:ascii="Times New Roman" w:eastAsia="Times New Roman" w:hAnsi="Times New Roman" w:cs="Times New Roman"/>
          <w:spacing w:val="-3"/>
          <w:sz w:val="24"/>
          <w:szCs w:val="24"/>
          <w:u w:val="single"/>
        </w:rPr>
        <w:tab/>
      </w:r>
      <w:r w:rsidRPr="000E10E1">
        <w:rPr>
          <w:rFonts w:ascii="Times New Roman" w:eastAsia="Times New Roman" w:hAnsi="Times New Roman" w:cs="Times New Roman"/>
          <w:spacing w:val="-3"/>
          <w:sz w:val="24"/>
          <w:szCs w:val="24"/>
          <w:u w:val="single"/>
        </w:rPr>
        <w:tab/>
      </w:r>
    </w:p>
    <w:p w14:paraId="2865163F" w14:textId="77777777" w:rsidR="000E10E1" w:rsidRPr="000E10E1" w:rsidRDefault="000E10E1" w:rsidP="000E10E1">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pacing w:val="-3"/>
          <w:sz w:val="24"/>
          <w:szCs w:val="24"/>
        </w:rPr>
      </w:pPr>
      <w:r w:rsidRPr="000E10E1">
        <w:rPr>
          <w:rFonts w:ascii="Times New Roman" w:eastAsia="Times New Roman" w:hAnsi="Times New Roman" w:cs="Times New Roman"/>
          <w:spacing w:val="-3"/>
          <w:sz w:val="24"/>
          <w:szCs w:val="24"/>
        </w:rPr>
        <w:tab/>
      </w:r>
      <w:r w:rsidRPr="000E10E1">
        <w:rPr>
          <w:rFonts w:ascii="Times New Roman" w:eastAsia="Times New Roman" w:hAnsi="Times New Roman" w:cs="Times New Roman"/>
          <w:spacing w:val="-3"/>
          <w:sz w:val="24"/>
          <w:szCs w:val="24"/>
        </w:rPr>
        <w:tab/>
        <w:t xml:space="preserve">Eranda Vero </w:t>
      </w:r>
    </w:p>
    <w:p w14:paraId="491345A7" w14:textId="77777777" w:rsidR="000E10E1" w:rsidRPr="000E10E1" w:rsidRDefault="000E10E1" w:rsidP="000E10E1">
      <w:pPr>
        <w:tabs>
          <w:tab w:val="left" w:pos="720"/>
          <w:tab w:val="left" w:pos="5040"/>
        </w:tabs>
        <w:suppressAutoHyphens/>
        <w:autoSpaceDE w:val="0"/>
        <w:autoSpaceDN w:val="0"/>
        <w:spacing w:after="0" w:line="240" w:lineRule="auto"/>
        <w:ind w:firstLine="1440"/>
        <w:rPr>
          <w:rFonts w:ascii="Times New Roman" w:eastAsia="Times New Roman" w:hAnsi="Times New Roman" w:cs="Times New Roman"/>
          <w:sz w:val="24"/>
          <w:szCs w:val="24"/>
        </w:rPr>
      </w:pPr>
      <w:r w:rsidRPr="000E10E1">
        <w:rPr>
          <w:rFonts w:ascii="Times New Roman" w:eastAsia="Times New Roman" w:hAnsi="Times New Roman" w:cs="Times New Roman"/>
          <w:sz w:val="24"/>
          <w:szCs w:val="24"/>
        </w:rPr>
        <w:tab/>
      </w:r>
      <w:r w:rsidRPr="000E10E1">
        <w:rPr>
          <w:rFonts w:ascii="Times New Roman" w:eastAsia="Times New Roman" w:hAnsi="Times New Roman" w:cs="Times New Roman"/>
          <w:sz w:val="24"/>
          <w:szCs w:val="24"/>
        </w:rPr>
        <w:tab/>
        <w:t>Administrative Law Judge</w:t>
      </w:r>
    </w:p>
    <w:p w14:paraId="649D7D58" w14:textId="77777777" w:rsidR="001553BB" w:rsidRPr="001553BB" w:rsidRDefault="001553BB" w:rsidP="001553BB">
      <w:pPr>
        <w:spacing w:after="0" w:line="360" w:lineRule="auto"/>
        <w:rPr>
          <w:rFonts w:ascii="Times New Roman" w:hAnsi="Times New Roman" w:cs="Times New Roman"/>
          <w:b/>
          <w:bCs/>
          <w:sz w:val="24"/>
          <w:szCs w:val="24"/>
        </w:rPr>
      </w:pPr>
    </w:p>
    <w:p w14:paraId="632B1E98" w14:textId="77777777" w:rsidR="00756448" w:rsidRDefault="00756448" w:rsidP="00756448">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lastRenderedPageBreak/>
        <w:t xml:space="preserve">C-2012-2304183, C-2012-2304324, C-2015-2486618, C-2015-2486642, C-2015-2486677, </w:t>
      </w:r>
    </w:p>
    <w:p w14:paraId="08419F0A" w14:textId="77777777" w:rsidR="00756448" w:rsidRDefault="00756448" w:rsidP="00756448">
      <w:pPr>
        <w:pStyle w:val="NoSpacing"/>
        <w:rPr>
          <w:rFonts w:ascii="Times New Roman" w:hAnsi="Times New Roman" w:cs="Times New Roman"/>
          <w:b/>
          <w:bCs/>
          <w:sz w:val="24"/>
          <w:szCs w:val="24"/>
          <w:u w:val="single"/>
        </w:rPr>
      </w:pPr>
      <w:r>
        <w:rPr>
          <w:rFonts w:ascii="Times New Roman" w:hAnsi="Times New Roman" w:cs="Times New Roman"/>
          <w:b/>
          <w:bCs/>
          <w:sz w:val="24"/>
          <w:szCs w:val="24"/>
          <w:u w:val="single"/>
        </w:rPr>
        <w:t xml:space="preserve">C-20145-2486674, C-2015-2486670, C-2015-2486664, C-2015-2486655, C-2015-2486648 -    SBG MANAGEMENT SERVICES, INC. ET AL V. PHILADELPHIA GAS WORKS </w:t>
      </w:r>
    </w:p>
    <w:p w14:paraId="587EF2BC" w14:textId="77777777" w:rsidR="00756448" w:rsidRDefault="00756448" w:rsidP="00756448">
      <w:pPr>
        <w:pStyle w:val="NoSpacing"/>
        <w:rPr>
          <w:rFonts w:ascii="Times New Roman" w:hAnsi="Times New Roman" w:cs="Times New Roman"/>
          <w:b/>
          <w:bCs/>
          <w:sz w:val="24"/>
          <w:szCs w:val="24"/>
          <w:u w:val="single"/>
        </w:rPr>
      </w:pPr>
    </w:p>
    <w:p w14:paraId="193307AB" w14:textId="77777777" w:rsidR="00756448" w:rsidRDefault="00756448" w:rsidP="00756448">
      <w:pPr>
        <w:pStyle w:val="NoSpacing"/>
        <w:rPr>
          <w:rFonts w:ascii="Times New Roman" w:hAnsi="Times New Roman" w:cs="Times New Roman"/>
          <w:sz w:val="24"/>
          <w:szCs w:val="24"/>
        </w:rPr>
      </w:pPr>
      <w:r>
        <w:rPr>
          <w:rFonts w:ascii="Times New Roman" w:hAnsi="Times New Roman" w:cs="Times New Roman"/>
          <w:sz w:val="24"/>
          <w:szCs w:val="24"/>
        </w:rPr>
        <w:t>Revised 01/11/23</w:t>
      </w:r>
    </w:p>
    <w:p w14:paraId="55B9D7C7" w14:textId="77777777" w:rsidR="00756448" w:rsidRDefault="00756448" w:rsidP="00756448">
      <w:pPr>
        <w:pStyle w:val="NoSpacing"/>
        <w:rPr>
          <w:rFonts w:ascii="Times New Roman" w:hAnsi="Times New Roman" w:cs="Times New Roman"/>
          <w:sz w:val="24"/>
          <w:szCs w:val="24"/>
        </w:rPr>
      </w:pPr>
    </w:p>
    <w:p w14:paraId="5597D106"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MICHAEL YANOFF ESQUIRE</w:t>
      </w:r>
      <w:r>
        <w:rPr>
          <w:rFonts w:ascii="Times New Roman" w:eastAsia="Microsoft Sans Serif" w:hAnsi="Times New Roman" w:cs="Times New Roman"/>
          <w:sz w:val="24"/>
          <w:szCs w:val="24"/>
        </w:rPr>
        <w:br/>
        <w:t>PATRICIA M STARNER ESQUIRE</w:t>
      </w:r>
      <w:r>
        <w:rPr>
          <w:rFonts w:ascii="Times New Roman" w:eastAsia="Microsoft Sans Serif" w:hAnsi="Times New Roman" w:cs="Times New Roman"/>
          <w:sz w:val="24"/>
          <w:szCs w:val="24"/>
        </w:rPr>
        <w:br/>
        <w:t>SHAWN M RODGERS ESQUIRE</w:t>
      </w:r>
      <w:r>
        <w:rPr>
          <w:rFonts w:ascii="Times New Roman" w:eastAsia="Microsoft Sans Serif" w:hAnsi="Times New Roman" w:cs="Times New Roman"/>
          <w:sz w:val="24"/>
          <w:szCs w:val="24"/>
        </w:rPr>
        <w:br/>
        <w:t>GOLDSTEIN LAW PARTNERS LLC</w:t>
      </w:r>
    </w:p>
    <w:p w14:paraId="3C3AA3F4"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11 CHURCH ROAD</w:t>
      </w:r>
    </w:p>
    <w:p w14:paraId="30B09A23"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HATFIELD PA  19440</w:t>
      </w:r>
    </w:p>
    <w:p w14:paraId="02160A09"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610.949.0444</w:t>
      </w:r>
      <w:r>
        <w:rPr>
          <w:rFonts w:ascii="Times New Roman" w:eastAsia="Microsoft Sans Serif" w:hAnsi="Times New Roman" w:cs="Times New Roman"/>
          <w:sz w:val="24"/>
          <w:szCs w:val="24"/>
        </w:rPr>
        <w:br/>
      </w:r>
      <w:r>
        <w:rPr>
          <w:rFonts w:ascii="Times New Roman" w:eastAsia="Microsoft Sans Serif" w:hAnsi="Times New Roman" w:cs="Times New Roman"/>
          <w:bCs/>
          <w:sz w:val="24"/>
          <w:szCs w:val="24"/>
        </w:rPr>
        <w:t>484.888.8054</w:t>
      </w:r>
    </w:p>
    <w:p w14:paraId="228B9C2A"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pstarner@goldsteinlp.com</w:t>
      </w:r>
    </w:p>
    <w:p w14:paraId="60F2C722"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myanoff@goldsteinlp.com</w:t>
      </w:r>
    </w:p>
    <w:p w14:paraId="5CCE45F5"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srodgers@goldsteinlp.com    </w:t>
      </w:r>
      <w:r>
        <w:rPr>
          <w:rFonts w:ascii="Times New Roman" w:eastAsia="Microsoft Sans Serif" w:hAnsi="Times New Roman" w:cs="Times New Roman"/>
          <w:sz w:val="24"/>
          <w:szCs w:val="24"/>
        </w:rPr>
        <w:br/>
        <w:t>Accepts eService</w:t>
      </w:r>
    </w:p>
    <w:p w14:paraId="705EA357" w14:textId="77777777" w:rsidR="00756448" w:rsidRDefault="00756448" w:rsidP="00756448">
      <w:pPr>
        <w:pStyle w:val="NoSpacing"/>
        <w:rPr>
          <w:rFonts w:ascii="Times New Roman" w:eastAsia="Microsoft Sans Serif" w:hAnsi="Times New Roman" w:cs="Times New Roman"/>
          <w:iCs/>
          <w:sz w:val="24"/>
          <w:szCs w:val="24"/>
        </w:rPr>
      </w:pPr>
      <w:r>
        <w:rPr>
          <w:rFonts w:ascii="Times New Roman" w:eastAsia="Microsoft Sans Serif" w:hAnsi="Times New Roman" w:cs="Times New Roman"/>
          <w:iCs/>
          <w:sz w:val="24"/>
          <w:szCs w:val="24"/>
        </w:rPr>
        <w:t>Representing SBG Management Services, Inc., Colonial Garden Realty Co., L.P., Simon Garden Realty Co., L.P.</w:t>
      </w:r>
    </w:p>
    <w:p w14:paraId="79AD2A8D" w14:textId="77777777" w:rsidR="00756448" w:rsidRDefault="00756448" w:rsidP="00756448">
      <w:pPr>
        <w:pStyle w:val="NoSpacing"/>
        <w:rPr>
          <w:rFonts w:ascii="Times New Roman" w:eastAsia="Microsoft Sans Serif" w:hAnsi="Times New Roman" w:cs="Times New Roman"/>
          <w:sz w:val="24"/>
          <w:szCs w:val="24"/>
        </w:rPr>
      </w:pPr>
    </w:p>
    <w:p w14:paraId="03465D6F"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KAREN O MOURY ESQUIRE</w:t>
      </w:r>
      <w:r>
        <w:rPr>
          <w:rFonts w:ascii="Times New Roman" w:eastAsia="Microsoft Sans Serif" w:hAnsi="Times New Roman" w:cs="Times New Roman"/>
          <w:sz w:val="24"/>
          <w:szCs w:val="24"/>
        </w:rPr>
        <w:br/>
        <w:t>DANIEL CLEARFIELD ESQUIRE</w:t>
      </w:r>
      <w:r>
        <w:rPr>
          <w:rFonts w:ascii="Times New Roman" w:eastAsia="Microsoft Sans Serif" w:hAnsi="Times New Roman" w:cs="Times New Roman"/>
          <w:sz w:val="24"/>
          <w:szCs w:val="24"/>
        </w:rPr>
        <w:br/>
        <w:t>CARL SHULTZ ESQUIRE</w:t>
      </w:r>
      <w:r>
        <w:rPr>
          <w:rFonts w:ascii="Times New Roman" w:eastAsia="Microsoft Sans Serif" w:hAnsi="Times New Roman" w:cs="Times New Roman"/>
          <w:sz w:val="24"/>
          <w:szCs w:val="24"/>
        </w:rPr>
        <w:br/>
        <w:t>BRYCE R BEARD ESQUIRE</w:t>
      </w:r>
    </w:p>
    <w:p w14:paraId="3D7B28B1"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ECKERT SEAMANS</w:t>
      </w:r>
    </w:p>
    <w:p w14:paraId="38D4DF14"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213 MARKET STREET</w:t>
      </w:r>
    </w:p>
    <w:p w14:paraId="597EC566"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6F67D0AA" w14:textId="77777777" w:rsidR="00756448" w:rsidRDefault="00756448" w:rsidP="00756448">
      <w:pPr>
        <w:pStyle w:val="NoSpacing"/>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717.237.6036</w:t>
      </w:r>
    </w:p>
    <w:p w14:paraId="7CBCF833" w14:textId="77777777" w:rsidR="00756448" w:rsidRDefault="00756448" w:rsidP="00756448">
      <w:pPr>
        <w:pStyle w:val="NoSpacing"/>
        <w:rPr>
          <w:rFonts w:ascii="Times New Roman" w:eastAsia="Microsoft Sans Serif" w:hAnsi="Times New Roman" w:cs="Times New Roman"/>
          <w:bCs/>
          <w:sz w:val="24"/>
          <w:szCs w:val="24"/>
        </w:rPr>
      </w:pPr>
      <w:r>
        <w:rPr>
          <w:rFonts w:ascii="Times New Roman" w:eastAsia="Microsoft Sans Serif" w:hAnsi="Times New Roman" w:cs="Times New Roman"/>
          <w:bCs/>
          <w:sz w:val="24"/>
          <w:szCs w:val="24"/>
        </w:rPr>
        <w:t>717.571.1420</w:t>
      </w:r>
    </w:p>
    <w:p w14:paraId="788AB2D6"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kmoury@eckertseamans.com</w:t>
      </w:r>
    </w:p>
    <w:p w14:paraId="7BFBB4C0"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dclearfield@eckertseamans.com</w:t>
      </w:r>
      <w:r>
        <w:rPr>
          <w:rFonts w:ascii="Times New Roman" w:eastAsia="Microsoft Sans Serif" w:hAnsi="Times New Roman" w:cs="Times New Roman"/>
          <w:sz w:val="24"/>
          <w:szCs w:val="24"/>
        </w:rPr>
        <w:br/>
        <w:t>cshultz@eckertseamans.com</w:t>
      </w:r>
    </w:p>
    <w:p w14:paraId="02521115"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bbeard@eckertseamans.com    </w:t>
      </w:r>
      <w:r>
        <w:rPr>
          <w:rFonts w:ascii="Times New Roman" w:eastAsia="Microsoft Sans Serif" w:hAnsi="Times New Roman" w:cs="Times New Roman"/>
          <w:sz w:val="24"/>
          <w:szCs w:val="24"/>
        </w:rPr>
        <w:br/>
        <w:t>Accepts eService</w:t>
      </w:r>
      <w:r>
        <w:rPr>
          <w:rFonts w:ascii="Times New Roman" w:eastAsia="Microsoft Sans Serif" w:hAnsi="Times New Roman" w:cs="Times New Roman"/>
          <w:sz w:val="24"/>
          <w:szCs w:val="24"/>
        </w:rPr>
        <w:br/>
      </w:r>
      <w:r>
        <w:rPr>
          <w:rFonts w:ascii="Times New Roman" w:eastAsia="Microsoft Sans Serif" w:hAnsi="Times New Roman" w:cs="Times New Roman"/>
          <w:iCs/>
          <w:sz w:val="24"/>
          <w:szCs w:val="24"/>
        </w:rPr>
        <w:t>Representing Philadelphia Gas Works</w:t>
      </w:r>
      <w:r>
        <w:rPr>
          <w:rFonts w:ascii="Times New Roman" w:eastAsia="Microsoft Sans Serif" w:hAnsi="Times New Roman" w:cs="Times New Roman"/>
          <w:sz w:val="24"/>
          <w:szCs w:val="24"/>
        </w:rPr>
        <w:t xml:space="preserve"> </w:t>
      </w:r>
      <w:r>
        <w:rPr>
          <w:rFonts w:ascii="Times New Roman" w:eastAsia="Microsoft Sans Serif" w:hAnsi="Times New Roman" w:cs="Times New Roman"/>
          <w:sz w:val="24"/>
          <w:szCs w:val="24"/>
        </w:rPr>
        <w:br/>
      </w:r>
      <w:r>
        <w:rPr>
          <w:rFonts w:ascii="Times New Roman" w:eastAsia="Microsoft Sans Serif" w:hAnsi="Times New Roman" w:cs="Times New Roman"/>
          <w:sz w:val="24"/>
          <w:szCs w:val="24"/>
        </w:rPr>
        <w:br/>
        <w:t>GRACIELA CHRISTLIEB ESQUIRE</w:t>
      </w:r>
    </w:p>
    <w:p w14:paraId="2165F253"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GAS WORKS</w:t>
      </w:r>
    </w:p>
    <w:p w14:paraId="5F0E2DA0"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800 WEST MONTGOMERY AVENUE</w:t>
      </w:r>
    </w:p>
    <w:p w14:paraId="3DF92AF1"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PHILADELPHIA PA  19122</w:t>
      </w:r>
    </w:p>
    <w:p w14:paraId="1AF134E6"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215.684.6164</w:t>
      </w:r>
    </w:p>
    <w:p w14:paraId="32870AC3"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graciela.christlieb@pgworks.com</w:t>
      </w:r>
    </w:p>
    <w:p w14:paraId="0942AE64" w14:textId="5B209F22"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Accepts eService</w:t>
      </w:r>
      <w:r>
        <w:rPr>
          <w:rFonts w:ascii="Times New Roman" w:eastAsia="Microsoft Sans Serif" w:hAnsi="Times New Roman" w:cs="Times New Roman"/>
          <w:sz w:val="24"/>
          <w:szCs w:val="24"/>
        </w:rPr>
        <w:br/>
      </w:r>
      <w:r>
        <w:rPr>
          <w:rFonts w:ascii="Times New Roman" w:eastAsia="Microsoft Sans Serif" w:hAnsi="Times New Roman" w:cs="Times New Roman"/>
          <w:sz w:val="24"/>
          <w:szCs w:val="24"/>
        </w:rPr>
        <w:br w:type="page"/>
      </w:r>
      <w:r>
        <w:rPr>
          <w:rFonts w:ascii="Times New Roman" w:eastAsia="Microsoft Sans Serif" w:hAnsi="Times New Roman" w:cs="Times New Roman"/>
          <w:sz w:val="24"/>
          <w:szCs w:val="24"/>
        </w:rPr>
        <w:lastRenderedPageBreak/>
        <w:t>CHRISTY APPLEBY ESQUIRE</w:t>
      </w:r>
    </w:p>
    <w:p w14:paraId="5E28EB33"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OFFICE OF CONSUMER ADVOCATE</w:t>
      </w:r>
    </w:p>
    <w:p w14:paraId="62D3EF30"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555 WALNUT STREET 5TH FLOOR </w:t>
      </w:r>
    </w:p>
    <w:p w14:paraId="778BF607"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FORUM PLACE</w:t>
      </w:r>
    </w:p>
    <w:p w14:paraId="4F6A5278"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HARRISBURG PA  17101</w:t>
      </w:r>
    </w:p>
    <w:p w14:paraId="3CEA9D09"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bCs/>
          <w:sz w:val="24"/>
          <w:szCs w:val="24"/>
        </w:rPr>
        <w:t>717.783.5048</w:t>
      </w:r>
    </w:p>
    <w:p w14:paraId="0F973B23" w14:textId="77777777" w:rsidR="00756448" w:rsidRDefault="00756448" w:rsidP="00756448">
      <w:pPr>
        <w:pStyle w:val="NoSpacing"/>
        <w:rPr>
          <w:rFonts w:ascii="Times New Roman" w:eastAsia="Microsoft Sans Serif" w:hAnsi="Times New Roman" w:cs="Times New Roman"/>
          <w:sz w:val="24"/>
          <w:szCs w:val="24"/>
        </w:rPr>
      </w:pPr>
      <w:r>
        <w:rPr>
          <w:rFonts w:ascii="Times New Roman" w:eastAsia="Microsoft Sans Serif" w:hAnsi="Times New Roman" w:cs="Times New Roman"/>
          <w:sz w:val="24"/>
          <w:szCs w:val="24"/>
        </w:rPr>
        <w:t xml:space="preserve">cappleby@paoca.org   </w:t>
      </w:r>
      <w:r>
        <w:rPr>
          <w:rFonts w:ascii="Times New Roman" w:eastAsia="Microsoft Sans Serif" w:hAnsi="Times New Roman" w:cs="Times New Roman"/>
          <w:sz w:val="24"/>
          <w:szCs w:val="24"/>
        </w:rPr>
        <w:br/>
        <w:t>Accepts eService</w:t>
      </w:r>
    </w:p>
    <w:p w14:paraId="37C47187" w14:textId="77777777" w:rsidR="00756448" w:rsidRDefault="00756448" w:rsidP="00756448">
      <w:pPr>
        <w:pStyle w:val="NoSpacing"/>
        <w:rPr>
          <w:rFonts w:ascii="Times New Roman" w:eastAsia="Microsoft Sans Serif" w:hAnsi="Times New Roman" w:cs="Times New Roman"/>
          <w:sz w:val="24"/>
          <w:szCs w:val="24"/>
        </w:rPr>
      </w:pPr>
    </w:p>
    <w:p w14:paraId="06440A49" w14:textId="77777777" w:rsidR="00756448" w:rsidRDefault="00756448" w:rsidP="00756448">
      <w:pPr>
        <w:pStyle w:val="NoSpacing"/>
        <w:rPr>
          <w:rFonts w:ascii="Times New Roman" w:eastAsiaTheme="minorEastAsia" w:hAnsi="Times New Roman" w:cs="Times New Roman"/>
          <w:sz w:val="24"/>
          <w:szCs w:val="24"/>
        </w:rPr>
      </w:pPr>
    </w:p>
    <w:p w14:paraId="3E1E83A8" w14:textId="77777777" w:rsidR="00600605" w:rsidRPr="00422CCD" w:rsidRDefault="00600605">
      <w:pPr>
        <w:rPr>
          <w:rFonts w:ascii="Times New Roman" w:hAnsi="Times New Roman" w:cs="Times New Roman"/>
          <w:sz w:val="24"/>
          <w:szCs w:val="24"/>
        </w:rPr>
      </w:pPr>
    </w:p>
    <w:sectPr w:rsidR="00600605" w:rsidRPr="00422CCD" w:rsidSect="000E10E1">
      <w:footerReference w:type="default" r:id="rId7"/>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E244F" w14:textId="77777777" w:rsidR="00DD22F4" w:rsidRDefault="00DD22F4" w:rsidP="001553BB">
      <w:pPr>
        <w:spacing w:after="0" w:line="240" w:lineRule="auto"/>
      </w:pPr>
      <w:r>
        <w:separator/>
      </w:r>
    </w:p>
  </w:endnote>
  <w:endnote w:type="continuationSeparator" w:id="0">
    <w:p w14:paraId="6314EEE3" w14:textId="77777777" w:rsidR="00DD22F4" w:rsidRDefault="00DD22F4" w:rsidP="00155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58328051"/>
      <w:docPartObj>
        <w:docPartGallery w:val="Page Numbers (Bottom of Page)"/>
        <w:docPartUnique/>
      </w:docPartObj>
    </w:sdtPr>
    <w:sdtEndPr>
      <w:rPr>
        <w:rFonts w:ascii="Times New Roman" w:hAnsi="Times New Roman" w:cs="Times New Roman"/>
        <w:noProof/>
        <w:sz w:val="20"/>
        <w:szCs w:val="20"/>
      </w:rPr>
    </w:sdtEndPr>
    <w:sdtContent>
      <w:p w14:paraId="0FBD082C" w14:textId="774CB35F" w:rsidR="000E10E1" w:rsidRPr="00422CCD" w:rsidRDefault="000E10E1">
        <w:pPr>
          <w:pStyle w:val="Footer"/>
          <w:jc w:val="center"/>
          <w:rPr>
            <w:rFonts w:ascii="Times New Roman" w:hAnsi="Times New Roman" w:cs="Times New Roman"/>
            <w:sz w:val="20"/>
            <w:szCs w:val="20"/>
          </w:rPr>
        </w:pPr>
        <w:r w:rsidRPr="00422CCD">
          <w:rPr>
            <w:rFonts w:ascii="Times New Roman" w:hAnsi="Times New Roman" w:cs="Times New Roman"/>
            <w:sz w:val="20"/>
            <w:szCs w:val="20"/>
          </w:rPr>
          <w:fldChar w:fldCharType="begin"/>
        </w:r>
        <w:r w:rsidRPr="00422CCD">
          <w:rPr>
            <w:rFonts w:ascii="Times New Roman" w:hAnsi="Times New Roman" w:cs="Times New Roman"/>
            <w:sz w:val="20"/>
            <w:szCs w:val="20"/>
          </w:rPr>
          <w:instrText xml:space="preserve"> PAGE   \* MERGEFORMAT </w:instrText>
        </w:r>
        <w:r w:rsidRPr="00422CCD">
          <w:rPr>
            <w:rFonts w:ascii="Times New Roman" w:hAnsi="Times New Roman" w:cs="Times New Roman"/>
            <w:sz w:val="20"/>
            <w:szCs w:val="20"/>
          </w:rPr>
          <w:fldChar w:fldCharType="separate"/>
        </w:r>
        <w:r w:rsidRPr="00422CCD">
          <w:rPr>
            <w:rFonts w:ascii="Times New Roman" w:hAnsi="Times New Roman" w:cs="Times New Roman"/>
            <w:noProof/>
            <w:sz w:val="20"/>
            <w:szCs w:val="20"/>
          </w:rPr>
          <w:t>2</w:t>
        </w:r>
        <w:r w:rsidRPr="00422CCD">
          <w:rPr>
            <w:rFonts w:ascii="Times New Roman" w:hAnsi="Times New Roman" w:cs="Times New Roman"/>
            <w:noProof/>
            <w:sz w:val="20"/>
            <w:szCs w:val="20"/>
          </w:rPr>
          <w:fldChar w:fldCharType="end"/>
        </w:r>
      </w:p>
    </w:sdtContent>
  </w:sdt>
  <w:p w14:paraId="76213D6D" w14:textId="77777777" w:rsidR="000E10E1" w:rsidRDefault="000E10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E615CD" w14:textId="77777777" w:rsidR="00DD22F4" w:rsidRDefault="00DD22F4" w:rsidP="001553BB">
      <w:pPr>
        <w:spacing w:after="0" w:line="240" w:lineRule="auto"/>
      </w:pPr>
      <w:r>
        <w:separator/>
      </w:r>
    </w:p>
  </w:footnote>
  <w:footnote w:type="continuationSeparator" w:id="0">
    <w:p w14:paraId="5BE68D9A" w14:textId="77777777" w:rsidR="00DD22F4" w:rsidRDefault="00DD22F4" w:rsidP="001553B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C26F0A"/>
    <w:multiLevelType w:val="hybridMultilevel"/>
    <w:tmpl w:val="A0C4F5B2"/>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483752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53BB"/>
    <w:rsid w:val="00027497"/>
    <w:rsid w:val="000924C7"/>
    <w:rsid w:val="000E10E1"/>
    <w:rsid w:val="001553BB"/>
    <w:rsid w:val="001F1130"/>
    <w:rsid w:val="003A646D"/>
    <w:rsid w:val="00422CCD"/>
    <w:rsid w:val="00457DDD"/>
    <w:rsid w:val="004B19F5"/>
    <w:rsid w:val="0053699F"/>
    <w:rsid w:val="005E3DA3"/>
    <w:rsid w:val="00600605"/>
    <w:rsid w:val="00604522"/>
    <w:rsid w:val="007370F6"/>
    <w:rsid w:val="00756448"/>
    <w:rsid w:val="007D0B0C"/>
    <w:rsid w:val="00893F01"/>
    <w:rsid w:val="008C42EA"/>
    <w:rsid w:val="008C5699"/>
    <w:rsid w:val="009342DC"/>
    <w:rsid w:val="00981D82"/>
    <w:rsid w:val="00A4534E"/>
    <w:rsid w:val="00AD6211"/>
    <w:rsid w:val="00AE10A3"/>
    <w:rsid w:val="00B05071"/>
    <w:rsid w:val="00DD22F4"/>
    <w:rsid w:val="00F56E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State"/>
  <w:shapeDefaults>
    <o:shapedefaults v:ext="edit" spidmax="1026"/>
    <o:shapelayout v:ext="edit">
      <o:idmap v:ext="edit" data="1"/>
    </o:shapelayout>
  </w:shapeDefaults>
  <w:decimalSymbol w:val="."/>
  <w:listSeparator w:val=","/>
  <w14:docId w14:val="26A544A7"/>
  <w15:chartTrackingRefBased/>
  <w15:docId w15:val="{D3102CFC-2DC5-4583-9CB3-BF0783E9C1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370F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1553B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553BB"/>
    <w:rPr>
      <w:sz w:val="20"/>
      <w:szCs w:val="20"/>
    </w:rPr>
  </w:style>
  <w:style w:type="character" w:styleId="FootnoteReference">
    <w:name w:val="footnote reference"/>
    <w:aliases w:val="Style 13,Style 12,fr,Style 28,(NECG) Footnote Reference,Style 11,Style 9,o,Style 16,Style 15,Style 17,Style 20,o1,fr1,o2,fr2,o3,fr3,Style 8,Style 7,Style 19,Appel note de bas de p,Style 124,Style 3,FR,Style 6,Footnote Reference/"/>
    <w:basedOn w:val="DefaultParagraphFont"/>
    <w:uiPriority w:val="99"/>
    <w:rsid w:val="001553BB"/>
    <w:rPr>
      <w:vertAlign w:val="superscript"/>
    </w:rPr>
  </w:style>
  <w:style w:type="paragraph" w:styleId="Header">
    <w:name w:val="header"/>
    <w:basedOn w:val="Normal"/>
    <w:link w:val="HeaderChar"/>
    <w:uiPriority w:val="99"/>
    <w:unhideWhenUsed/>
    <w:rsid w:val="000E10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E10E1"/>
  </w:style>
  <w:style w:type="paragraph" w:styleId="Footer">
    <w:name w:val="footer"/>
    <w:basedOn w:val="Normal"/>
    <w:link w:val="FooterChar"/>
    <w:uiPriority w:val="99"/>
    <w:unhideWhenUsed/>
    <w:rsid w:val="000E10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E10E1"/>
  </w:style>
  <w:style w:type="paragraph" w:styleId="NoSpacing">
    <w:name w:val="No Spacing"/>
    <w:uiPriority w:val="1"/>
    <w:qFormat/>
    <w:rsid w:val="0075644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894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9</Pages>
  <Words>2336</Words>
  <Characters>13320</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Vero, Eranda</dc:creator>
  <cp:keywords/>
  <dc:description/>
  <cp:lastModifiedBy>McNeal, Pamela</cp:lastModifiedBy>
  <cp:revision>7</cp:revision>
  <dcterms:created xsi:type="dcterms:W3CDTF">2023-01-20T18:40:00Z</dcterms:created>
  <dcterms:modified xsi:type="dcterms:W3CDTF">2023-01-20T18:46:00Z</dcterms:modified>
</cp:coreProperties>
</file>