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6C300" w14:textId="77777777" w:rsidR="007D5A10" w:rsidRPr="007D5A10" w:rsidRDefault="007D5A10" w:rsidP="007D5A10">
      <w:pPr>
        <w:autoSpaceDE w:val="0"/>
        <w:autoSpaceDN w:val="0"/>
        <w:spacing w:after="0" w:line="240" w:lineRule="auto"/>
        <w:jc w:val="center"/>
        <w:rPr>
          <w:rFonts w:ascii="Times New Roman" w:eastAsia="Times New Roman" w:hAnsi="Times New Roman" w:cs="Times New Roman"/>
          <w:b/>
          <w:sz w:val="24"/>
          <w:szCs w:val="24"/>
        </w:rPr>
      </w:pPr>
      <w:r w:rsidRPr="007D5A10">
        <w:rPr>
          <w:rFonts w:ascii="Times New Roman" w:eastAsia="Times New Roman" w:hAnsi="Times New Roman" w:cs="Times New Roman"/>
          <w:b/>
          <w:sz w:val="24"/>
          <w:szCs w:val="24"/>
        </w:rPr>
        <w:t>BEFORE THE</w:t>
      </w:r>
    </w:p>
    <w:p w14:paraId="592385FB" w14:textId="77777777" w:rsidR="007D5A10" w:rsidRPr="007D5A10" w:rsidRDefault="007D5A10" w:rsidP="007D5A1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D5A10">
        <w:rPr>
          <w:rFonts w:ascii="Times New Roman" w:eastAsia="Times New Roman" w:hAnsi="Times New Roman" w:cs="Times New Roman"/>
          <w:b/>
          <w:bCs/>
          <w:spacing w:val="-3"/>
          <w:sz w:val="24"/>
          <w:szCs w:val="24"/>
        </w:rPr>
        <w:t>PENNSYLVANIA PUBLIC UTILITY COMMISSION</w:t>
      </w:r>
    </w:p>
    <w:p w14:paraId="42D7C3C0" w14:textId="77777777" w:rsidR="007D5A10" w:rsidRPr="007D5A10" w:rsidRDefault="007D5A10" w:rsidP="007D5A1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A7D8739" w14:textId="77777777" w:rsidR="007D5A10" w:rsidRPr="007D5A10" w:rsidRDefault="007D5A10" w:rsidP="007D5A1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CB973D1" w14:textId="77777777" w:rsidR="007D5A10" w:rsidRPr="007D5A10" w:rsidRDefault="007D5A10" w:rsidP="007D5A1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19CF829" w14:textId="435A2148" w:rsidR="007D5A10" w:rsidRPr="007D5A10" w:rsidRDefault="003B269C" w:rsidP="007D5A1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Michael and Sharon Hartman</w:t>
      </w:r>
      <w:r w:rsidR="007D5A10" w:rsidRPr="007D5A10">
        <w:rPr>
          <w:rFonts w:ascii="Times New Roman" w:eastAsia="Times New Roman" w:hAnsi="Times New Roman" w:cs="Times New Roman"/>
          <w:spacing w:val="-3"/>
          <w:sz w:val="24"/>
          <w:szCs w:val="24"/>
        </w:rPr>
        <w:tab/>
      </w:r>
      <w:r w:rsidR="007D5A10" w:rsidRPr="007D5A10">
        <w:rPr>
          <w:rFonts w:ascii="Times New Roman" w:eastAsia="Times New Roman" w:hAnsi="Times New Roman" w:cs="Times New Roman"/>
          <w:spacing w:val="-3"/>
          <w:sz w:val="24"/>
          <w:szCs w:val="24"/>
        </w:rPr>
        <w:tab/>
      </w:r>
      <w:r w:rsidR="007D5A10" w:rsidRPr="007D5A10">
        <w:rPr>
          <w:rFonts w:ascii="Times New Roman" w:eastAsia="Times New Roman" w:hAnsi="Times New Roman" w:cs="Times New Roman"/>
          <w:spacing w:val="-3"/>
          <w:sz w:val="24"/>
          <w:szCs w:val="24"/>
        </w:rPr>
        <w:tab/>
        <w:t xml:space="preserve">: </w:t>
      </w:r>
    </w:p>
    <w:p w14:paraId="1DE911A4" w14:textId="77777777" w:rsidR="007D5A10" w:rsidRPr="007D5A10" w:rsidRDefault="007D5A10" w:rsidP="007D5A1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t xml:space="preserve">: </w:t>
      </w:r>
    </w:p>
    <w:p w14:paraId="115684C4" w14:textId="4B42DFB1" w:rsidR="007D5A10" w:rsidRPr="007D5A10" w:rsidRDefault="007D5A10" w:rsidP="007D5A1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7D5A10">
        <w:rPr>
          <w:rFonts w:ascii="Times New Roman" w:eastAsia="Times New Roman" w:hAnsi="Times New Roman" w:cs="Times New Roman"/>
          <w:spacing w:val="-3"/>
          <w:sz w:val="24"/>
          <w:szCs w:val="24"/>
        </w:rPr>
        <w:tab/>
        <w:t>v.</w:t>
      </w: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t>:</w:t>
      </w: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t>C-20</w:t>
      </w:r>
      <w:r w:rsidR="003B269C">
        <w:rPr>
          <w:rFonts w:ascii="Times New Roman" w:eastAsia="Times New Roman" w:hAnsi="Times New Roman" w:cs="Times New Roman"/>
          <w:spacing w:val="-3"/>
          <w:sz w:val="24"/>
          <w:szCs w:val="24"/>
        </w:rPr>
        <w:t>19</w:t>
      </w:r>
      <w:r w:rsidRPr="007D5A10">
        <w:rPr>
          <w:rFonts w:ascii="Times New Roman" w:eastAsia="Times New Roman" w:hAnsi="Times New Roman" w:cs="Times New Roman"/>
          <w:spacing w:val="-3"/>
          <w:sz w:val="24"/>
          <w:szCs w:val="24"/>
        </w:rPr>
        <w:t>-30</w:t>
      </w:r>
      <w:r w:rsidR="008C41AB">
        <w:rPr>
          <w:rFonts w:ascii="Times New Roman" w:eastAsia="Times New Roman" w:hAnsi="Times New Roman" w:cs="Times New Roman"/>
          <w:spacing w:val="-3"/>
          <w:sz w:val="24"/>
          <w:szCs w:val="24"/>
        </w:rPr>
        <w:t>08272</w:t>
      </w:r>
      <w:r w:rsidRPr="007D5A10">
        <w:rPr>
          <w:rFonts w:ascii="Times New Roman" w:eastAsia="Times New Roman" w:hAnsi="Times New Roman" w:cs="Times New Roman"/>
          <w:spacing w:val="-3"/>
          <w:sz w:val="24"/>
          <w:szCs w:val="24"/>
        </w:rPr>
        <w:t xml:space="preserve"> </w:t>
      </w:r>
    </w:p>
    <w:p w14:paraId="3F3011EB" w14:textId="77777777" w:rsidR="007D5A10" w:rsidRPr="007D5A10" w:rsidRDefault="007D5A10" w:rsidP="007D5A1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r>
      <w:r w:rsidRPr="007D5A10">
        <w:rPr>
          <w:rFonts w:ascii="Times New Roman" w:eastAsia="Times New Roman" w:hAnsi="Times New Roman" w:cs="Times New Roman"/>
          <w:spacing w:val="-3"/>
          <w:sz w:val="24"/>
          <w:szCs w:val="24"/>
        </w:rPr>
        <w:tab/>
        <w:t xml:space="preserve">: </w:t>
      </w:r>
    </w:p>
    <w:p w14:paraId="322C3F7C" w14:textId="6E7A1572" w:rsidR="007D5A10" w:rsidRPr="007D5A10" w:rsidRDefault="007D5A10" w:rsidP="007D5A1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7D5A10">
        <w:rPr>
          <w:rFonts w:ascii="Times New Roman" w:eastAsia="Times New Roman" w:hAnsi="Times New Roman" w:cs="Times New Roman"/>
          <w:spacing w:val="-3"/>
          <w:sz w:val="24"/>
          <w:szCs w:val="24"/>
        </w:rPr>
        <w:t>PPL Electric Utilities Corporation</w:t>
      </w:r>
      <w:r w:rsidR="00762C6D">
        <w:rPr>
          <w:rFonts w:ascii="Times New Roman" w:eastAsia="Times New Roman" w:hAnsi="Times New Roman" w:cs="Times New Roman"/>
          <w:spacing w:val="-3"/>
          <w:sz w:val="24"/>
          <w:szCs w:val="24"/>
        </w:rPr>
        <w:tab/>
      </w:r>
      <w:r w:rsidR="00762C6D">
        <w:rPr>
          <w:rFonts w:ascii="Times New Roman" w:eastAsia="Times New Roman" w:hAnsi="Times New Roman" w:cs="Times New Roman"/>
          <w:spacing w:val="-3"/>
          <w:sz w:val="24"/>
          <w:szCs w:val="24"/>
        </w:rPr>
        <w:tab/>
        <w:t>:</w:t>
      </w:r>
    </w:p>
    <w:p w14:paraId="668C4D17" w14:textId="77777777" w:rsidR="007D5A10" w:rsidRPr="007D5A10" w:rsidRDefault="007D5A10" w:rsidP="007D5A1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7D5A10">
        <w:rPr>
          <w:rFonts w:ascii="Times New Roman" w:eastAsia="Times New Roman" w:hAnsi="Times New Roman" w:cs="Times New Roman"/>
          <w:spacing w:val="-3"/>
          <w:sz w:val="24"/>
          <w:szCs w:val="24"/>
        </w:rPr>
        <w:fldChar w:fldCharType="begin"/>
      </w:r>
      <w:r w:rsidRPr="007D5A10">
        <w:rPr>
          <w:rFonts w:ascii="Times New Roman" w:eastAsia="Times New Roman" w:hAnsi="Times New Roman" w:cs="Times New Roman"/>
          <w:spacing w:val="-3"/>
          <w:sz w:val="24"/>
          <w:szCs w:val="24"/>
        </w:rPr>
        <w:instrText>fillin "Complainant's name" \d ""</w:instrText>
      </w:r>
      <w:r w:rsidRPr="007D5A10">
        <w:rPr>
          <w:rFonts w:ascii="Times New Roman" w:eastAsia="Times New Roman" w:hAnsi="Times New Roman" w:cs="Times New Roman"/>
          <w:spacing w:val="-3"/>
          <w:sz w:val="24"/>
          <w:szCs w:val="24"/>
        </w:rPr>
        <w:fldChar w:fldCharType="end"/>
      </w:r>
    </w:p>
    <w:p w14:paraId="2F764B6A" w14:textId="795BF57B" w:rsidR="007D5A10" w:rsidRDefault="007D5A10" w:rsidP="007D5A10">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57E55C8E" w14:textId="77777777" w:rsidR="006B7F3C" w:rsidRPr="007D5A10" w:rsidRDefault="006B7F3C" w:rsidP="007D5A10">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00F340C1" w14:textId="77777777" w:rsidR="008C41AB" w:rsidRDefault="00762C6D" w:rsidP="00762C6D">
      <w:pPr>
        <w:tabs>
          <w:tab w:val="left" w:pos="0"/>
        </w:tabs>
        <w:spacing w:after="0" w:line="240" w:lineRule="auto"/>
        <w:jc w:val="center"/>
        <w:rPr>
          <w:rFonts w:ascii="Times New Roman" w:eastAsia="Times New Roman" w:hAnsi="Times New Roman" w:cs="Times New Roman"/>
          <w:b/>
          <w:sz w:val="24"/>
          <w:szCs w:val="20"/>
          <w:u w:val="single"/>
        </w:rPr>
      </w:pPr>
      <w:r w:rsidRPr="00762C6D">
        <w:rPr>
          <w:rFonts w:ascii="Times New Roman" w:eastAsia="Times New Roman" w:hAnsi="Times New Roman" w:cs="Times New Roman"/>
          <w:b/>
          <w:sz w:val="24"/>
          <w:szCs w:val="20"/>
          <w:u w:val="single"/>
        </w:rPr>
        <w:t>ORDER</w:t>
      </w:r>
      <w:r w:rsidR="008C41AB">
        <w:rPr>
          <w:rFonts w:ascii="Times New Roman" w:eastAsia="Times New Roman" w:hAnsi="Times New Roman" w:cs="Times New Roman"/>
          <w:b/>
          <w:sz w:val="24"/>
          <w:szCs w:val="20"/>
          <w:u w:val="single"/>
        </w:rPr>
        <w:t xml:space="preserve"> </w:t>
      </w:r>
    </w:p>
    <w:p w14:paraId="29CEF4D6" w14:textId="7C74BD51" w:rsidR="00762C6D" w:rsidRDefault="008C41AB" w:rsidP="00762C6D">
      <w:pPr>
        <w:tabs>
          <w:tab w:val="left" w:pos="0"/>
        </w:tabs>
        <w:spacing w:after="0" w:line="240" w:lineRule="auto"/>
        <w:jc w:val="center"/>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GRANTING IN PART AND DENYING IN PART</w:t>
      </w:r>
    </w:p>
    <w:p w14:paraId="258FC00B" w14:textId="2B9F7445" w:rsidR="008C41AB" w:rsidRPr="00762C6D" w:rsidRDefault="008C41AB" w:rsidP="00762C6D">
      <w:pPr>
        <w:tabs>
          <w:tab w:val="left" w:pos="0"/>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RESPONDENT’S MOTION TO STRIKE</w:t>
      </w:r>
    </w:p>
    <w:p w14:paraId="4BF2DB97" w14:textId="77777777" w:rsidR="00762C6D" w:rsidRPr="00762C6D" w:rsidRDefault="00762C6D" w:rsidP="006B7F3C">
      <w:pPr>
        <w:tabs>
          <w:tab w:val="left" w:pos="0"/>
        </w:tabs>
        <w:spacing w:after="0" w:line="360" w:lineRule="auto"/>
        <w:jc w:val="both"/>
        <w:rPr>
          <w:rFonts w:ascii="Times New Roman" w:eastAsia="Times New Roman" w:hAnsi="Times New Roman" w:cs="Times New Roman"/>
          <w:sz w:val="24"/>
          <w:szCs w:val="20"/>
        </w:rPr>
      </w:pPr>
    </w:p>
    <w:p w14:paraId="16E12E31" w14:textId="614825F4" w:rsidR="00FC6575" w:rsidRDefault="00762C6D" w:rsidP="00485397">
      <w:pPr>
        <w:tabs>
          <w:tab w:val="left" w:pos="0"/>
        </w:tabs>
        <w:spacing w:after="0" w:line="360" w:lineRule="auto"/>
        <w:rPr>
          <w:rFonts w:ascii="Times New Roman" w:eastAsia="Times New Roman" w:hAnsi="Times New Roman" w:cs="Times New Roman"/>
          <w:sz w:val="24"/>
          <w:szCs w:val="20"/>
        </w:rPr>
      </w:pPr>
      <w:r w:rsidRPr="00762C6D">
        <w:rPr>
          <w:rFonts w:ascii="Times New Roman" w:eastAsia="Times New Roman" w:hAnsi="Times New Roman" w:cs="Times New Roman"/>
          <w:sz w:val="24"/>
          <w:szCs w:val="20"/>
        </w:rPr>
        <w:tab/>
      </w:r>
      <w:r w:rsidRPr="00762C6D">
        <w:rPr>
          <w:rFonts w:ascii="Times New Roman" w:eastAsia="Times New Roman" w:hAnsi="Times New Roman" w:cs="Times New Roman"/>
          <w:sz w:val="24"/>
          <w:szCs w:val="20"/>
        </w:rPr>
        <w:tab/>
        <w:t xml:space="preserve">This Order </w:t>
      </w:r>
      <w:r w:rsidR="008D1AC8">
        <w:rPr>
          <w:rFonts w:ascii="Times New Roman" w:eastAsia="Times New Roman" w:hAnsi="Times New Roman" w:cs="Times New Roman"/>
          <w:sz w:val="24"/>
          <w:szCs w:val="20"/>
        </w:rPr>
        <w:t>grants in part and den</w:t>
      </w:r>
      <w:r w:rsidR="000D60BF">
        <w:rPr>
          <w:rFonts w:ascii="Times New Roman" w:eastAsia="Times New Roman" w:hAnsi="Times New Roman" w:cs="Times New Roman"/>
          <w:sz w:val="24"/>
          <w:szCs w:val="20"/>
        </w:rPr>
        <w:t>ies in part Respondent</w:t>
      </w:r>
      <w:r w:rsidR="00BE4D16">
        <w:rPr>
          <w:rFonts w:ascii="Times New Roman" w:eastAsia="Times New Roman" w:hAnsi="Times New Roman" w:cs="Times New Roman"/>
          <w:sz w:val="24"/>
          <w:szCs w:val="20"/>
        </w:rPr>
        <w:t xml:space="preserve"> PPL</w:t>
      </w:r>
      <w:r w:rsidR="000D60BF">
        <w:rPr>
          <w:rFonts w:ascii="Times New Roman" w:eastAsia="Times New Roman" w:hAnsi="Times New Roman" w:cs="Times New Roman"/>
          <w:sz w:val="24"/>
          <w:szCs w:val="20"/>
        </w:rPr>
        <w:t xml:space="preserve">’s Motion to Strike portions of the Complainant’s written testimony </w:t>
      </w:r>
      <w:r w:rsidR="00AA6D6D">
        <w:rPr>
          <w:rFonts w:ascii="Times New Roman" w:eastAsia="Times New Roman" w:hAnsi="Times New Roman" w:cs="Times New Roman"/>
          <w:sz w:val="24"/>
          <w:szCs w:val="20"/>
        </w:rPr>
        <w:t>and exhibits submitted in advance of the evidentiary hearings in this proceeding.</w:t>
      </w:r>
      <w:r w:rsidR="0083714D">
        <w:rPr>
          <w:rFonts w:ascii="Times New Roman" w:eastAsia="Times New Roman" w:hAnsi="Times New Roman" w:cs="Times New Roman"/>
          <w:sz w:val="24"/>
          <w:szCs w:val="20"/>
        </w:rPr>
        <w:t xml:space="preserve">  </w:t>
      </w:r>
    </w:p>
    <w:p w14:paraId="21220E89" w14:textId="631FBC0F" w:rsidR="00F81537" w:rsidRDefault="00F81537" w:rsidP="007F7963">
      <w:pPr>
        <w:tabs>
          <w:tab w:val="left" w:pos="0"/>
        </w:tabs>
        <w:spacing w:after="0" w:line="360" w:lineRule="auto"/>
        <w:jc w:val="both"/>
        <w:rPr>
          <w:rFonts w:ascii="Times New Roman" w:eastAsia="Times New Roman" w:hAnsi="Times New Roman" w:cs="Times New Roman"/>
          <w:sz w:val="24"/>
          <w:szCs w:val="20"/>
        </w:rPr>
      </w:pPr>
    </w:p>
    <w:p w14:paraId="537E7CE4" w14:textId="58C08CC1" w:rsidR="00F81537" w:rsidRPr="00F81537" w:rsidRDefault="00F81537" w:rsidP="00F81537">
      <w:pPr>
        <w:tabs>
          <w:tab w:val="left" w:pos="0"/>
        </w:tabs>
        <w:spacing w:after="0" w:line="360" w:lineRule="auto"/>
        <w:jc w:val="center"/>
        <w:rPr>
          <w:rFonts w:ascii="Times New Roman" w:eastAsia="Times New Roman" w:hAnsi="Times New Roman" w:cs="Times New Roman"/>
          <w:sz w:val="24"/>
          <w:szCs w:val="20"/>
          <w:u w:val="single"/>
        </w:rPr>
      </w:pPr>
      <w:r w:rsidRPr="00F81537">
        <w:rPr>
          <w:rFonts w:ascii="Times New Roman" w:eastAsia="Times New Roman" w:hAnsi="Times New Roman" w:cs="Times New Roman"/>
          <w:sz w:val="24"/>
          <w:szCs w:val="20"/>
          <w:u w:val="single"/>
        </w:rPr>
        <w:t>BACKGROUN</w:t>
      </w:r>
      <w:r w:rsidR="007F5CCF">
        <w:rPr>
          <w:rFonts w:ascii="Times New Roman" w:eastAsia="Times New Roman" w:hAnsi="Times New Roman" w:cs="Times New Roman"/>
          <w:sz w:val="24"/>
          <w:szCs w:val="20"/>
          <w:u w:val="single"/>
        </w:rPr>
        <w:t>D</w:t>
      </w:r>
    </w:p>
    <w:p w14:paraId="1BB2F0DD" w14:textId="6DE49CAB" w:rsidR="008E7D81" w:rsidRDefault="004A21D4" w:rsidP="004A21D4">
      <w:pPr>
        <w:tabs>
          <w:tab w:val="left" w:pos="0"/>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14:paraId="5D7B6FAE" w14:textId="27E4F7CE" w:rsidR="00A04288" w:rsidRDefault="003738A2" w:rsidP="004A21D4">
      <w:pPr>
        <w:tabs>
          <w:tab w:val="left" w:pos="0"/>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Complainants </w:t>
      </w:r>
      <w:r w:rsidR="00BE4D16">
        <w:rPr>
          <w:rFonts w:ascii="Times New Roman" w:eastAsia="Times New Roman" w:hAnsi="Times New Roman" w:cs="Times New Roman"/>
          <w:sz w:val="24"/>
          <w:szCs w:val="20"/>
        </w:rPr>
        <w:t xml:space="preserve">Michael and Sharon Hartman </w:t>
      </w:r>
      <w:r>
        <w:rPr>
          <w:rFonts w:ascii="Times New Roman" w:eastAsia="Times New Roman" w:hAnsi="Times New Roman" w:cs="Times New Roman"/>
          <w:sz w:val="24"/>
          <w:szCs w:val="20"/>
        </w:rPr>
        <w:t>filed th</w:t>
      </w:r>
      <w:r w:rsidR="009A191D">
        <w:rPr>
          <w:rFonts w:ascii="Times New Roman" w:eastAsia="Times New Roman" w:hAnsi="Times New Roman" w:cs="Times New Roman"/>
          <w:sz w:val="24"/>
          <w:szCs w:val="20"/>
        </w:rPr>
        <w:t xml:space="preserve">eir Formal Complaint against </w:t>
      </w:r>
      <w:r w:rsidR="00BE4D16">
        <w:rPr>
          <w:rFonts w:ascii="Times New Roman" w:eastAsia="Times New Roman" w:hAnsi="Times New Roman" w:cs="Times New Roman"/>
          <w:sz w:val="24"/>
          <w:szCs w:val="20"/>
        </w:rPr>
        <w:t>PPL</w:t>
      </w:r>
      <w:r w:rsidR="009A191D">
        <w:rPr>
          <w:rFonts w:ascii="Times New Roman" w:eastAsia="Times New Roman" w:hAnsi="Times New Roman" w:cs="Times New Roman"/>
          <w:sz w:val="24"/>
          <w:szCs w:val="20"/>
        </w:rPr>
        <w:t xml:space="preserve"> in March of 2019.  </w:t>
      </w:r>
      <w:r w:rsidR="00431D68">
        <w:rPr>
          <w:rFonts w:ascii="Times New Roman" w:eastAsia="Times New Roman" w:hAnsi="Times New Roman" w:cs="Times New Roman"/>
          <w:sz w:val="24"/>
          <w:szCs w:val="20"/>
        </w:rPr>
        <w:t>The gravamen of the complaint is that</w:t>
      </w:r>
      <w:r w:rsidR="00BE4D16">
        <w:rPr>
          <w:rFonts w:ascii="Times New Roman" w:eastAsia="Times New Roman" w:hAnsi="Times New Roman" w:cs="Times New Roman"/>
          <w:sz w:val="24"/>
          <w:szCs w:val="20"/>
        </w:rPr>
        <w:t xml:space="preserve"> PPL abused </w:t>
      </w:r>
      <w:r w:rsidR="005F4347">
        <w:rPr>
          <w:rFonts w:ascii="Times New Roman" w:eastAsia="Times New Roman" w:hAnsi="Times New Roman" w:cs="Times New Roman"/>
          <w:sz w:val="24"/>
          <w:szCs w:val="20"/>
        </w:rPr>
        <w:t>its right of way through the Hartman’s property</w:t>
      </w:r>
      <w:r w:rsidR="00EB0778">
        <w:rPr>
          <w:rFonts w:ascii="Times New Roman" w:eastAsia="Times New Roman" w:hAnsi="Times New Roman" w:cs="Times New Roman"/>
          <w:sz w:val="24"/>
          <w:szCs w:val="20"/>
        </w:rPr>
        <w:t xml:space="preserve">, causing extensive damage to the land and </w:t>
      </w:r>
      <w:r w:rsidR="00ED0C34">
        <w:rPr>
          <w:rFonts w:ascii="Times New Roman" w:eastAsia="Times New Roman" w:hAnsi="Times New Roman" w:cs="Times New Roman"/>
          <w:sz w:val="24"/>
          <w:szCs w:val="20"/>
        </w:rPr>
        <w:t>vegetation, when performing the company’s Halifax-Dauph</w:t>
      </w:r>
      <w:r w:rsidR="00820F2D">
        <w:rPr>
          <w:rFonts w:ascii="Times New Roman" w:eastAsia="Times New Roman" w:hAnsi="Times New Roman" w:cs="Times New Roman"/>
          <w:sz w:val="24"/>
          <w:szCs w:val="20"/>
        </w:rPr>
        <w:t>i</w:t>
      </w:r>
      <w:r w:rsidR="00ED0C34">
        <w:rPr>
          <w:rFonts w:ascii="Times New Roman" w:eastAsia="Times New Roman" w:hAnsi="Times New Roman" w:cs="Times New Roman"/>
          <w:sz w:val="24"/>
          <w:szCs w:val="20"/>
        </w:rPr>
        <w:t>n 69 KV Transmission Line Rebuild Project</w:t>
      </w:r>
      <w:r w:rsidR="00820F2D">
        <w:rPr>
          <w:rFonts w:ascii="Times New Roman" w:eastAsia="Times New Roman" w:hAnsi="Times New Roman" w:cs="Times New Roman"/>
          <w:sz w:val="24"/>
          <w:szCs w:val="20"/>
        </w:rPr>
        <w:t>.</w:t>
      </w:r>
      <w:r w:rsidR="00A04288">
        <w:rPr>
          <w:rFonts w:ascii="Times New Roman" w:eastAsia="Times New Roman" w:hAnsi="Times New Roman" w:cs="Times New Roman"/>
          <w:sz w:val="24"/>
          <w:szCs w:val="20"/>
        </w:rPr>
        <w:t xml:space="preserve">  </w:t>
      </w:r>
      <w:r w:rsidR="00B24233">
        <w:rPr>
          <w:rFonts w:ascii="Times New Roman" w:eastAsia="Times New Roman" w:hAnsi="Times New Roman" w:cs="Times New Roman"/>
          <w:sz w:val="24"/>
          <w:szCs w:val="20"/>
        </w:rPr>
        <w:t>PPL filed it</w:t>
      </w:r>
      <w:r w:rsidR="003E474F">
        <w:rPr>
          <w:rFonts w:ascii="Times New Roman" w:eastAsia="Times New Roman" w:hAnsi="Times New Roman" w:cs="Times New Roman"/>
          <w:sz w:val="24"/>
          <w:szCs w:val="20"/>
        </w:rPr>
        <w:t>s</w:t>
      </w:r>
      <w:r w:rsidR="00B24233">
        <w:rPr>
          <w:rFonts w:ascii="Times New Roman" w:eastAsia="Times New Roman" w:hAnsi="Times New Roman" w:cs="Times New Roman"/>
          <w:sz w:val="24"/>
          <w:szCs w:val="20"/>
        </w:rPr>
        <w:t xml:space="preserve"> Answer to the Complaint on March 25, 2019.  </w:t>
      </w:r>
      <w:r w:rsidR="00A04288">
        <w:rPr>
          <w:rFonts w:ascii="Times New Roman" w:eastAsia="Times New Roman" w:hAnsi="Times New Roman" w:cs="Times New Roman"/>
          <w:sz w:val="24"/>
          <w:szCs w:val="20"/>
        </w:rPr>
        <w:t>This proceeding was originally assigned to Administrative Law Judge Andrew Calvelli.  It was subsequently re-assigned to me.</w:t>
      </w:r>
    </w:p>
    <w:p w14:paraId="17E1DD07" w14:textId="77777777" w:rsidR="00A04288" w:rsidRDefault="00A04288" w:rsidP="004A21D4">
      <w:pPr>
        <w:tabs>
          <w:tab w:val="left" w:pos="0"/>
        </w:tabs>
        <w:spacing w:after="0" w:line="360" w:lineRule="auto"/>
        <w:jc w:val="both"/>
        <w:rPr>
          <w:rFonts w:ascii="Times New Roman" w:eastAsia="Times New Roman" w:hAnsi="Times New Roman" w:cs="Times New Roman"/>
          <w:sz w:val="24"/>
          <w:szCs w:val="20"/>
        </w:rPr>
      </w:pPr>
    </w:p>
    <w:p w14:paraId="5F310885" w14:textId="1A5E7519" w:rsidR="00F5664D" w:rsidRDefault="00A04288" w:rsidP="004A21D4">
      <w:pPr>
        <w:tabs>
          <w:tab w:val="left" w:pos="0"/>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r w:rsidR="00820F2D">
        <w:rPr>
          <w:rFonts w:ascii="Times New Roman" w:eastAsia="Times New Roman" w:hAnsi="Times New Roman" w:cs="Times New Roman"/>
          <w:sz w:val="24"/>
          <w:szCs w:val="20"/>
        </w:rPr>
        <w:t xml:space="preserve"> </w:t>
      </w:r>
      <w:r w:rsidR="00431D68">
        <w:rPr>
          <w:rFonts w:ascii="Times New Roman" w:eastAsia="Times New Roman" w:hAnsi="Times New Roman" w:cs="Times New Roman"/>
          <w:sz w:val="24"/>
          <w:szCs w:val="20"/>
        </w:rPr>
        <w:t xml:space="preserve">  </w:t>
      </w:r>
      <w:r w:rsidR="00B24233">
        <w:rPr>
          <w:rFonts w:ascii="Times New Roman" w:eastAsia="Times New Roman" w:hAnsi="Times New Roman" w:cs="Times New Roman"/>
          <w:sz w:val="24"/>
          <w:szCs w:val="20"/>
        </w:rPr>
        <w:t xml:space="preserve">On June 27, 2019, </w:t>
      </w:r>
      <w:r w:rsidR="007F3FB0">
        <w:rPr>
          <w:rFonts w:ascii="Times New Roman" w:eastAsia="Times New Roman" w:hAnsi="Times New Roman" w:cs="Times New Roman"/>
          <w:sz w:val="24"/>
          <w:szCs w:val="20"/>
        </w:rPr>
        <w:t>PPL filed a Motion for Summary Judgment</w:t>
      </w:r>
      <w:r w:rsidR="00D800B7">
        <w:rPr>
          <w:rFonts w:ascii="Times New Roman" w:eastAsia="Times New Roman" w:hAnsi="Times New Roman" w:cs="Times New Roman"/>
          <w:sz w:val="24"/>
          <w:szCs w:val="20"/>
        </w:rPr>
        <w:t xml:space="preserve"> in which it requested that the complaint be dismissed as outside of the Commission’s jurisdiction</w:t>
      </w:r>
      <w:r w:rsidR="00E0131F">
        <w:rPr>
          <w:rFonts w:ascii="Times New Roman" w:eastAsia="Times New Roman" w:hAnsi="Times New Roman" w:cs="Times New Roman"/>
          <w:sz w:val="24"/>
          <w:szCs w:val="20"/>
        </w:rPr>
        <w:t>.  PPL argued essentially</w:t>
      </w:r>
      <w:r w:rsidR="000C220A">
        <w:rPr>
          <w:rFonts w:ascii="Times New Roman" w:eastAsia="Times New Roman" w:hAnsi="Times New Roman" w:cs="Times New Roman"/>
          <w:sz w:val="24"/>
          <w:szCs w:val="20"/>
        </w:rPr>
        <w:t xml:space="preserve"> that the complaint </w:t>
      </w:r>
      <w:r w:rsidR="000F485C">
        <w:rPr>
          <w:rFonts w:ascii="Times New Roman" w:eastAsia="Times New Roman" w:hAnsi="Times New Roman" w:cs="Times New Roman"/>
          <w:sz w:val="24"/>
          <w:szCs w:val="20"/>
        </w:rPr>
        <w:t xml:space="preserve">involved the interpretation and enforcement of a private, contractual right of way agreement between the parties.  </w:t>
      </w:r>
      <w:r w:rsidR="00F56FFB">
        <w:rPr>
          <w:rFonts w:ascii="Times New Roman" w:eastAsia="Times New Roman" w:hAnsi="Times New Roman" w:cs="Times New Roman"/>
          <w:sz w:val="24"/>
          <w:szCs w:val="20"/>
        </w:rPr>
        <w:t xml:space="preserve">The Hartmans filed an Answer to PPL’s Motion on </w:t>
      </w:r>
      <w:r w:rsidR="00F5664D">
        <w:rPr>
          <w:rFonts w:ascii="Times New Roman" w:eastAsia="Times New Roman" w:hAnsi="Times New Roman" w:cs="Times New Roman"/>
          <w:sz w:val="24"/>
          <w:szCs w:val="20"/>
        </w:rPr>
        <w:t>July 15, 2019.</w:t>
      </w:r>
    </w:p>
    <w:p w14:paraId="39121F36" w14:textId="77777777" w:rsidR="006B7F3C" w:rsidRDefault="006B7F3C" w:rsidP="004A21D4">
      <w:pPr>
        <w:tabs>
          <w:tab w:val="left" w:pos="0"/>
        </w:tabs>
        <w:spacing w:after="0" w:line="360" w:lineRule="auto"/>
        <w:jc w:val="both"/>
        <w:rPr>
          <w:rFonts w:ascii="Times New Roman" w:eastAsia="Times New Roman" w:hAnsi="Times New Roman" w:cs="Times New Roman"/>
          <w:sz w:val="24"/>
          <w:szCs w:val="20"/>
        </w:rPr>
        <w:sectPr w:rsidR="006B7F3C">
          <w:footerReference w:type="default" r:id="rId11"/>
          <w:pgSz w:w="12240" w:h="15840"/>
          <w:pgMar w:top="1440" w:right="1440" w:bottom="1440" w:left="1440" w:header="720" w:footer="720" w:gutter="0"/>
          <w:cols w:space="720"/>
          <w:docGrid w:linePitch="360"/>
        </w:sectPr>
      </w:pPr>
    </w:p>
    <w:p w14:paraId="5D9F98C1" w14:textId="18C7F37F" w:rsidR="0022397D" w:rsidRDefault="00F5664D" w:rsidP="004A21D4">
      <w:pPr>
        <w:tabs>
          <w:tab w:val="left" w:pos="0"/>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ab/>
      </w:r>
      <w:r>
        <w:rPr>
          <w:rFonts w:ascii="Times New Roman" w:eastAsia="Times New Roman" w:hAnsi="Times New Roman" w:cs="Times New Roman"/>
          <w:sz w:val="24"/>
          <w:szCs w:val="20"/>
        </w:rPr>
        <w:tab/>
        <w:t xml:space="preserve">By Initial Decision dated October 4, 2019, Judge Calvelli </w:t>
      </w:r>
      <w:r w:rsidR="00F701C8">
        <w:rPr>
          <w:rFonts w:ascii="Times New Roman" w:eastAsia="Times New Roman" w:hAnsi="Times New Roman" w:cs="Times New Roman"/>
          <w:sz w:val="24"/>
          <w:szCs w:val="20"/>
        </w:rPr>
        <w:t xml:space="preserve">granted PPL’s Motion and dismissed the Hartmans’ Complaint.  </w:t>
      </w:r>
      <w:r w:rsidR="00546CAB">
        <w:rPr>
          <w:rFonts w:ascii="Times New Roman" w:eastAsia="Times New Roman" w:hAnsi="Times New Roman" w:cs="Times New Roman"/>
          <w:sz w:val="24"/>
          <w:szCs w:val="20"/>
        </w:rPr>
        <w:t>The Hartmans filed exceptions to the Initial Decision on October 30, 2019.</w:t>
      </w:r>
    </w:p>
    <w:p w14:paraId="6C4FF239" w14:textId="77777777" w:rsidR="0022397D" w:rsidRDefault="0022397D" w:rsidP="004A21D4">
      <w:pPr>
        <w:tabs>
          <w:tab w:val="left" w:pos="0"/>
        </w:tabs>
        <w:spacing w:after="0" w:line="360" w:lineRule="auto"/>
        <w:jc w:val="both"/>
        <w:rPr>
          <w:rFonts w:ascii="Times New Roman" w:eastAsia="Times New Roman" w:hAnsi="Times New Roman" w:cs="Times New Roman"/>
          <w:sz w:val="24"/>
          <w:szCs w:val="20"/>
        </w:rPr>
      </w:pPr>
    </w:p>
    <w:p w14:paraId="371E8379" w14:textId="773B6CEF" w:rsidR="00436E31" w:rsidRDefault="0022397D" w:rsidP="004A21D4">
      <w:pPr>
        <w:tabs>
          <w:tab w:val="left" w:pos="0"/>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In its April 16, </w:t>
      </w:r>
      <w:r w:rsidR="009B402A">
        <w:rPr>
          <w:rFonts w:ascii="Times New Roman" w:eastAsia="Times New Roman" w:hAnsi="Times New Roman" w:cs="Times New Roman"/>
          <w:sz w:val="24"/>
          <w:szCs w:val="20"/>
        </w:rPr>
        <w:t>2020,</w:t>
      </w:r>
      <w:r>
        <w:rPr>
          <w:rFonts w:ascii="Times New Roman" w:eastAsia="Times New Roman" w:hAnsi="Times New Roman" w:cs="Times New Roman"/>
          <w:sz w:val="24"/>
          <w:szCs w:val="20"/>
        </w:rPr>
        <w:t xml:space="preserve"> Opinion and Order</w:t>
      </w:r>
      <w:r w:rsidR="006C2D30">
        <w:rPr>
          <w:rFonts w:ascii="Times New Roman" w:eastAsia="Times New Roman" w:hAnsi="Times New Roman" w:cs="Times New Roman"/>
          <w:sz w:val="24"/>
          <w:szCs w:val="20"/>
        </w:rPr>
        <w:t xml:space="preserve"> (April 2020 Order)</w:t>
      </w:r>
      <w:r>
        <w:rPr>
          <w:rFonts w:ascii="Times New Roman" w:eastAsia="Times New Roman" w:hAnsi="Times New Roman" w:cs="Times New Roman"/>
          <w:sz w:val="24"/>
          <w:szCs w:val="20"/>
        </w:rPr>
        <w:t>, the Commission granted in part and denied in part</w:t>
      </w:r>
      <w:r w:rsidR="00BD3AD1">
        <w:rPr>
          <w:rFonts w:ascii="Times New Roman" w:eastAsia="Times New Roman" w:hAnsi="Times New Roman" w:cs="Times New Roman"/>
          <w:sz w:val="24"/>
          <w:szCs w:val="20"/>
        </w:rPr>
        <w:t xml:space="preserve"> the Hartmans’ exceptions and remanded the proceeding to the Office of Administrative Law Judge for further proceedings consistent with </w:t>
      </w:r>
      <w:r w:rsidR="009E0418">
        <w:rPr>
          <w:rFonts w:ascii="Times New Roman" w:eastAsia="Times New Roman" w:hAnsi="Times New Roman" w:cs="Times New Roman"/>
          <w:sz w:val="24"/>
          <w:szCs w:val="20"/>
        </w:rPr>
        <w:t>its Order.</w:t>
      </w:r>
      <w:r w:rsidR="008F65CF">
        <w:rPr>
          <w:rFonts w:ascii="Times New Roman" w:eastAsia="Times New Roman" w:hAnsi="Times New Roman" w:cs="Times New Roman"/>
          <w:sz w:val="24"/>
          <w:szCs w:val="20"/>
        </w:rPr>
        <w:t xml:space="preserve">  In its Order, the Commission identified </w:t>
      </w:r>
      <w:r w:rsidR="002004B5">
        <w:rPr>
          <w:rFonts w:ascii="Times New Roman" w:eastAsia="Times New Roman" w:hAnsi="Times New Roman" w:cs="Times New Roman"/>
          <w:sz w:val="24"/>
          <w:szCs w:val="20"/>
        </w:rPr>
        <w:t xml:space="preserve">the allegations in the Complaint that were beyond the Commission’s </w:t>
      </w:r>
      <w:r w:rsidR="00175D14">
        <w:rPr>
          <w:rFonts w:ascii="Times New Roman" w:eastAsia="Times New Roman" w:hAnsi="Times New Roman" w:cs="Times New Roman"/>
          <w:sz w:val="24"/>
          <w:szCs w:val="20"/>
        </w:rPr>
        <w:t xml:space="preserve">jurisdiction, as well as the allegations that were </w:t>
      </w:r>
      <w:r w:rsidR="00436E31">
        <w:rPr>
          <w:rFonts w:ascii="Times New Roman" w:eastAsia="Times New Roman" w:hAnsi="Times New Roman" w:cs="Times New Roman"/>
          <w:sz w:val="24"/>
          <w:szCs w:val="20"/>
        </w:rPr>
        <w:t xml:space="preserve">the </w:t>
      </w:r>
      <w:r w:rsidR="00175D14">
        <w:rPr>
          <w:rFonts w:ascii="Times New Roman" w:eastAsia="Times New Roman" w:hAnsi="Times New Roman" w:cs="Times New Roman"/>
          <w:sz w:val="24"/>
          <w:szCs w:val="20"/>
        </w:rPr>
        <w:t>proper</w:t>
      </w:r>
      <w:r w:rsidR="00436E31">
        <w:rPr>
          <w:rFonts w:ascii="Times New Roman" w:eastAsia="Times New Roman" w:hAnsi="Times New Roman" w:cs="Times New Roman"/>
          <w:sz w:val="24"/>
          <w:szCs w:val="20"/>
        </w:rPr>
        <w:t xml:space="preserve"> subjects of further proceedings.</w:t>
      </w:r>
    </w:p>
    <w:p w14:paraId="17778383" w14:textId="77777777" w:rsidR="00436E31" w:rsidRDefault="00436E31" w:rsidP="004A21D4">
      <w:pPr>
        <w:tabs>
          <w:tab w:val="left" w:pos="0"/>
        </w:tabs>
        <w:spacing w:after="0" w:line="360" w:lineRule="auto"/>
        <w:jc w:val="both"/>
        <w:rPr>
          <w:rFonts w:ascii="Times New Roman" w:eastAsia="Times New Roman" w:hAnsi="Times New Roman" w:cs="Times New Roman"/>
          <w:sz w:val="24"/>
          <w:szCs w:val="20"/>
        </w:rPr>
      </w:pPr>
    </w:p>
    <w:p w14:paraId="6D6772FB" w14:textId="7D2EA846" w:rsidR="00DA2DD9" w:rsidRDefault="00436E31" w:rsidP="004A21D4">
      <w:pPr>
        <w:tabs>
          <w:tab w:val="left" w:pos="0"/>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A8797A">
        <w:rPr>
          <w:rFonts w:ascii="Times New Roman" w:eastAsia="Times New Roman" w:hAnsi="Times New Roman" w:cs="Times New Roman"/>
          <w:sz w:val="24"/>
          <w:szCs w:val="20"/>
        </w:rPr>
        <w:t>On February 17, 2021,</w:t>
      </w:r>
      <w:r w:rsidR="008114BD">
        <w:rPr>
          <w:rFonts w:ascii="Times New Roman" w:eastAsia="Times New Roman" w:hAnsi="Times New Roman" w:cs="Times New Roman"/>
          <w:sz w:val="24"/>
          <w:szCs w:val="20"/>
        </w:rPr>
        <w:t xml:space="preserve"> attorney Robert Young filed a Notice of Entry of Appearance on behalf of the Hartmans.  </w:t>
      </w:r>
      <w:r w:rsidR="00273DA5">
        <w:rPr>
          <w:rFonts w:ascii="Times New Roman" w:eastAsia="Times New Roman" w:hAnsi="Times New Roman" w:cs="Times New Roman"/>
          <w:sz w:val="24"/>
          <w:szCs w:val="20"/>
        </w:rPr>
        <w:t xml:space="preserve">On November 30, 2021, PPL </w:t>
      </w:r>
      <w:r w:rsidR="00D06547">
        <w:rPr>
          <w:rFonts w:ascii="Times New Roman" w:eastAsia="Times New Roman" w:hAnsi="Times New Roman" w:cs="Times New Roman"/>
          <w:sz w:val="24"/>
          <w:szCs w:val="20"/>
        </w:rPr>
        <w:t>filed a Praecipe for Withdrawal of attorney Kimberly Krupka</w:t>
      </w:r>
      <w:r w:rsidR="00383450">
        <w:rPr>
          <w:rFonts w:ascii="Times New Roman" w:eastAsia="Times New Roman" w:hAnsi="Times New Roman" w:cs="Times New Roman"/>
          <w:sz w:val="24"/>
          <w:szCs w:val="20"/>
        </w:rPr>
        <w:t xml:space="preserve">, and on December 1, 2021, </w:t>
      </w:r>
      <w:r w:rsidR="0000146D">
        <w:rPr>
          <w:rFonts w:ascii="Times New Roman" w:eastAsia="Times New Roman" w:hAnsi="Times New Roman" w:cs="Times New Roman"/>
          <w:sz w:val="24"/>
          <w:szCs w:val="20"/>
        </w:rPr>
        <w:t>PPL</w:t>
      </w:r>
      <w:r w:rsidR="00383450">
        <w:rPr>
          <w:rFonts w:ascii="Times New Roman" w:eastAsia="Times New Roman" w:hAnsi="Times New Roman" w:cs="Times New Roman"/>
          <w:sz w:val="24"/>
          <w:szCs w:val="20"/>
        </w:rPr>
        <w:t xml:space="preserve"> filed a Notice of </w:t>
      </w:r>
      <w:r w:rsidR="00420EF9">
        <w:rPr>
          <w:rFonts w:ascii="Times New Roman" w:eastAsia="Times New Roman" w:hAnsi="Times New Roman" w:cs="Times New Roman"/>
          <w:sz w:val="24"/>
          <w:szCs w:val="20"/>
        </w:rPr>
        <w:t>E</w:t>
      </w:r>
      <w:r w:rsidR="00383450">
        <w:rPr>
          <w:rFonts w:ascii="Times New Roman" w:eastAsia="Times New Roman" w:hAnsi="Times New Roman" w:cs="Times New Roman"/>
          <w:sz w:val="24"/>
          <w:szCs w:val="20"/>
        </w:rPr>
        <w:t>ntry of Appearance for Michael J. Shafer, Dev</w:t>
      </w:r>
      <w:r w:rsidR="008C7412">
        <w:rPr>
          <w:rFonts w:ascii="Times New Roman" w:eastAsia="Times New Roman" w:hAnsi="Times New Roman" w:cs="Times New Roman"/>
          <w:sz w:val="24"/>
          <w:szCs w:val="20"/>
        </w:rPr>
        <w:t>i</w:t>
      </w:r>
      <w:r w:rsidR="00383450">
        <w:rPr>
          <w:rFonts w:ascii="Times New Roman" w:eastAsia="Times New Roman" w:hAnsi="Times New Roman" w:cs="Times New Roman"/>
          <w:sz w:val="24"/>
          <w:szCs w:val="20"/>
        </w:rPr>
        <w:t xml:space="preserve">n T. </w:t>
      </w:r>
      <w:proofErr w:type="gramStart"/>
      <w:r w:rsidR="00383450">
        <w:rPr>
          <w:rFonts w:ascii="Times New Roman" w:eastAsia="Times New Roman" w:hAnsi="Times New Roman" w:cs="Times New Roman"/>
          <w:sz w:val="24"/>
          <w:szCs w:val="20"/>
        </w:rPr>
        <w:t>Ryan</w:t>
      </w:r>
      <w:proofErr w:type="gramEnd"/>
      <w:r w:rsidR="00383450">
        <w:rPr>
          <w:rFonts w:ascii="Times New Roman" w:eastAsia="Times New Roman" w:hAnsi="Times New Roman" w:cs="Times New Roman"/>
          <w:sz w:val="24"/>
          <w:szCs w:val="20"/>
        </w:rPr>
        <w:t xml:space="preserve"> and Nicholas A. Stobbe.</w:t>
      </w:r>
      <w:r w:rsidR="008C7412">
        <w:rPr>
          <w:rFonts w:ascii="Times New Roman" w:eastAsia="Times New Roman" w:hAnsi="Times New Roman" w:cs="Times New Roman"/>
          <w:sz w:val="24"/>
          <w:szCs w:val="20"/>
        </w:rPr>
        <w:t xml:space="preserve">  On March 1, 2022, attorney Robert </w:t>
      </w:r>
      <w:r w:rsidR="00CF59BD">
        <w:rPr>
          <w:rFonts w:ascii="Times New Roman" w:eastAsia="Times New Roman" w:hAnsi="Times New Roman" w:cs="Times New Roman"/>
          <w:sz w:val="24"/>
          <w:szCs w:val="20"/>
        </w:rPr>
        <w:t>Y</w:t>
      </w:r>
      <w:r w:rsidR="008C7412">
        <w:rPr>
          <w:rFonts w:ascii="Times New Roman" w:eastAsia="Times New Roman" w:hAnsi="Times New Roman" w:cs="Times New Roman"/>
          <w:sz w:val="24"/>
          <w:szCs w:val="20"/>
        </w:rPr>
        <w:t>oung filed a Notice of Withdrawal of Appearance</w:t>
      </w:r>
      <w:r w:rsidR="00E5270B">
        <w:rPr>
          <w:rFonts w:ascii="Times New Roman" w:eastAsia="Times New Roman" w:hAnsi="Times New Roman" w:cs="Times New Roman"/>
          <w:sz w:val="24"/>
          <w:szCs w:val="20"/>
        </w:rPr>
        <w:t xml:space="preserve"> on behalf of the Hartmans.  The Hartmans </w:t>
      </w:r>
      <w:r w:rsidR="004C5772">
        <w:rPr>
          <w:rFonts w:ascii="Times New Roman" w:eastAsia="Times New Roman" w:hAnsi="Times New Roman" w:cs="Times New Roman"/>
          <w:sz w:val="24"/>
          <w:szCs w:val="20"/>
        </w:rPr>
        <w:t xml:space="preserve">have </w:t>
      </w:r>
      <w:r w:rsidR="00E5270B">
        <w:rPr>
          <w:rFonts w:ascii="Times New Roman" w:eastAsia="Times New Roman" w:hAnsi="Times New Roman" w:cs="Times New Roman"/>
          <w:sz w:val="24"/>
          <w:szCs w:val="20"/>
        </w:rPr>
        <w:t xml:space="preserve">proceeded throughout the remainder on this proceeding on a </w:t>
      </w:r>
      <w:r w:rsidR="00CF59BD" w:rsidRPr="00CF59BD">
        <w:rPr>
          <w:rFonts w:ascii="Times New Roman" w:eastAsia="Times New Roman" w:hAnsi="Times New Roman" w:cs="Times New Roman"/>
          <w:i/>
          <w:iCs/>
          <w:sz w:val="24"/>
          <w:szCs w:val="20"/>
        </w:rPr>
        <w:t>p</w:t>
      </w:r>
      <w:r w:rsidR="00EA0C7D">
        <w:rPr>
          <w:rFonts w:ascii="Times New Roman" w:eastAsia="Times New Roman" w:hAnsi="Times New Roman" w:cs="Times New Roman"/>
          <w:i/>
          <w:iCs/>
          <w:sz w:val="24"/>
          <w:szCs w:val="20"/>
        </w:rPr>
        <w:t xml:space="preserve">ro se </w:t>
      </w:r>
      <w:r w:rsidR="00EA0C7D">
        <w:rPr>
          <w:rFonts w:ascii="Times New Roman" w:eastAsia="Times New Roman" w:hAnsi="Times New Roman" w:cs="Times New Roman"/>
          <w:sz w:val="24"/>
          <w:szCs w:val="20"/>
        </w:rPr>
        <w:t>basis.</w:t>
      </w:r>
    </w:p>
    <w:p w14:paraId="52351DE3" w14:textId="77777777" w:rsidR="00DA2DD9" w:rsidRDefault="00DA2DD9" w:rsidP="004A21D4">
      <w:pPr>
        <w:tabs>
          <w:tab w:val="left" w:pos="0"/>
        </w:tabs>
        <w:spacing w:after="0" w:line="360" w:lineRule="auto"/>
        <w:jc w:val="both"/>
        <w:rPr>
          <w:rFonts w:ascii="Times New Roman" w:eastAsia="Times New Roman" w:hAnsi="Times New Roman" w:cs="Times New Roman"/>
          <w:sz w:val="24"/>
          <w:szCs w:val="20"/>
        </w:rPr>
      </w:pPr>
    </w:p>
    <w:p w14:paraId="02B91978" w14:textId="49183050" w:rsidR="007E6668" w:rsidRDefault="00DA2DD9" w:rsidP="004A21D4">
      <w:pPr>
        <w:tabs>
          <w:tab w:val="left" w:pos="0"/>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Throughout </w:t>
      </w:r>
      <w:r w:rsidR="00064F06">
        <w:rPr>
          <w:rFonts w:ascii="Times New Roman" w:eastAsia="Times New Roman" w:hAnsi="Times New Roman" w:cs="Times New Roman"/>
          <w:sz w:val="24"/>
          <w:szCs w:val="20"/>
        </w:rPr>
        <w:t xml:space="preserve">and after </w:t>
      </w:r>
      <w:r>
        <w:rPr>
          <w:rFonts w:ascii="Times New Roman" w:eastAsia="Times New Roman" w:hAnsi="Times New Roman" w:cs="Times New Roman"/>
          <w:sz w:val="24"/>
          <w:szCs w:val="20"/>
        </w:rPr>
        <w:t xml:space="preserve">the </w:t>
      </w:r>
      <w:proofErr w:type="gramStart"/>
      <w:r>
        <w:rPr>
          <w:rFonts w:ascii="Times New Roman" w:eastAsia="Times New Roman" w:hAnsi="Times New Roman" w:cs="Times New Roman"/>
          <w:sz w:val="24"/>
          <w:szCs w:val="20"/>
        </w:rPr>
        <w:t>time period</w:t>
      </w:r>
      <w:proofErr w:type="gramEnd"/>
      <w:r>
        <w:rPr>
          <w:rFonts w:ascii="Times New Roman" w:eastAsia="Times New Roman" w:hAnsi="Times New Roman" w:cs="Times New Roman"/>
          <w:sz w:val="24"/>
          <w:szCs w:val="20"/>
        </w:rPr>
        <w:t xml:space="preserve"> </w:t>
      </w:r>
      <w:r w:rsidR="008A4878">
        <w:rPr>
          <w:rFonts w:ascii="Times New Roman" w:eastAsia="Times New Roman" w:hAnsi="Times New Roman" w:cs="Times New Roman"/>
          <w:sz w:val="24"/>
          <w:szCs w:val="20"/>
        </w:rPr>
        <w:t xml:space="preserve">during which the above-described </w:t>
      </w:r>
      <w:r w:rsidR="000E274C">
        <w:rPr>
          <w:rFonts w:ascii="Times New Roman" w:eastAsia="Times New Roman" w:hAnsi="Times New Roman" w:cs="Times New Roman"/>
          <w:sz w:val="24"/>
          <w:szCs w:val="20"/>
        </w:rPr>
        <w:t>events occurred, the parties engaged in discovery and settlement</w:t>
      </w:r>
      <w:r w:rsidR="0091255C">
        <w:rPr>
          <w:rFonts w:ascii="Times New Roman" w:eastAsia="Times New Roman" w:hAnsi="Times New Roman" w:cs="Times New Roman"/>
          <w:sz w:val="24"/>
          <w:szCs w:val="20"/>
        </w:rPr>
        <w:t xml:space="preserve"> discussions.  Several site visits occurred at the Hartmans’ property </w:t>
      </w:r>
      <w:r w:rsidR="00B44660">
        <w:rPr>
          <w:rFonts w:ascii="Times New Roman" w:eastAsia="Times New Roman" w:hAnsi="Times New Roman" w:cs="Times New Roman"/>
          <w:sz w:val="24"/>
          <w:szCs w:val="20"/>
        </w:rPr>
        <w:t>during</w:t>
      </w:r>
      <w:r w:rsidR="00911A12">
        <w:rPr>
          <w:rFonts w:ascii="Times New Roman" w:eastAsia="Times New Roman" w:hAnsi="Times New Roman" w:cs="Times New Roman"/>
          <w:sz w:val="24"/>
          <w:szCs w:val="20"/>
        </w:rPr>
        <w:t xml:space="preserve"> which the parties </w:t>
      </w:r>
      <w:r w:rsidR="00B44660">
        <w:rPr>
          <w:rFonts w:ascii="Times New Roman" w:eastAsia="Times New Roman" w:hAnsi="Times New Roman" w:cs="Times New Roman"/>
          <w:sz w:val="24"/>
          <w:szCs w:val="20"/>
        </w:rPr>
        <w:t xml:space="preserve">viewed the property and </w:t>
      </w:r>
      <w:r w:rsidR="00911A12">
        <w:rPr>
          <w:rFonts w:ascii="Times New Roman" w:eastAsia="Times New Roman" w:hAnsi="Times New Roman" w:cs="Times New Roman"/>
          <w:sz w:val="24"/>
          <w:szCs w:val="20"/>
        </w:rPr>
        <w:t>discuss</w:t>
      </w:r>
      <w:r w:rsidR="00B44660">
        <w:rPr>
          <w:rFonts w:ascii="Times New Roman" w:eastAsia="Times New Roman" w:hAnsi="Times New Roman" w:cs="Times New Roman"/>
          <w:sz w:val="24"/>
          <w:szCs w:val="20"/>
        </w:rPr>
        <w:t>ed</w:t>
      </w:r>
      <w:r w:rsidR="00911A12">
        <w:rPr>
          <w:rFonts w:ascii="Times New Roman" w:eastAsia="Times New Roman" w:hAnsi="Times New Roman" w:cs="Times New Roman"/>
          <w:sz w:val="24"/>
          <w:szCs w:val="20"/>
        </w:rPr>
        <w:t xml:space="preserve"> the Complaint.</w:t>
      </w:r>
      <w:r w:rsidR="00B376EC">
        <w:rPr>
          <w:rFonts w:ascii="Times New Roman" w:eastAsia="Times New Roman" w:hAnsi="Times New Roman" w:cs="Times New Roman"/>
          <w:sz w:val="24"/>
          <w:szCs w:val="20"/>
        </w:rPr>
        <w:t xml:space="preserve">  Both parties propounded Interrogatories </w:t>
      </w:r>
      <w:r w:rsidR="00C05D7B">
        <w:rPr>
          <w:rFonts w:ascii="Times New Roman" w:eastAsia="Times New Roman" w:hAnsi="Times New Roman" w:cs="Times New Roman"/>
          <w:sz w:val="24"/>
          <w:szCs w:val="20"/>
        </w:rPr>
        <w:t>and the Hartmans submitted requests for the issuance of subpoenas</w:t>
      </w:r>
      <w:r w:rsidR="00495545">
        <w:rPr>
          <w:rFonts w:ascii="Times New Roman" w:eastAsia="Times New Roman" w:hAnsi="Times New Roman" w:cs="Times New Roman"/>
          <w:sz w:val="24"/>
          <w:szCs w:val="20"/>
        </w:rPr>
        <w:t xml:space="preserve"> for various individuals.</w:t>
      </w:r>
      <w:r w:rsidR="00A13E42">
        <w:rPr>
          <w:rFonts w:ascii="Times New Roman" w:eastAsia="Times New Roman" w:hAnsi="Times New Roman" w:cs="Times New Roman"/>
          <w:sz w:val="24"/>
          <w:szCs w:val="20"/>
        </w:rPr>
        <w:t xml:space="preserve">  </w:t>
      </w:r>
      <w:r w:rsidR="004D4491">
        <w:rPr>
          <w:rFonts w:ascii="Times New Roman" w:eastAsia="Times New Roman" w:hAnsi="Times New Roman" w:cs="Times New Roman"/>
          <w:sz w:val="24"/>
          <w:szCs w:val="20"/>
        </w:rPr>
        <w:t>Various p</w:t>
      </w:r>
      <w:r w:rsidR="004522DE">
        <w:rPr>
          <w:rFonts w:ascii="Times New Roman" w:eastAsia="Times New Roman" w:hAnsi="Times New Roman" w:cs="Times New Roman"/>
          <w:sz w:val="24"/>
          <w:szCs w:val="20"/>
        </w:rPr>
        <w:t>rocedural issues arose</w:t>
      </w:r>
      <w:r w:rsidR="00F60C34">
        <w:rPr>
          <w:rFonts w:ascii="Times New Roman" w:eastAsia="Times New Roman" w:hAnsi="Times New Roman" w:cs="Times New Roman"/>
          <w:sz w:val="24"/>
          <w:szCs w:val="20"/>
        </w:rPr>
        <w:t xml:space="preserve"> at times throughout the course of this proceeding</w:t>
      </w:r>
      <w:r w:rsidR="00901161">
        <w:rPr>
          <w:rFonts w:ascii="Times New Roman" w:eastAsia="Times New Roman" w:hAnsi="Times New Roman" w:cs="Times New Roman"/>
          <w:sz w:val="24"/>
          <w:szCs w:val="20"/>
        </w:rPr>
        <w:t xml:space="preserve"> related to </w:t>
      </w:r>
      <w:r w:rsidR="004D4491">
        <w:rPr>
          <w:rFonts w:ascii="Times New Roman" w:eastAsia="Times New Roman" w:hAnsi="Times New Roman" w:cs="Times New Roman"/>
          <w:sz w:val="24"/>
          <w:szCs w:val="20"/>
        </w:rPr>
        <w:t>discovery</w:t>
      </w:r>
      <w:r w:rsidR="00901161">
        <w:rPr>
          <w:rFonts w:ascii="Times New Roman" w:eastAsia="Times New Roman" w:hAnsi="Times New Roman" w:cs="Times New Roman"/>
          <w:sz w:val="24"/>
          <w:szCs w:val="20"/>
        </w:rPr>
        <w:t xml:space="preserve"> requests propounded by the parties</w:t>
      </w:r>
      <w:r w:rsidR="00855FA6">
        <w:rPr>
          <w:rFonts w:ascii="Times New Roman" w:eastAsia="Times New Roman" w:hAnsi="Times New Roman" w:cs="Times New Roman"/>
          <w:sz w:val="24"/>
          <w:szCs w:val="20"/>
        </w:rPr>
        <w:t xml:space="preserve">.  </w:t>
      </w:r>
      <w:r w:rsidR="00186DFF">
        <w:rPr>
          <w:rFonts w:ascii="Times New Roman" w:eastAsia="Times New Roman" w:hAnsi="Times New Roman" w:cs="Times New Roman"/>
          <w:sz w:val="24"/>
          <w:szCs w:val="20"/>
        </w:rPr>
        <w:t>D</w:t>
      </w:r>
      <w:r w:rsidR="00415192">
        <w:rPr>
          <w:rFonts w:ascii="Times New Roman" w:eastAsia="Times New Roman" w:hAnsi="Times New Roman" w:cs="Times New Roman"/>
          <w:sz w:val="24"/>
          <w:szCs w:val="20"/>
        </w:rPr>
        <w:t>uring an informal</w:t>
      </w:r>
      <w:r w:rsidR="00E402D2">
        <w:rPr>
          <w:rFonts w:ascii="Times New Roman" w:eastAsia="Times New Roman" w:hAnsi="Times New Roman" w:cs="Times New Roman"/>
          <w:sz w:val="24"/>
          <w:szCs w:val="20"/>
        </w:rPr>
        <w:t xml:space="preserve">, off the record </w:t>
      </w:r>
      <w:r w:rsidR="00415192">
        <w:rPr>
          <w:rFonts w:ascii="Times New Roman" w:eastAsia="Times New Roman" w:hAnsi="Times New Roman" w:cs="Times New Roman"/>
          <w:sz w:val="24"/>
          <w:szCs w:val="20"/>
        </w:rPr>
        <w:t xml:space="preserve">call between the parties and I </w:t>
      </w:r>
      <w:r w:rsidR="00FC46E2">
        <w:rPr>
          <w:rFonts w:ascii="Times New Roman" w:eastAsia="Times New Roman" w:hAnsi="Times New Roman" w:cs="Times New Roman"/>
          <w:sz w:val="24"/>
          <w:szCs w:val="20"/>
        </w:rPr>
        <w:t xml:space="preserve">in </w:t>
      </w:r>
      <w:r w:rsidR="004403B8">
        <w:rPr>
          <w:rFonts w:ascii="Times New Roman" w:eastAsia="Times New Roman" w:hAnsi="Times New Roman" w:cs="Times New Roman"/>
          <w:sz w:val="24"/>
          <w:szCs w:val="20"/>
        </w:rPr>
        <w:t xml:space="preserve">early </w:t>
      </w:r>
      <w:r w:rsidR="00FC46E2">
        <w:rPr>
          <w:rFonts w:ascii="Times New Roman" w:eastAsia="Times New Roman" w:hAnsi="Times New Roman" w:cs="Times New Roman"/>
          <w:sz w:val="24"/>
          <w:szCs w:val="20"/>
        </w:rPr>
        <w:t xml:space="preserve">2022, </w:t>
      </w:r>
      <w:r w:rsidR="00C05371">
        <w:rPr>
          <w:rFonts w:ascii="Times New Roman" w:eastAsia="Times New Roman" w:hAnsi="Times New Roman" w:cs="Times New Roman"/>
          <w:sz w:val="24"/>
          <w:szCs w:val="20"/>
        </w:rPr>
        <w:t xml:space="preserve">I proposed and </w:t>
      </w:r>
      <w:r w:rsidR="00FC46E2">
        <w:rPr>
          <w:rFonts w:ascii="Times New Roman" w:eastAsia="Times New Roman" w:hAnsi="Times New Roman" w:cs="Times New Roman"/>
          <w:sz w:val="24"/>
          <w:szCs w:val="20"/>
        </w:rPr>
        <w:t>the parties agreed to “re-set” discovery</w:t>
      </w:r>
      <w:r w:rsidR="00380B88">
        <w:rPr>
          <w:rFonts w:ascii="Times New Roman" w:eastAsia="Times New Roman" w:hAnsi="Times New Roman" w:cs="Times New Roman"/>
          <w:sz w:val="24"/>
          <w:szCs w:val="20"/>
        </w:rPr>
        <w:t xml:space="preserve"> </w:t>
      </w:r>
      <w:r w:rsidR="00FB038F">
        <w:rPr>
          <w:rFonts w:ascii="Times New Roman" w:eastAsia="Times New Roman" w:hAnsi="Times New Roman" w:cs="Times New Roman"/>
          <w:sz w:val="24"/>
          <w:szCs w:val="20"/>
        </w:rPr>
        <w:t>in the case and re-issue</w:t>
      </w:r>
      <w:r w:rsidR="005B006D">
        <w:rPr>
          <w:rFonts w:ascii="Times New Roman" w:eastAsia="Times New Roman" w:hAnsi="Times New Roman" w:cs="Times New Roman"/>
          <w:sz w:val="24"/>
          <w:szCs w:val="20"/>
        </w:rPr>
        <w:t xml:space="preserve"> </w:t>
      </w:r>
      <w:r w:rsidR="006C5B2B">
        <w:rPr>
          <w:rFonts w:ascii="Times New Roman" w:eastAsia="Times New Roman" w:hAnsi="Times New Roman" w:cs="Times New Roman"/>
          <w:sz w:val="24"/>
          <w:szCs w:val="20"/>
        </w:rPr>
        <w:t>their various requests</w:t>
      </w:r>
      <w:r w:rsidR="00BB0943">
        <w:rPr>
          <w:rFonts w:ascii="Times New Roman" w:eastAsia="Times New Roman" w:hAnsi="Times New Roman" w:cs="Times New Roman"/>
          <w:sz w:val="24"/>
          <w:szCs w:val="20"/>
        </w:rPr>
        <w:t xml:space="preserve"> in order to </w:t>
      </w:r>
      <w:r w:rsidR="00664959">
        <w:rPr>
          <w:rFonts w:ascii="Times New Roman" w:eastAsia="Times New Roman" w:hAnsi="Times New Roman" w:cs="Times New Roman"/>
          <w:sz w:val="24"/>
          <w:szCs w:val="20"/>
        </w:rPr>
        <w:t xml:space="preserve">overcome and rectify any </w:t>
      </w:r>
      <w:r w:rsidR="00794242">
        <w:rPr>
          <w:rFonts w:ascii="Times New Roman" w:eastAsia="Times New Roman" w:hAnsi="Times New Roman" w:cs="Times New Roman"/>
          <w:sz w:val="24"/>
          <w:szCs w:val="20"/>
        </w:rPr>
        <w:t>p</w:t>
      </w:r>
      <w:r w:rsidR="004403B8">
        <w:rPr>
          <w:rFonts w:ascii="Times New Roman" w:eastAsia="Times New Roman" w:hAnsi="Times New Roman" w:cs="Times New Roman"/>
          <w:sz w:val="24"/>
          <w:szCs w:val="20"/>
        </w:rPr>
        <w:t>rior</w:t>
      </w:r>
      <w:r w:rsidR="00794242">
        <w:rPr>
          <w:rFonts w:ascii="Times New Roman" w:eastAsia="Times New Roman" w:hAnsi="Times New Roman" w:cs="Times New Roman"/>
          <w:sz w:val="24"/>
          <w:szCs w:val="20"/>
        </w:rPr>
        <w:t xml:space="preserve"> </w:t>
      </w:r>
      <w:r w:rsidR="00664959">
        <w:rPr>
          <w:rFonts w:ascii="Times New Roman" w:eastAsia="Times New Roman" w:hAnsi="Times New Roman" w:cs="Times New Roman"/>
          <w:sz w:val="24"/>
          <w:szCs w:val="20"/>
        </w:rPr>
        <w:t xml:space="preserve">procedural </w:t>
      </w:r>
      <w:r w:rsidR="00BA6201">
        <w:rPr>
          <w:rFonts w:ascii="Times New Roman" w:eastAsia="Times New Roman" w:hAnsi="Times New Roman" w:cs="Times New Roman"/>
          <w:sz w:val="24"/>
          <w:szCs w:val="20"/>
        </w:rPr>
        <w:t xml:space="preserve">issues or </w:t>
      </w:r>
      <w:r w:rsidR="00664959">
        <w:rPr>
          <w:rFonts w:ascii="Times New Roman" w:eastAsia="Times New Roman" w:hAnsi="Times New Roman" w:cs="Times New Roman"/>
          <w:sz w:val="24"/>
          <w:szCs w:val="20"/>
        </w:rPr>
        <w:t>defects</w:t>
      </w:r>
      <w:r w:rsidR="00A05D66">
        <w:rPr>
          <w:rFonts w:ascii="Times New Roman" w:eastAsia="Times New Roman" w:hAnsi="Times New Roman" w:cs="Times New Roman"/>
          <w:sz w:val="24"/>
          <w:szCs w:val="20"/>
        </w:rPr>
        <w:t>.</w:t>
      </w:r>
      <w:r w:rsidR="008E5D45">
        <w:rPr>
          <w:rFonts w:ascii="Times New Roman" w:eastAsia="Times New Roman" w:hAnsi="Times New Roman" w:cs="Times New Roman"/>
          <w:sz w:val="24"/>
          <w:szCs w:val="20"/>
        </w:rPr>
        <w:t xml:space="preserve">  </w:t>
      </w:r>
      <w:r w:rsidR="00F571D1">
        <w:rPr>
          <w:rFonts w:ascii="Times New Roman" w:eastAsia="Times New Roman" w:hAnsi="Times New Roman" w:cs="Times New Roman"/>
          <w:sz w:val="24"/>
          <w:szCs w:val="20"/>
        </w:rPr>
        <w:t xml:space="preserve">The Hartmans and PPL discussed </w:t>
      </w:r>
      <w:r w:rsidR="0023124C">
        <w:rPr>
          <w:rFonts w:ascii="Times New Roman" w:eastAsia="Times New Roman" w:hAnsi="Times New Roman" w:cs="Times New Roman"/>
          <w:sz w:val="24"/>
          <w:szCs w:val="20"/>
        </w:rPr>
        <w:t xml:space="preserve">the </w:t>
      </w:r>
      <w:r w:rsidR="00B9763E">
        <w:rPr>
          <w:rFonts w:ascii="Times New Roman" w:eastAsia="Times New Roman" w:hAnsi="Times New Roman" w:cs="Times New Roman"/>
          <w:sz w:val="24"/>
          <w:szCs w:val="20"/>
        </w:rPr>
        <w:t>interrogatories</w:t>
      </w:r>
      <w:r w:rsidR="0023124C">
        <w:rPr>
          <w:rFonts w:ascii="Times New Roman" w:eastAsia="Times New Roman" w:hAnsi="Times New Roman" w:cs="Times New Roman"/>
          <w:sz w:val="24"/>
          <w:szCs w:val="20"/>
        </w:rPr>
        <w:t xml:space="preserve"> that had been previously propounded by the Hartmans and </w:t>
      </w:r>
      <w:r w:rsidR="00646DCF">
        <w:rPr>
          <w:rFonts w:ascii="Times New Roman" w:eastAsia="Times New Roman" w:hAnsi="Times New Roman" w:cs="Times New Roman"/>
          <w:sz w:val="24"/>
          <w:szCs w:val="20"/>
        </w:rPr>
        <w:t xml:space="preserve">resolved </w:t>
      </w:r>
      <w:r w:rsidR="00843EA3">
        <w:rPr>
          <w:rFonts w:ascii="Times New Roman" w:eastAsia="Times New Roman" w:hAnsi="Times New Roman" w:cs="Times New Roman"/>
          <w:sz w:val="24"/>
          <w:szCs w:val="20"/>
        </w:rPr>
        <w:t xml:space="preserve">any issues related to PPL’s </w:t>
      </w:r>
      <w:r w:rsidR="003B72BB">
        <w:rPr>
          <w:rFonts w:ascii="Times New Roman" w:eastAsia="Times New Roman" w:hAnsi="Times New Roman" w:cs="Times New Roman"/>
          <w:sz w:val="24"/>
          <w:szCs w:val="20"/>
        </w:rPr>
        <w:t>a</w:t>
      </w:r>
      <w:r w:rsidR="00843EA3">
        <w:rPr>
          <w:rFonts w:ascii="Times New Roman" w:eastAsia="Times New Roman" w:hAnsi="Times New Roman" w:cs="Times New Roman"/>
          <w:sz w:val="24"/>
          <w:szCs w:val="20"/>
        </w:rPr>
        <w:t xml:space="preserve">nswers, culminating in my receiving an e-mail from </w:t>
      </w:r>
      <w:r w:rsidR="003B72BB">
        <w:rPr>
          <w:rFonts w:ascii="Times New Roman" w:eastAsia="Times New Roman" w:hAnsi="Times New Roman" w:cs="Times New Roman"/>
          <w:sz w:val="24"/>
          <w:szCs w:val="20"/>
        </w:rPr>
        <w:t xml:space="preserve">PPL’s counsel on April 25, 2022, in which he informed me that Mr. Hartman </w:t>
      </w:r>
      <w:r w:rsidR="007B1E3D">
        <w:rPr>
          <w:rFonts w:ascii="Times New Roman" w:eastAsia="Times New Roman" w:hAnsi="Times New Roman" w:cs="Times New Roman"/>
          <w:sz w:val="24"/>
          <w:szCs w:val="20"/>
        </w:rPr>
        <w:t>indicated he would not be filing a Motion to Compel.</w:t>
      </w:r>
    </w:p>
    <w:p w14:paraId="71F951BD" w14:textId="77777777" w:rsidR="007E6668" w:rsidRDefault="007E6668" w:rsidP="004A21D4">
      <w:pPr>
        <w:tabs>
          <w:tab w:val="left" w:pos="0"/>
        </w:tabs>
        <w:spacing w:after="0" w:line="360" w:lineRule="auto"/>
        <w:jc w:val="both"/>
        <w:rPr>
          <w:rFonts w:ascii="Times New Roman" w:eastAsia="Times New Roman" w:hAnsi="Times New Roman" w:cs="Times New Roman"/>
          <w:sz w:val="24"/>
          <w:szCs w:val="20"/>
        </w:rPr>
      </w:pPr>
    </w:p>
    <w:p w14:paraId="1CF812E8" w14:textId="69BA7DE2" w:rsidR="00626AD6" w:rsidRDefault="007E6668" w:rsidP="004A21D4">
      <w:pPr>
        <w:tabs>
          <w:tab w:val="left" w:pos="0"/>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ab/>
      </w:r>
      <w:r>
        <w:rPr>
          <w:rFonts w:ascii="Times New Roman" w:eastAsia="Times New Roman" w:hAnsi="Times New Roman" w:cs="Times New Roman"/>
          <w:sz w:val="24"/>
          <w:szCs w:val="20"/>
        </w:rPr>
        <w:tab/>
      </w:r>
      <w:r w:rsidR="005943C9">
        <w:rPr>
          <w:rFonts w:ascii="Times New Roman" w:eastAsia="Times New Roman" w:hAnsi="Times New Roman" w:cs="Times New Roman"/>
          <w:sz w:val="24"/>
          <w:szCs w:val="20"/>
        </w:rPr>
        <w:t>Following the discovery “re-set,” t</w:t>
      </w:r>
      <w:r>
        <w:rPr>
          <w:rFonts w:ascii="Times New Roman" w:eastAsia="Times New Roman" w:hAnsi="Times New Roman" w:cs="Times New Roman"/>
          <w:sz w:val="24"/>
          <w:szCs w:val="20"/>
        </w:rPr>
        <w:t>he Hartmans</w:t>
      </w:r>
      <w:r w:rsidR="005943C9">
        <w:rPr>
          <w:rFonts w:ascii="Times New Roman" w:eastAsia="Times New Roman" w:hAnsi="Times New Roman" w:cs="Times New Roman"/>
          <w:sz w:val="24"/>
          <w:szCs w:val="20"/>
        </w:rPr>
        <w:t xml:space="preserve"> again</w:t>
      </w:r>
      <w:r w:rsidR="001F699D">
        <w:rPr>
          <w:rFonts w:ascii="Times New Roman" w:eastAsia="Times New Roman" w:hAnsi="Times New Roman" w:cs="Times New Roman"/>
          <w:sz w:val="24"/>
          <w:szCs w:val="20"/>
        </w:rPr>
        <w:t xml:space="preserve"> submitted requests for subpoenas for a number of individuals.  </w:t>
      </w:r>
      <w:r w:rsidR="003B428E">
        <w:rPr>
          <w:rFonts w:ascii="Times New Roman" w:eastAsia="Times New Roman" w:hAnsi="Times New Roman" w:cs="Times New Roman"/>
          <w:sz w:val="24"/>
          <w:szCs w:val="20"/>
        </w:rPr>
        <w:t xml:space="preserve">These requests were sent to PPL and I but </w:t>
      </w:r>
      <w:r w:rsidR="00F82E54">
        <w:rPr>
          <w:rFonts w:ascii="Times New Roman" w:eastAsia="Times New Roman" w:hAnsi="Times New Roman" w:cs="Times New Roman"/>
          <w:sz w:val="24"/>
          <w:szCs w:val="20"/>
        </w:rPr>
        <w:t xml:space="preserve">were </w:t>
      </w:r>
      <w:r w:rsidR="003B428E">
        <w:rPr>
          <w:rFonts w:ascii="Times New Roman" w:eastAsia="Times New Roman" w:hAnsi="Times New Roman" w:cs="Times New Roman"/>
          <w:sz w:val="24"/>
          <w:szCs w:val="20"/>
        </w:rPr>
        <w:t xml:space="preserve">not served on the </w:t>
      </w:r>
      <w:r w:rsidR="00BB440C">
        <w:rPr>
          <w:rFonts w:ascii="Times New Roman" w:eastAsia="Times New Roman" w:hAnsi="Times New Roman" w:cs="Times New Roman"/>
          <w:sz w:val="24"/>
          <w:szCs w:val="20"/>
        </w:rPr>
        <w:t>individual subjects of the requests</w:t>
      </w:r>
      <w:r w:rsidR="00492D89">
        <w:rPr>
          <w:rFonts w:ascii="Times New Roman" w:eastAsia="Times New Roman" w:hAnsi="Times New Roman" w:cs="Times New Roman"/>
          <w:sz w:val="24"/>
          <w:szCs w:val="20"/>
        </w:rPr>
        <w:t xml:space="preserve"> as required by the Commission’s regulations</w:t>
      </w:r>
      <w:r w:rsidR="00BB440C">
        <w:rPr>
          <w:rFonts w:ascii="Times New Roman" w:eastAsia="Times New Roman" w:hAnsi="Times New Roman" w:cs="Times New Roman"/>
          <w:sz w:val="24"/>
          <w:szCs w:val="20"/>
        </w:rPr>
        <w:t xml:space="preserve">.  </w:t>
      </w:r>
      <w:r w:rsidR="000A5C4D">
        <w:rPr>
          <w:rFonts w:ascii="Times New Roman" w:eastAsia="Times New Roman" w:hAnsi="Times New Roman" w:cs="Times New Roman"/>
          <w:sz w:val="24"/>
          <w:szCs w:val="20"/>
        </w:rPr>
        <w:t xml:space="preserve">By e-mail to the parties dated May 17, 2022, I informed </w:t>
      </w:r>
      <w:r w:rsidR="003D22AE">
        <w:rPr>
          <w:rFonts w:ascii="Times New Roman" w:eastAsia="Times New Roman" w:hAnsi="Times New Roman" w:cs="Times New Roman"/>
          <w:sz w:val="24"/>
          <w:szCs w:val="20"/>
        </w:rPr>
        <w:t xml:space="preserve">Mr. Hartman that his subpoena requests </w:t>
      </w:r>
      <w:r w:rsidR="009E5C9A">
        <w:rPr>
          <w:rFonts w:ascii="Times New Roman" w:eastAsia="Times New Roman" w:hAnsi="Times New Roman" w:cs="Times New Roman"/>
          <w:sz w:val="24"/>
          <w:szCs w:val="20"/>
        </w:rPr>
        <w:t xml:space="preserve">had not been served properly and instructed him that </w:t>
      </w:r>
      <w:r w:rsidR="009446A2">
        <w:rPr>
          <w:rFonts w:ascii="Times New Roman" w:eastAsia="Times New Roman" w:hAnsi="Times New Roman" w:cs="Times New Roman"/>
          <w:sz w:val="24"/>
          <w:szCs w:val="20"/>
        </w:rPr>
        <w:t>both PPL and the individuals who were the subject of the subpoenas had to be served</w:t>
      </w:r>
      <w:r w:rsidR="007A67D7">
        <w:rPr>
          <w:rFonts w:ascii="Times New Roman" w:eastAsia="Times New Roman" w:hAnsi="Times New Roman" w:cs="Times New Roman"/>
          <w:sz w:val="24"/>
          <w:szCs w:val="20"/>
        </w:rPr>
        <w:t>.</w:t>
      </w:r>
      <w:r w:rsidR="00BB440C">
        <w:rPr>
          <w:rFonts w:ascii="Times New Roman" w:eastAsia="Times New Roman" w:hAnsi="Times New Roman" w:cs="Times New Roman"/>
          <w:sz w:val="24"/>
          <w:szCs w:val="20"/>
        </w:rPr>
        <w:t xml:space="preserve">  </w:t>
      </w:r>
      <w:r w:rsidR="00BD4A24">
        <w:rPr>
          <w:rFonts w:ascii="Times New Roman" w:eastAsia="Times New Roman" w:hAnsi="Times New Roman" w:cs="Times New Roman"/>
          <w:sz w:val="24"/>
          <w:szCs w:val="20"/>
        </w:rPr>
        <w:t>Proper s</w:t>
      </w:r>
      <w:r w:rsidR="00706B42">
        <w:rPr>
          <w:rFonts w:ascii="Times New Roman" w:eastAsia="Times New Roman" w:hAnsi="Times New Roman" w:cs="Times New Roman"/>
          <w:sz w:val="24"/>
          <w:szCs w:val="20"/>
        </w:rPr>
        <w:t xml:space="preserve">ubpoenas </w:t>
      </w:r>
      <w:r w:rsidR="008F13BB">
        <w:rPr>
          <w:rFonts w:ascii="Times New Roman" w:eastAsia="Times New Roman" w:hAnsi="Times New Roman" w:cs="Times New Roman"/>
          <w:sz w:val="24"/>
          <w:szCs w:val="20"/>
        </w:rPr>
        <w:t xml:space="preserve">applications </w:t>
      </w:r>
      <w:r w:rsidR="00C25BA2">
        <w:rPr>
          <w:rFonts w:ascii="Times New Roman" w:eastAsia="Times New Roman" w:hAnsi="Times New Roman" w:cs="Times New Roman"/>
          <w:sz w:val="24"/>
          <w:szCs w:val="20"/>
        </w:rPr>
        <w:t>were n</w:t>
      </w:r>
      <w:r w:rsidR="00BD4A24">
        <w:rPr>
          <w:rFonts w:ascii="Times New Roman" w:eastAsia="Times New Roman" w:hAnsi="Times New Roman" w:cs="Times New Roman"/>
          <w:sz w:val="24"/>
          <w:szCs w:val="20"/>
        </w:rPr>
        <w:t>ot subsequently</w:t>
      </w:r>
      <w:r w:rsidR="00C25BA2">
        <w:rPr>
          <w:rFonts w:ascii="Times New Roman" w:eastAsia="Times New Roman" w:hAnsi="Times New Roman" w:cs="Times New Roman"/>
          <w:sz w:val="24"/>
          <w:szCs w:val="20"/>
        </w:rPr>
        <w:t xml:space="preserve"> </w:t>
      </w:r>
      <w:r w:rsidR="008F13BB">
        <w:rPr>
          <w:rFonts w:ascii="Times New Roman" w:eastAsia="Times New Roman" w:hAnsi="Times New Roman" w:cs="Times New Roman"/>
          <w:sz w:val="24"/>
          <w:szCs w:val="20"/>
        </w:rPr>
        <w:t xml:space="preserve">submitted </w:t>
      </w:r>
      <w:r w:rsidR="00C25BA2">
        <w:rPr>
          <w:rFonts w:ascii="Times New Roman" w:eastAsia="Times New Roman" w:hAnsi="Times New Roman" w:cs="Times New Roman"/>
          <w:sz w:val="24"/>
          <w:szCs w:val="20"/>
        </w:rPr>
        <w:t xml:space="preserve">for the subject individuals.  </w:t>
      </w:r>
      <w:r w:rsidR="00287890">
        <w:rPr>
          <w:rFonts w:ascii="Times New Roman" w:eastAsia="Times New Roman" w:hAnsi="Times New Roman" w:cs="Times New Roman"/>
          <w:sz w:val="24"/>
          <w:szCs w:val="20"/>
        </w:rPr>
        <w:t xml:space="preserve">   </w:t>
      </w:r>
    </w:p>
    <w:p w14:paraId="58E5E3DD" w14:textId="77777777" w:rsidR="00626AD6" w:rsidRDefault="00626AD6" w:rsidP="004A21D4">
      <w:pPr>
        <w:tabs>
          <w:tab w:val="left" w:pos="0"/>
        </w:tabs>
        <w:spacing w:after="0" w:line="360" w:lineRule="auto"/>
        <w:jc w:val="both"/>
        <w:rPr>
          <w:rFonts w:ascii="Times New Roman" w:eastAsia="Times New Roman" w:hAnsi="Times New Roman" w:cs="Times New Roman"/>
          <w:sz w:val="24"/>
          <w:szCs w:val="20"/>
        </w:rPr>
      </w:pPr>
    </w:p>
    <w:p w14:paraId="5A97DDB3" w14:textId="61719135" w:rsidR="00347B48" w:rsidRDefault="00626AD6" w:rsidP="004A21D4">
      <w:pPr>
        <w:tabs>
          <w:tab w:val="left" w:pos="0"/>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911609">
        <w:rPr>
          <w:rFonts w:ascii="Times New Roman" w:eastAsia="Times New Roman" w:hAnsi="Times New Roman" w:cs="Times New Roman"/>
          <w:sz w:val="24"/>
          <w:szCs w:val="20"/>
        </w:rPr>
        <w:t xml:space="preserve">Pursuant to </w:t>
      </w:r>
      <w:r w:rsidR="00C25BA2">
        <w:rPr>
          <w:rFonts w:ascii="Times New Roman" w:eastAsia="Times New Roman" w:hAnsi="Times New Roman" w:cs="Times New Roman"/>
          <w:sz w:val="24"/>
          <w:szCs w:val="20"/>
        </w:rPr>
        <w:t>a</w:t>
      </w:r>
      <w:r w:rsidR="00D37FCA">
        <w:rPr>
          <w:rFonts w:ascii="Times New Roman" w:eastAsia="Times New Roman" w:hAnsi="Times New Roman" w:cs="Times New Roman"/>
          <w:sz w:val="24"/>
          <w:szCs w:val="20"/>
        </w:rPr>
        <w:t xml:space="preserve"> procedural schedule </w:t>
      </w:r>
      <w:r w:rsidR="00951629">
        <w:rPr>
          <w:rFonts w:ascii="Times New Roman" w:eastAsia="Times New Roman" w:hAnsi="Times New Roman" w:cs="Times New Roman"/>
          <w:sz w:val="24"/>
          <w:szCs w:val="20"/>
        </w:rPr>
        <w:t xml:space="preserve">established </w:t>
      </w:r>
      <w:r w:rsidR="00D37FCA">
        <w:rPr>
          <w:rFonts w:ascii="Times New Roman" w:eastAsia="Times New Roman" w:hAnsi="Times New Roman" w:cs="Times New Roman"/>
          <w:sz w:val="24"/>
          <w:szCs w:val="20"/>
        </w:rPr>
        <w:t xml:space="preserve">by the parties, </w:t>
      </w:r>
      <w:r w:rsidR="007E79C4">
        <w:rPr>
          <w:rFonts w:ascii="Times New Roman" w:eastAsia="Times New Roman" w:hAnsi="Times New Roman" w:cs="Times New Roman"/>
          <w:sz w:val="24"/>
          <w:szCs w:val="20"/>
        </w:rPr>
        <w:t xml:space="preserve">evidentiary hearings were </w:t>
      </w:r>
      <w:r w:rsidR="007116D5">
        <w:rPr>
          <w:rFonts w:ascii="Times New Roman" w:eastAsia="Times New Roman" w:hAnsi="Times New Roman" w:cs="Times New Roman"/>
          <w:sz w:val="24"/>
          <w:szCs w:val="20"/>
        </w:rPr>
        <w:t>s</w:t>
      </w:r>
      <w:r w:rsidR="007E79C4">
        <w:rPr>
          <w:rFonts w:ascii="Times New Roman" w:eastAsia="Times New Roman" w:hAnsi="Times New Roman" w:cs="Times New Roman"/>
          <w:sz w:val="24"/>
          <w:szCs w:val="20"/>
        </w:rPr>
        <w:t xml:space="preserve">cheduled for </w:t>
      </w:r>
      <w:r w:rsidR="007116D5">
        <w:rPr>
          <w:rFonts w:ascii="Times New Roman" w:eastAsia="Times New Roman" w:hAnsi="Times New Roman" w:cs="Times New Roman"/>
          <w:sz w:val="24"/>
          <w:szCs w:val="20"/>
        </w:rPr>
        <w:t>August 16-17, 2022.  T</w:t>
      </w:r>
      <w:r w:rsidR="00D37FCA">
        <w:rPr>
          <w:rFonts w:ascii="Times New Roman" w:eastAsia="Times New Roman" w:hAnsi="Times New Roman" w:cs="Times New Roman"/>
          <w:sz w:val="24"/>
          <w:szCs w:val="20"/>
        </w:rPr>
        <w:t xml:space="preserve">he Hartmans served their </w:t>
      </w:r>
      <w:r w:rsidR="007E79C4">
        <w:rPr>
          <w:rFonts w:ascii="Times New Roman" w:eastAsia="Times New Roman" w:hAnsi="Times New Roman" w:cs="Times New Roman"/>
          <w:sz w:val="24"/>
          <w:szCs w:val="20"/>
        </w:rPr>
        <w:t xml:space="preserve">written </w:t>
      </w:r>
      <w:r w:rsidR="00D37FCA">
        <w:rPr>
          <w:rFonts w:ascii="Times New Roman" w:eastAsia="Times New Roman" w:hAnsi="Times New Roman" w:cs="Times New Roman"/>
          <w:sz w:val="24"/>
          <w:szCs w:val="20"/>
        </w:rPr>
        <w:t xml:space="preserve">direct testimony </w:t>
      </w:r>
      <w:r w:rsidR="007E79C4">
        <w:rPr>
          <w:rFonts w:ascii="Times New Roman" w:eastAsia="Times New Roman" w:hAnsi="Times New Roman" w:cs="Times New Roman"/>
          <w:sz w:val="24"/>
          <w:szCs w:val="20"/>
        </w:rPr>
        <w:t xml:space="preserve">and exhibits on </w:t>
      </w:r>
      <w:r w:rsidR="007116D5">
        <w:rPr>
          <w:rFonts w:ascii="Times New Roman" w:eastAsia="Times New Roman" w:hAnsi="Times New Roman" w:cs="Times New Roman"/>
          <w:sz w:val="24"/>
          <w:szCs w:val="20"/>
        </w:rPr>
        <w:t>May 17, 2022</w:t>
      </w:r>
      <w:r w:rsidR="00025ED2">
        <w:rPr>
          <w:rFonts w:ascii="Times New Roman" w:eastAsia="Times New Roman" w:hAnsi="Times New Roman" w:cs="Times New Roman"/>
          <w:sz w:val="24"/>
          <w:szCs w:val="20"/>
        </w:rPr>
        <w:t>.</w:t>
      </w:r>
      <w:r w:rsidR="00C13078">
        <w:rPr>
          <w:rStyle w:val="FootnoteReference"/>
          <w:rFonts w:ascii="Times New Roman" w:eastAsia="Times New Roman" w:hAnsi="Times New Roman" w:cs="Times New Roman"/>
          <w:sz w:val="24"/>
          <w:szCs w:val="20"/>
        </w:rPr>
        <w:footnoteReference w:id="1"/>
      </w:r>
      <w:r w:rsidR="00025ED2">
        <w:rPr>
          <w:rFonts w:ascii="Times New Roman" w:eastAsia="Times New Roman" w:hAnsi="Times New Roman" w:cs="Times New Roman"/>
          <w:sz w:val="24"/>
          <w:szCs w:val="20"/>
        </w:rPr>
        <w:t xml:space="preserve">  On July 8, 2022, PPL served its written rebuttal testimony and exhibits</w:t>
      </w:r>
      <w:r w:rsidR="00535E9B">
        <w:rPr>
          <w:rFonts w:ascii="Times New Roman" w:eastAsia="Times New Roman" w:hAnsi="Times New Roman" w:cs="Times New Roman"/>
          <w:sz w:val="24"/>
          <w:szCs w:val="20"/>
        </w:rPr>
        <w:t xml:space="preserve">.  </w:t>
      </w:r>
      <w:r w:rsidR="00902374">
        <w:rPr>
          <w:rFonts w:ascii="Times New Roman" w:eastAsia="Times New Roman" w:hAnsi="Times New Roman" w:cs="Times New Roman"/>
          <w:sz w:val="24"/>
          <w:szCs w:val="20"/>
        </w:rPr>
        <w:t>By e-mail dated July 13, 2022, t</w:t>
      </w:r>
      <w:r w:rsidR="00535E9B">
        <w:rPr>
          <w:rFonts w:ascii="Times New Roman" w:eastAsia="Times New Roman" w:hAnsi="Times New Roman" w:cs="Times New Roman"/>
          <w:sz w:val="24"/>
          <w:szCs w:val="20"/>
        </w:rPr>
        <w:t xml:space="preserve">he Hartmans </w:t>
      </w:r>
      <w:r w:rsidR="00902374">
        <w:rPr>
          <w:rFonts w:ascii="Times New Roman" w:eastAsia="Times New Roman" w:hAnsi="Times New Roman" w:cs="Times New Roman"/>
          <w:sz w:val="24"/>
          <w:szCs w:val="20"/>
        </w:rPr>
        <w:t xml:space="preserve">indicated that they did not intend to serve </w:t>
      </w:r>
      <w:r w:rsidR="00E479F4">
        <w:rPr>
          <w:rFonts w:ascii="Times New Roman" w:eastAsia="Times New Roman" w:hAnsi="Times New Roman" w:cs="Times New Roman"/>
          <w:sz w:val="24"/>
          <w:szCs w:val="20"/>
        </w:rPr>
        <w:t>s</w:t>
      </w:r>
      <w:r w:rsidR="00535E9B">
        <w:rPr>
          <w:rFonts w:ascii="Times New Roman" w:eastAsia="Times New Roman" w:hAnsi="Times New Roman" w:cs="Times New Roman"/>
          <w:sz w:val="24"/>
          <w:szCs w:val="20"/>
        </w:rPr>
        <w:t>urrebuttal testimony.</w:t>
      </w:r>
      <w:r w:rsidR="007644BB">
        <w:rPr>
          <w:rFonts w:ascii="Times New Roman" w:eastAsia="Times New Roman" w:hAnsi="Times New Roman" w:cs="Times New Roman"/>
          <w:sz w:val="24"/>
          <w:szCs w:val="20"/>
        </w:rPr>
        <w:t xml:space="preserve">  Additional proposed exhibits were served by the parties</w:t>
      </w:r>
      <w:r w:rsidR="00894C9F">
        <w:rPr>
          <w:rFonts w:ascii="Times New Roman" w:eastAsia="Times New Roman" w:hAnsi="Times New Roman" w:cs="Times New Roman"/>
          <w:sz w:val="24"/>
          <w:szCs w:val="20"/>
        </w:rPr>
        <w:t xml:space="preserve"> and evidentiary hearings were held</w:t>
      </w:r>
      <w:r w:rsidR="00E771DB">
        <w:rPr>
          <w:rFonts w:ascii="Times New Roman" w:eastAsia="Times New Roman" w:hAnsi="Times New Roman" w:cs="Times New Roman"/>
          <w:sz w:val="24"/>
          <w:szCs w:val="20"/>
        </w:rPr>
        <w:t xml:space="preserve">, as scheduled, </w:t>
      </w:r>
      <w:r w:rsidR="00894C9F">
        <w:rPr>
          <w:rFonts w:ascii="Times New Roman" w:eastAsia="Times New Roman" w:hAnsi="Times New Roman" w:cs="Times New Roman"/>
          <w:sz w:val="24"/>
          <w:szCs w:val="20"/>
        </w:rPr>
        <w:t xml:space="preserve">on </w:t>
      </w:r>
      <w:r w:rsidR="00E771DB">
        <w:rPr>
          <w:rFonts w:ascii="Times New Roman" w:eastAsia="Times New Roman" w:hAnsi="Times New Roman" w:cs="Times New Roman"/>
          <w:sz w:val="24"/>
          <w:szCs w:val="20"/>
        </w:rPr>
        <w:t>August 16-17, 2022</w:t>
      </w:r>
      <w:r w:rsidR="00A2060C">
        <w:rPr>
          <w:rFonts w:ascii="Times New Roman" w:eastAsia="Times New Roman" w:hAnsi="Times New Roman" w:cs="Times New Roman"/>
          <w:sz w:val="24"/>
          <w:szCs w:val="20"/>
        </w:rPr>
        <w:t>.  A third and final</w:t>
      </w:r>
      <w:r w:rsidR="00951629">
        <w:rPr>
          <w:rFonts w:ascii="Times New Roman" w:eastAsia="Times New Roman" w:hAnsi="Times New Roman" w:cs="Times New Roman"/>
          <w:sz w:val="24"/>
          <w:szCs w:val="20"/>
        </w:rPr>
        <w:t xml:space="preserve"> hearing</w:t>
      </w:r>
      <w:r w:rsidR="00347B48">
        <w:rPr>
          <w:rFonts w:ascii="Times New Roman" w:eastAsia="Times New Roman" w:hAnsi="Times New Roman" w:cs="Times New Roman"/>
          <w:sz w:val="24"/>
          <w:szCs w:val="20"/>
        </w:rPr>
        <w:t xml:space="preserve"> </w:t>
      </w:r>
      <w:r w:rsidR="00A2060C">
        <w:rPr>
          <w:rFonts w:ascii="Times New Roman" w:eastAsia="Times New Roman" w:hAnsi="Times New Roman" w:cs="Times New Roman"/>
          <w:sz w:val="24"/>
          <w:szCs w:val="20"/>
        </w:rPr>
        <w:t xml:space="preserve">was </w:t>
      </w:r>
      <w:r w:rsidR="00347B48">
        <w:rPr>
          <w:rFonts w:ascii="Times New Roman" w:eastAsia="Times New Roman" w:hAnsi="Times New Roman" w:cs="Times New Roman"/>
          <w:sz w:val="24"/>
          <w:szCs w:val="20"/>
        </w:rPr>
        <w:t xml:space="preserve">held </w:t>
      </w:r>
      <w:r w:rsidR="00E771DB">
        <w:rPr>
          <w:rFonts w:ascii="Times New Roman" w:eastAsia="Times New Roman" w:hAnsi="Times New Roman" w:cs="Times New Roman"/>
          <w:sz w:val="24"/>
          <w:szCs w:val="20"/>
        </w:rPr>
        <w:t>on September 21, 2022.</w:t>
      </w:r>
    </w:p>
    <w:p w14:paraId="0042A347" w14:textId="77777777" w:rsidR="00347B48" w:rsidRDefault="00347B48" w:rsidP="004A21D4">
      <w:pPr>
        <w:tabs>
          <w:tab w:val="left" w:pos="0"/>
        </w:tabs>
        <w:spacing w:after="0" w:line="360" w:lineRule="auto"/>
        <w:jc w:val="both"/>
        <w:rPr>
          <w:rFonts w:ascii="Times New Roman" w:eastAsia="Times New Roman" w:hAnsi="Times New Roman" w:cs="Times New Roman"/>
          <w:sz w:val="24"/>
          <w:szCs w:val="20"/>
        </w:rPr>
      </w:pPr>
    </w:p>
    <w:p w14:paraId="765B3877" w14:textId="430F055C" w:rsidR="003738A2" w:rsidRDefault="00347B48" w:rsidP="004A21D4">
      <w:pPr>
        <w:tabs>
          <w:tab w:val="left" w:pos="0"/>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007D3F">
        <w:rPr>
          <w:rFonts w:ascii="Times New Roman" w:eastAsia="Times New Roman" w:hAnsi="Times New Roman" w:cs="Times New Roman"/>
          <w:sz w:val="24"/>
          <w:szCs w:val="20"/>
        </w:rPr>
        <w:t xml:space="preserve">At the beginning of the </w:t>
      </w:r>
      <w:r w:rsidR="00AC627F">
        <w:rPr>
          <w:rFonts w:ascii="Times New Roman" w:eastAsia="Times New Roman" w:hAnsi="Times New Roman" w:cs="Times New Roman"/>
          <w:sz w:val="24"/>
          <w:szCs w:val="20"/>
        </w:rPr>
        <w:t xml:space="preserve">August 16, </w:t>
      </w:r>
      <w:r w:rsidR="0000641D">
        <w:rPr>
          <w:rFonts w:ascii="Times New Roman" w:eastAsia="Times New Roman" w:hAnsi="Times New Roman" w:cs="Times New Roman"/>
          <w:sz w:val="24"/>
          <w:szCs w:val="20"/>
        </w:rPr>
        <w:t>2022,</w:t>
      </w:r>
      <w:r w:rsidR="00AC627F">
        <w:rPr>
          <w:rFonts w:ascii="Times New Roman" w:eastAsia="Times New Roman" w:hAnsi="Times New Roman" w:cs="Times New Roman"/>
          <w:sz w:val="24"/>
          <w:szCs w:val="20"/>
        </w:rPr>
        <w:t xml:space="preserve"> hearing, counsel to PPL indicated that PPL had </w:t>
      </w:r>
      <w:r w:rsidR="00056F1A">
        <w:rPr>
          <w:rFonts w:ascii="Times New Roman" w:eastAsia="Times New Roman" w:hAnsi="Times New Roman" w:cs="Times New Roman"/>
          <w:sz w:val="24"/>
          <w:szCs w:val="20"/>
        </w:rPr>
        <w:t xml:space="preserve">a substantial number of objections to portions of the </w:t>
      </w:r>
      <w:r w:rsidR="00852493">
        <w:rPr>
          <w:rFonts w:ascii="Times New Roman" w:eastAsia="Times New Roman" w:hAnsi="Times New Roman" w:cs="Times New Roman"/>
          <w:sz w:val="24"/>
          <w:szCs w:val="20"/>
        </w:rPr>
        <w:t xml:space="preserve">direct </w:t>
      </w:r>
      <w:r w:rsidR="00056F1A">
        <w:rPr>
          <w:rFonts w:ascii="Times New Roman" w:eastAsia="Times New Roman" w:hAnsi="Times New Roman" w:cs="Times New Roman"/>
          <w:sz w:val="24"/>
          <w:szCs w:val="20"/>
        </w:rPr>
        <w:t>testimony and exhibits submitted by the Hartmans.</w:t>
      </w:r>
      <w:r w:rsidR="001C26B7">
        <w:rPr>
          <w:rFonts w:ascii="Times New Roman" w:eastAsia="Times New Roman" w:hAnsi="Times New Roman" w:cs="Times New Roman"/>
          <w:sz w:val="24"/>
          <w:szCs w:val="20"/>
        </w:rPr>
        <w:t xml:space="preserve">  I directed that we would proceed with the hearing</w:t>
      </w:r>
      <w:r w:rsidR="006A756B">
        <w:rPr>
          <w:rFonts w:ascii="Times New Roman" w:eastAsia="Times New Roman" w:hAnsi="Times New Roman" w:cs="Times New Roman"/>
          <w:sz w:val="24"/>
          <w:szCs w:val="20"/>
        </w:rPr>
        <w:t xml:space="preserve"> </w:t>
      </w:r>
      <w:r w:rsidR="00C35369">
        <w:rPr>
          <w:rFonts w:ascii="Times New Roman" w:eastAsia="Times New Roman" w:hAnsi="Times New Roman" w:cs="Times New Roman"/>
          <w:sz w:val="24"/>
          <w:szCs w:val="20"/>
        </w:rPr>
        <w:t xml:space="preserve">and cross </w:t>
      </w:r>
      <w:r w:rsidR="0000641D">
        <w:rPr>
          <w:rFonts w:ascii="Times New Roman" w:eastAsia="Times New Roman" w:hAnsi="Times New Roman" w:cs="Times New Roman"/>
          <w:sz w:val="24"/>
          <w:szCs w:val="20"/>
        </w:rPr>
        <w:t>examination and</w:t>
      </w:r>
      <w:r w:rsidR="006A756B">
        <w:rPr>
          <w:rFonts w:ascii="Times New Roman" w:eastAsia="Times New Roman" w:hAnsi="Times New Roman" w:cs="Times New Roman"/>
          <w:sz w:val="24"/>
          <w:szCs w:val="20"/>
        </w:rPr>
        <w:t xml:space="preserve"> allow PPL to submit its objections in writing </w:t>
      </w:r>
      <w:r w:rsidR="00123BA8">
        <w:rPr>
          <w:rFonts w:ascii="Times New Roman" w:eastAsia="Times New Roman" w:hAnsi="Times New Roman" w:cs="Times New Roman"/>
          <w:sz w:val="24"/>
          <w:szCs w:val="20"/>
        </w:rPr>
        <w:t>after the hea</w:t>
      </w:r>
      <w:r w:rsidR="00092569">
        <w:rPr>
          <w:rFonts w:ascii="Times New Roman" w:eastAsia="Times New Roman" w:hAnsi="Times New Roman" w:cs="Times New Roman"/>
          <w:sz w:val="24"/>
          <w:szCs w:val="20"/>
        </w:rPr>
        <w:t>rings had concluded</w:t>
      </w:r>
      <w:r w:rsidR="00D45A83">
        <w:rPr>
          <w:rFonts w:ascii="Times New Roman" w:eastAsia="Times New Roman" w:hAnsi="Times New Roman" w:cs="Times New Roman"/>
          <w:sz w:val="24"/>
          <w:szCs w:val="20"/>
        </w:rPr>
        <w:t>, with an opportunity for the Hartmans to respond to the objections.</w:t>
      </w:r>
      <w:r w:rsidR="00092569">
        <w:rPr>
          <w:rFonts w:ascii="Times New Roman" w:eastAsia="Times New Roman" w:hAnsi="Times New Roman" w:cs="Times New Roman"/>
          <w:sz w:val="24"/>
          <w:szCs w:val="20"/>
        </w:rPr>
        <w:t xml:space="preserve">  To that end, a schedule was established whereby PPL</w:t>
      </w:r>
      <w:r w:rsidR="005B08F1">
        <w:rPr>
          <w:rFonts w:ascii="Times New Roman" w:eastAsia="Times New Roman" w:hAnsi="Times New Roman" w:cs="Times New Roman"/>
          <w:sz w:val="24"/>
          <w:szCs w:val="20"/>
        </w:rPr>
        <w:t>’</w:t>
      </w:r>
      <w:r w:rsidR="00092569">
        <w:rPr>
          <w:rFonts w:ascii="Times New Roman" w:eastAsia="Times New Roman" w:hAnsi="Times New Roman" w:cs="Times New Roman"/>
          <w:sz w:val="24"/>
          <w:szCs w:val="20"/>
        </w:rPr>
        <w:t>s written objections</w:t>
      </w:r>
      <w:r w:rsidR="00424209">
        <w:rPr>
          <w:rFonts w:ascii="Times New Roman" w:eastAsia="Times New Roman" w:hAnsi="Times New Roman" w:cs="Times New Roman"/>
          <w:sz w:val="24"/>
          <w:szCs w:val="20"/>
        </w:rPr>
        <w:t xml:space="preserve"> would be due by October 20, 2022, and a written response to PPL’s objections</w:t>
      </w:r>
      <w:r w:rsidR="001F0682">
        <w:rPr>
          <w:rFonts w:ascii="Times New Roman" w:eastAsia="Times New Roman" w:hAnsi="Times New Roman" w:cs="Times New Roman"/>
          <w:sz w:val="24"/>
          <w:szCs w:val="20"/>
        </w:rPr>
        <w:t>, if any,</w:t>
      </w:r>
      <w:r w:rsidR="00424209">
        <w:rPr>
          <w:rFonts w:ascii="Times New Roman" w:eastAsia="Times New Roman" w:hAnsi="Times New Roman" w:cs="Times New Roman"/>
          <w:sz w:val="24"/>
          <w:szCs w:val="20"/>
        </w:rPr>
        <w:t xml:space="preserve"> would be due by </w:t>
      </w:r>
      <w:r w:rsidR="00173ED7">
        <w:rPr>
          <w:rFonts w:ascii="Times New Roman" w:eastAsia="Times New Roman" w:hAnsi="Times New Roman" w:cs="Times New Roman"/>
          <w:sz w:val="24"/>
          <w:szCs w:val="20"/>
        </w:rPr>
        <w:t xml:space="preserve">November 9, 2022.  </w:t>
      </w:r>
      <w:r w:rsidR="00092569">
        <w:rPr>
          <w:rFonts w:ascii="Times New Roman" w:eastAsia="Times New Roman" w:hAnsi="Times New Roman" w:cs="Times New Roman"/>
          <w:sz w:val="24"/>
          <w:szCs w:val="20"/>
        </w:rPr>
        <w:t xml:space="preserve"> </w:t>
      </w:r>
      <w:r w:rsidR="00056F1A">
        <w:rPr>
          <w:rFonts w:ascii="Times New Roman" w:eastAsia="Times New Roman" w:hAnsi="Times New Roman" w:cs="Times New Roman"/>
          <w:sz w:val="24"/>
          <w:szCs w:val="20"/>
        </w:rPr>
        <w:t xml:space="preserve">   </w:t>
      </w:r>
      <w:r w:rsidR="00AC627F">
        <w:rPr>
          <w:rFonts w:ascii="Times New Roman" w:eastAsia="Times New Roman" w:hAnsi="Times New Roman" w:cs="Times New Roman"/>
          <w:sz w:val="24"/>
          <w:szCs w:val="20"/>
        </w:rPr>
        <w:t xml:space="preserve">  </w:t>
      </w:r>
      <w:r w:rsidR="00894C9F">
        <w:rPr>
          <w:rFonts w:ascii="Times New Roman" w:eastAsia="Times New Roman" w:hAnsi="Times New Roman" w:cs="Times New Roman"/>
          <w:sz w:val="24"/>
          <w:szCs w:val="20"/>
        </w:rPr>
        <w:t xml:space="preserve"> </w:t>
      </w:r>
      <w:r w:rsidR="00287890">
        <w:rPr>
          <w:rFonts w:ascii="Times New Roman" w:eastAsia="Times New Roman" w:hAnsi="Times New Roman" w:cs="Times New Roman"/>
          <w:sz w:val="24"/>
          <w:szCs w:val="20"/>
        </w:rPr>
        <w:t xml:space="preserve">  </w:t>
      </w:r>
      <w:r w:rsidR="009446A2">
        <w:rPr>
          <w:rFonts w:ascii="Times New Roman" w:eastAsia="Times New Roman" w:hAnsi="Times New Roman" w:cs="Times New Roman"/>
          <w:sz w:val="24"/>
          <w:szCs w:val="20"/>
        </w:rPr>
        <w:t xml:space="preserve"> </w:t>
      </w:r>
      <w:r w:rsidR="001F699D">
        <w:rPr>
          <w:rFonts w:ascii="Times New Roman" w:eastAsia="Times New Roman" w:hAnsi="Times New Roman" w:cs="Times New Roman"/>
          <w:sz w:val="24"/>
          <w:szCs w:val="20"/>
        </w:rPr>
        <w:t xml:space="preserve">  </w:t>
      </w:r>
      <w:r w:rsidR="007E6668">
        <w:rPr>
          <w:rFonts w:ascii="Times New Roman" w:eastAsia="Times New Roman" w:hAnsi="Times New Roman" w:cs="Times New Roman"/>
          <w:sz w:val="24"/>
          <w:szCs w:val="20"/>
        </w:rPr>
        <w:t xml:space="preserve"> </w:t>
      </w:r>
      <w:r w:rsidR="003B72BB">
        <w:rPr>
          <w:rFonts w:ascii="Times New Roman" w:eastAsia="Times New Roman" w:hAnsi="Times New Roman" w:cs="Times New Roman"/>
          <w:sz w:val="24"/>
          <w:szCs w:val="20"/>
        </w:rPr>
        <w:t xml:space="preserve"> </w:t>
      </w:r>
      <w:r w:rsidR="0023124C">
        <w:rPr>
          <w:rFonts w:ascii="Times New Roman" w:eastAsia="Times New Roman" w:hAnsi="Times New Roman" w:cs="Times New Roman"/>
          <w:sz w:val="24"/>
          <w:szCs w:val="20"/>
        </w:rPr>
        <w:t xml:space="preserve"> </w:t>
      </w:r>
      <w:r w:rsidR="00B9763E">
        <w:rPr>
          <w:rFonts w:ascii="Times New Roman" w:eastAsia="Times New Roman" w:hAnsi="Times New Roman" w:cs="Times New Roman"/>
          <w:sz w:val="24"/>
          <w:szCs w:val="20"/>
        </w:rPr>
        <w:t xml:space="preserve"> </w:t>
      </w:r>
      <w:r w:rsidR="00292497">
        <w:rPr>
          <w:rFonts w:ascii="Times New Roman" w:eastAsia="Times New Roman" w:hAnsi="Times New Roman" w:cs="Times New Roman"/>
          <w:sz w:val="24"/>
          <w:szCs w:val="20"/>
        </w:rPr>
        <w:t xml:space="preserve"> </w:t>
      </w:r>
      <w:r w:rsidR="00495545">
        <w:rPr>
          <w:rFonts w:ascii="Times New Roman" w:eastAsia="Times New Roman" w:hAnsi="Times New Roman" w:cs="Times New Roman"/>
          <w:sz w:val="24"/>
          <w:szCs w:val="20"/>
        </w:rPr>
        <w:t xml:space="preserve">  </w:t>
      </w:r>
      <w:r w:rsidR="00E5270B">
        <w:rPr>
          <w:rFonts w:ascii="Times New Roman" w:eastAsia="Times New Roman" w:hAnsi="Times New Roman" w:cs="Times New Roman"/>
          <w:sz w:val="24"/>
          <w:szCs w:val="20"/>
        </w:rPr>
        <w:t xml:space="preserve"> </w:t>
      </w:r>
      <w:r w:rsidR="008C7412">
        <w:rPr>
          <w:rFonts w:ascii="Times New Roman" w:eastAsia="Times New Roman" w:hAnsi="Times New Roman" w:cs="Times New Roman"/>
          <w:sz w:val="24"/>
          <w:szCs w:val="20"/>
        </w:rPr>
        <w:t xml:space="preserve"> </w:t>
      </w:r>
      <w:r w:rsidR="00436E31">
        <w:rPr>
          <w:rFonts w:ascii="Times New Roman" w:eastAsia="Times New Roman" w:hAnsi="Times New Roman" w:cs="Times New Roman"/>
          <w:sz w:val="24"/>
          <w:szCs w:val="20"/>
        </w:rPr>
        <w:t xml:space="preserve"> </w:t>
      </w:r>
      <w:r w:rsidR="002004B5">
        <w:rPr>
          <w:rFonts w:ascii="Times New Roman" w:eastAsia="Times New Roman" w:hAnsi="Times New Roman" w:cs="Times New Roman"/>
          <w:sz w:val="24"/>
          <w:szCs w:val="20"/>
        </w:rPr>
        <w:t xml:space="preserve"> </w:t>
      </w:r>
      <w:r w:rsidR="000F485C">
        <w:rPr>
          <w:rFonts w:ascii="Times New Roman" w:eastAsia="Times New Roman" w:hAnsi="Times New Roman" w:cs="Times New Roman"/>
          <w:sz w:val="24"/>
          <w:szCs w:val="20"/>
        </w:rPr>
        <w:t xml:space="preserve"> </w:t>
      </w:r>
      <w:r w:rsidR="00D800B7">
        <w:rPr>
          <w:rFonts w:ascii="Times New Roman" w:eastAsia="Times New Roman" w:hAnsi="Times New Roman" w:cs="Times New Roman"/>
          <w:sz w:val="24"/>
          <w:szCs w:val="20"/>
        </w:rPr>
        <w:t xml:space="preserve"> </w:t>
      </w:r>
    </w:p>
    <w:p w14:paraId="26833D03" w14:textId="5BFFC81F" w:rsidR="007F5CCF" w:rsidRDefault="008E7D81" w:rsidP="008E7D81">
      <w:pPr>
        <w:tabs>
          <w:tab w:val="left" w:pos="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7F5CCF">
        <w:rPr>
          <w:rFonts w:ascii="Times New Roman" w:eastAsia="Times New Roman" w:hAnsi="Times New Roman" w:cs="Times New Roman"/>
          <w:sz w:val="24"/>
          <w:szCs w:val="20"/>
        </w:rPr>
        <w:t xml:space="preserve"> </w:t>
      </w:r>
    </w:p>
    <w:p w14:paraId="0B24CB5D" w14:textId="7467708C" w:rsidR="007F5CCF" w:rsidRDefault="00173ED7" w:rsidP="008E7D81">
      <w:pPr>
        <w:tabs>
          <w:tab w:val="left" w:pos="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PPL filed </w:t>
      </w:r>
      <w:r w:rsidR="00F71EEE">
        <w:rPr>
          <w:rFonts w:ascii="Times New Roman" w:eastAsia="Times New Roman" w:hAnsi="Times New Roman" w:cs="Times New Roman"/>
          <w:sz w:val="24"/>
          <w:szCs w:val="20"/>
        </w:rPr>
        <w:t xml:space="preserve">a Motion to Strike on October 20, 2022.  </w:t>
      </w:r>
      <w:r w:rsidR="00993FB4">
        <w:rPr>
          <w:rFonts w:ascii="Times New Roman" w:eastAsia="Times New Roman" w:hAnsi="Times New Roman" w:cs="Times New Roman"/>
          <w:sz w:val="24"/>
          <w:szCs w:val="20"/>
        </w:rPr>
        <w:t xml:space="preserve">After </w:t>
      </w:r>
      <w:r w:rsidR="00D64AE7">
        <w:rPr>
          <w:rFonts w:ascii="Times New Roman" w:eastAsia="Times New Roman" w:hAnsi="Times New Roman" w:cs="Times New Roman"/>
          <w:sz w:val="24"/>
          <w:szCs w:val="20"/>
        </w:rPr>
        <w:t xml:space="preserve">some initial </w:t>
      </w:r>
      <w:r w:rsidR="00016134">
        <w:rPr>
          <w:rFonts w:ascii="Times New Roman" w:eastAsia="Times New Roman" w:hAnsi="Times New Roman" w:cs="Times New Roman"/>
          <w:sz w:val="24"/>
          <w:szCs w:val="20"/>
        </w:rPr>
        <w:t xml:space="preserve">filing </w:t>
      </w:r>
      <w:r w:rsidR="00D64AE7">
        <w:rPr>
          <w:rFonts w:ascii="Times New Roman" w:eastAsia="Times New Roman" w:hAnsi="Times New Roman" w:cs="Times New Roman"/>
          <w:sz w:val="24"/>
          <w:szCs w:val="20"/>
        </w:rPr>
        <w:t xml:space="preserve">difficulty with submitting a response, </w:t>
      </w:r>
      <w:r w:rsidR="00FD423E">
        <w:rPr>
          <w:rFonts w:ascii="Times New Roman" w:eastAsia="Times New Roman" w:hAnsi="Times New Roman" w:cs="Times New Roman"/>
          <w:sz w:val="24"/>
          <w:szCs w:val="20"/>
        </w:rPr>
        <w:t xml:space="preserve">PPL and I </w:t>
      </w:r>
      <w:r w:rsidR="00AF1D75">
        <w:rPr>
          <w:rFonts w:ascii="Times New Roman" w:eastAsia="Times New Roman" w:hAnsi="Times New Roman" w:cs="Times New Roman"/>
          <w:sz w:val="24"/>
          <w:szCs w:val="20"/>
        </w:rPr>
        <w:t xml:space="preserve">ultimately received the Hartmans’ response to PPL’s Motion on </w:t>
      </w:r>
      <w:r w:rsidR="00A92835">
        <w:rPr>
          <w:rFonts w:ascii="Times New Roman" w:eastAsia="Times New Roman" w:hAnsi="Times New Roman" w:cs="Times New Roman"/>
          <w:sz w:val="24"/>
          <w:szCs w:val="20"/>
        </w:rPr>
        <w:t>December 12, 2022</w:t>
      </w:r>
      <w:r w:rsidR="003737D0">
        <w:rPr>
          <w:rFonts w:ascii="Times New Roman" w:eastAsia="Times New Roman" w:hAnsi="Times New Roman" w:cs="Times New Roman"/>
          <w:sz w:val="24"/>
          <w:szCs w:val="20"/>
        </w:rPr>
        <w:t xml:space="preserve">.  By e-mail dated December 12, 2022, I informed the parties that, although </w:t>
      </w:r>
      <w:r w:rsidR="009548E7">
        <w:rPr>
          <w:rFonts w:ascii="Times New Roman" w:eastAsia="Times New Roman" w:hAnsi="Times New Roman" w:cs="Times New Roman"/>
          <w:sz w:val="24"/>
          <w:szCs w:val="20"/>
        </w:rPr>
        <w:t xml:space="preserve">the Hartmans’ response had not </w:t>
      </w:r>
      <w:r w:rsidR="00C35369">
        <w:rPr>
          <w:rFonts w:ascii="Times New Roman" w:eastAsia="Times New Roman" w:hAnsi="Times New Roman" w:cs="Times New Roman"/>
          <w:sz w:val="24"/>
          <w:szCs w:val="20"/>
        </w:rPr>
        <w:t xml:space="preserve">initially </w:t>
      </w:r>
      <w:r w:rsidR="009548E7">
        <w:rPr>
          <w:rFonts w:ascii="Times New Roman" w:eastAsia="Times New Roman" w:hAnsi="Times New Roman" w:cs="Times New Roman"/>
          <w:sz w:val="24"/>
          <w:szCs w:val="20"/>
        </w:rPr>
        <w:t xml:space="preserve">been properly filed </w:t>
      </w:r>
      <w:r w:rsidR="00C32958">
        <w:rPr>
          <w:rFonts w:ascii="Times New Roman" w:eastAsia="Times New Roman" w:hAnsi="Times New Roman" w:cs="Times New Roman"/>
          <w:sz w:val="24"/>
          <w:szCs w:val="20"/>
        </w:rPr>
        <w:t xml:space="preserve">by the </w:t>
      </w:r>
      <w:r w:rsidR="00C32958">
        <w:rPr>
          <w:rFonts w:ascii="Times New Roman" w:eastAsia="Times New Roman" w:hAnsi="Times New Roman" w:cs="Times New Roman"/>
          <w:sz w:val="24"/>
          <w:szCs w:val="20"/>
        </w:rPr>
        <w:lastRenderedPageBreak/>
        <w:t xml:space="preserve">established deadline </w:t>
      </w:r>
      <w:r w:rsidR="009548E7">
        <w:rPr>
          <w:rFonts w:ascii="Times New Roman" w:eastAsia="Times New Roman" w:hAnsi="Times New Roman" w:cs="Times New Roman"/>
          <w:sz w:val="24"/>
          <w:szCs w:val="20"/>
        </w:rPr>
        <w:t xml:space="preserve">with the Commission, I would </w:t>
      </w:r>
      <w:r w:rsidR="00D3283F">
        <w:rPr>
          <w:rFonts w:ascii="Times New Roman" w:eastAsia="Times New Roman" w:hAnsi="Times New Roman" w:cs="Times New Roman"/>
          <w:sz w:val="24"/>
          <w:szCs w:val="20"/>
        </w:rPr>
        <w:t xml:space="preserve">accept </w:t>
      </w:r>
      <w:r w:rsidR="00BA7D17">
        <w:rPr>
          <w:rFonts w:ascii="Times New Roman" w:eastAsia="Times New Roman" w:hAnsi="Times New Roman" w:cs="Times New Roman"/>
          <w:sz w:val="24"/>
          <w:szCs w:val="20"/>
        </w:rPr>
        <w:t xml:space="preserve">and consider </w:t>
      </w:r>
      <w:r w:rsidR="00D3283F">
        <w:rPr>
          <w:rFonts w:ascii="Times New Roman" w:eastAsia="Times New Roman" w:hAnsi="Times New Roman" w:cs="Times New Roman"/>
          <w:sz w:val="24"/>
          <w:szCs w:val="20"/>
        </w:rPr>
        <w:t>it</w:t>
      </w:r>
      <w:r w:rsidR="00BA7D17">
        <w:rPr>
          <w:rFonts w:ascii="Times New Roman" w:eastAsia="Times New Roman" w:hAnsi="Times New Roman" w:cs="Times New Roman"/>
          <w:sz w:val="24"/>
          <w:szCs w:val="20"/>
        </w:rPr>
        <w:t xml:space="preserve"> in ruling on PPL’s Motion. </w:t>
      </w:r>
      <w:r w:rsidR="009548E7">
        <w:rPr>
          <w:rFonts w:ascii="Times New Roman" w:eastAsia="Times New Roman" w:hAnsi="Times New Roman" w:cs="Times New Roman"/>
          <w:sz w:val="24"/>
          <w:szCs w:val="20"/>
        </w:rPr>
        <w:t xml:space="preserve"> </w:t>
      </w:r>
      <w:r w:rsidR="00D64AE7">
        <w:rPr>
          <w:rFonts w:ascii="Times New Roman" w:eastAsia="Times New Roman" w:hAnsi="Times New Roman" w:cs="Times New Roman"/>
          <w:sz w:val="24"/>
          <w:szCs w:val="20"/>
        </w:rPr>
        <w:t xml:space="preserve"> </w:t>
      </w:r>
    </w:p>
    <w:p w14:paraId="18163616" w14:textId="2725BB11" w:rsidR="00DE2149" w:rsidRDefault="00DE2149" w:rsidP="00BA7D17">
      <w:pPr>
        <w:tabs>
          <w:tab w:val="left" w:pos="0"/>
        </w:tabs>
        <w:spacing w:after="0" w:line="360" w:lineRule="auto"/>
        <w:rPr>
          <w:rFonts w:ascii="Times New Roman" w:eastAsia="Times New Roman" w:hAnsi="Times New Roman" w:cs="Times New Roman"/>
          <w:sz w:val="24"/>
          <w:szCs w:val="20"/>
        </w:rPr>
      </w:pPr>
    </w:p>
    <w:p w14:paraId="7D96CF08" w14:textId="3CCA990C" w:rsidR="00DE2149" w:rsidRDefault="007B425E" w:rsidP="00DE2149">
      <w:pPr>
        <w:tabs>
          <w:tab w:val="left" w:pos="0"/>
        </w:tabs>
        <w:spacing w:after="0" w:line="36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MOTION TO STRIKE</w:t>
      </w:r>
    </w:p>
    <w:p w14:paraId="435E3308" w14:textId="0FD8934D" w:rsidR="007B425E" w:rsidRDefault="007B425E" w:rsidP="00DE2149">
      <w:pPr>
        <w:tabs>
          <w:tab w:val="left" w:pos="0"/>
        </w:tabs>
        <w:spacing w:after="0" w:line="360" w:lineRule="auto"/>
        <w:jc w:val="center"/>
        <w:rPr>
          <w:rFonts w:ascii="Times New Roman" w:eastAsia="Times New Roman" w:hAnsi="Times New Roman" w:cs="Times New Roman"/>
          <w:sz w:val="24"/>
          <w:szCs w:val="20"/>
        </w:rPr>
      </w:pPr>
    </w:p>
    <w:p w14:paraId="75E4A667" w14:textId="2E41A4CA" w:rsidR="005C5EA1" w:rsidRDefault="0031513A" w:rsidP="007B425E">
      <w:pPr>
        <w:tabs>
          <w:tab w:val="left" w:pos="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6541D7">
        <w:rPr>
          <w:rFonts w:ascii="Times New Roman" w:eastAsia="Times New Roman" w:hAnsi="Times New Roman" w:cs="Times New Roman"/>
          <w:sz w:val="24"/>
          <w:szCs w:val="20"/>
        </w:rPr>
        <w:t xml:space="preserve">The testimony and exhibits </w:t>
      </w:r>
      <w:r w:rsidR="00EF05D5">
        <w:rPr>
          <w:rFonts w:ascii="Times New Roman" w:eastAsia="Times New Roman" w:hAnsi="Times New Roman" w:cs="Times New Roman"/>
          <w:sz w:val="24"/>
          <w:szCs w:val="20"/>
        </w:rPr>
        <w:t xml:space="preserve">that are </w:t>
      </w:r>
      <w:r w:rsidR="00D176F1">
        <w:rPr>
          <w:rFonts w:ascii="Times New Roman" w:eastAsia="Times New Roman" w:hAnsi="Times New Roman" w:cs="Times New Roman"/>
          <w:sz w:val="24"/>
          <w:szCs w:val="20"/>
        </w:rPr>
        <w:t xml:space="preserve">the </w:t>
      </w:r>
      <w:r w:rsidR="00EF05D5">
        <w:rPr>
          <w:rFonts w:ascii="Times New Roman" w:eastAsia="Times New Roman" w:hAnsi="Times New Roman" w:cs="Times New Roman"/>
          <w:sz w:val="24"/>
          <w:szCs w:val="20"/>
        </w:rPr>
        <w:t>subject</w:t>
      </w:r>
      <w:r w:rsidR="00D176F1">
        <w:rPr>
          <w:rFonts w:ascii="Times New Roman" w:eastAsia="Times New Roman" w:hAnsi="Times New Roman" w:cs="Times New Roman"/>
          <w:sz w:val="24"/>
          <w:szCs w:val="20"/>
        </w:rPr>
        <w:t>s</w:t>
      </w:r>
      <w:r w:rsidR="00EF05D5">
        <w:rPr>
          <w:rFonts w:ascii="Times New Roman" w:eastAsia="Times New Roman" w:hAnsi="Times New Roman" w:cs="Times New Roman"/>
          <w:sz w:val="24"/>
          <w:szCs w:val="20"/>
        </w:rPr>
        <w:t xml:space="preserve"> </w:t>
      </w:r>
      <w:r w:rsidR="00D176F1">
        <w:rPr>
          <w:rFonts w:ascii="Times New Roman" w:eastAsia="Times New Roman" w:hAnsi="Times New Roman" w:cs="Times New Roman"/>
          <w:sz w:val="24"/>
          <w:szCs w:val="20"/>
        </w:rPr>
        <w:t>of</w:t>
      </w:r>
      <w:r w:rsidR="00EF05D5">
        <w:rPr>
          <w:rFonts w:ascii="Times New Roman" w:eastAsia="Times New Roman" w:hAnsi="Times New Roman" w:cs="Times New Roman"/>
          <w:sz w:val="24"/>
          <w:szCs w:val="20"/>
        </w:rPr>
        <w:t xml:space="preserve"> </w:t>
      </w:r>
      <w:r w:rsidR="00CD6543">
        <w:rPr>
          <w:rFonts w:ascii="Times New Roman" w:eastAsia="Times New Roman" w:hAnsi="Times New Roman" w:cs="Times New Roman"/>
          <w:sz w:val="24"/>
          <w:szCs w:val="20"/>
        </w:rPr>
        <w:t xml:space="preserve">PPL’s Motion to Strike </w:t>
      </w:r>
      <w:r w:rsidR="00EF05D5">
        <w:rPr>
          <w:rFonts w:ascii="Times New Roman" w:eastAsia="Times New Roman" w:hAnsi="Times New Roman" w:cs="Times New Roman"/>
          <w:sz w:val="24"/>
          <w:szCs w:val="20"/>
        </w:rPr>
        <w:t>are arranged in the Motion in</w:t>
      </w:r>
      <w:r w:rsidR="00344A16">
        <w:rPr>
          <w:rFonts w:ascii="Times New Roman" w:eastAsia="Times New Roman" w:hAnsi="Times New Roman" w:cs="Times New Roman"/>
          <w:sz w:val="24"/>
          <w:szCs w:val="20"/>
        </w:rPr>
        <w:t>to</w:t>
      </w:r>
      <w:r w:rsidR="00EF05D5">
        <w:rPr>
          <w:rFonts w:ascii="Times New Roman" w:eastAsia="Times New Roman" w:hAnsi="Times New Roman" w:cs="Times New Roman"/>
          <w:sz w:val="24"/>
          <w:szCs w:val="20"/>
        </w:rPr>
        <w:t xml:space="preserve"> eight general categories.  </w:t>
      </w:r>
      <w:r w:rsidR="005C5EA1">
        <w:rPr>
          <w:rFonts w:ascii="Times New Roman" w:eastAsia="Times New Roman" w:hAnsi="Times New Roman" w:cs="Times New Roman"/>
          <w:sz w:val="24"/>
          <w:szCs w:val="20"/>
        </w:rPr>
        <w:t>The eight categories are as follows:</w:t>
      </w:r>
    </w:p>
    <w:p w14:paraId="652CD856" w14:textId="77777777" w:rsidR="005C5EA1" w:rsidRDefault="005C5EA1" w:rsidP="007B425E">
      <w:pPr>
        <w:tabs>
          <w:tab w:val="left" w:pos="0"/>
        </w:tabs>
        <w:spacing w:after="0" w:line="360" w:lineRule="auto"/>
        <w:rPr>
          <w:rFonts w:ascii="Times New Roman" w:eastAsia="Times New Roman" w:hAnsi="Times New Roman" w:cs="Times New Roman"/>
          <w:sz w:val="24"/>
          <w:szCs w:val="20"/>
        </w:rPr>
      </w:pPr>
    </w:p>
    <w:p w14:paraId="4B9A7ACA" w14:textId="3CED94CF" w:rsidR="009A15A4" w:rsidRDefault="009163A2" w:rsidP="00367808">
      <w:pPr>
        <w:pStyle w:val="ListParagraph"/>
        <w:numPr>
          <w:ilvl w:val="0"/>
          <w:numId w:val="2"/>
        </w:numPr>
        <w:tabs>
          <w:tab w:val="left" w:pos="0"/>
        </w:tabs>
        <w:spacing w:after="0" w:line="240" w:lineRule="auto"/>
        <w:ind w:hanging="450"/>
        <w:rPr>
          <w:rFonts w:ascii="Times New Roman" w:eastAsia="Times New Roman" w:hAnsi="Times New Roman" w:cs="Times New Roman"/>
          <w:sz w:val="24"/>
          <w:szCs w:val="20"/>
        </w:rPr>
      </w:pPr>
      <w:bookmarkStart w:id="0" w:name="_Hlk125286550"/>
      <w:r>
        <w:rPr>
          <w:rFonts w:ascii="Times New Roman" w:eastAsia="Times New Roman" w:hAnsi="Times New Roman" w:cs="Times New Roman"/>
          <w:sz w:val="24"/>
          <w:szCs w:val="20"/>
        </w:rPr>
        <w:t>T</w:t>
      </w:r>
      <w:r w:rsidR="009A15A4">
        <w:rPr>
          <w:rFonts w:ascii="Times New Roman" w:eastAsia="Times New Roman" w:hAnsi="Times New Roman" w:cs="Times New Roman"/>
          <w:sz w:val="24"/>
          <w:szCs w:val="20"/>
        </w:rPr>
        <w:t>estimony and exhibits that are outside the scope of this proceeding</w:t>
      </w:r>
      <w:r>
        <w:rPr>
          <w:rFonts w:ascii="Times New Roman" w:eastAsia="Times New Roman" w:hAnsi="Times New Roman" w:cs="Times New Roman"/>
          <w:sz w:val="24"/>
          <w:szCs w:val="20"/>
        </w:rPr>
        <w:t>.</w:t>
      </w:r>
    </w:p>
    <w:bookmarkEnd w:id="0"/>
    <w:p w14:paraId="08BDB3AE" w14:textId="77777777" w:rsidR="003F0281" w:rsidRDefault="009163A2" w:rsidP="00367808">
      <w:pPr>
        <w:pStyle w:val="ListParagraph"/>
        <w:numPr>
          <w:ilvl w:val="0"/>
          <w:numId w:val="2"/>
        </w:numPr>
        <w:tabs>
          <w:tab w:val="left" w:pos="0"/>
        </w:tabs>
        <w:spacing w:after="0" w:line="240" w:lineRule="auto"/>
        <w:ind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Statements </w:t>
      </w:r>
      <w:r w:rsidR="003F0281">
        <w:rPr>
          <w:rFonts w:ascii="Times New Roman" w:eastAsia="Times New Roman" w:hAnsi="Times New Roman" w:cs="Times New Roman"/>
          <w:sz w:val="24"/>
          <w:szCs w:val="20"/>
        </w:rPr>
        <w:t>in the testimony and exhibits that are outside the scope of the Commission’s limited jurisdiction.</w:t>
      </w:r>
    </w:p>
    <w:p w14:paraId="71B1C308" w14:textId="77777777" w:rsidR="00332A5F" w:rsidRDefault="005537A4" w:rsidP="00367808">
      <w:pPr>
        <w:pStyle w:val="ListParagraph"/>
        <w:numPr>
          <w:ilvl w:val="0"/>
          <w:numId w:val="2"/>
        </w:numPr>
        <w:tabs>
          <w:tab w:val="left" w:pos="0"/>
        </w:tabs>
        <w:spacing w:after="0" w:line="240" w:lineRule="auto"/>
        <w:ind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Hearsay statements and hearsay within hearsay statements</w:t>
      </w:r>
      <w:r w:rsidR="00332A5F">
        <w:rPr>
          <w:rFonts w:ascii="Times New Roman" w:eastAsia="Times New Roman" w:hAnsi="Times New Roman" w:cs="Times New Roman"/>
          <w:sz w:val="24"/>
          <w:szCs w:val="20"/>
        </w:rPr>
        <w:t>.</w:t>
      </w:r>
    </w:p>
    <w:p w14:paraId="6EF675AB" w14:textId="77777777" w:rsidR="00332A5F" w:rsidRDefault="00332A5F" w:rsidP="00367808">
      <w:pPr>
        <w:pStyle w:val="ListParagraph"/>
        <w:numPr>
          <w:ilvl w:val="0"/>
          <w:numId w:val="2"/>
        </w:numPr>
        <w:tabs>
          <w:tab w:val="left" w:pos="0"/>
        </w:tabs>
        <w:spacing w:after="0" w:line="240" w:lineRule="auto"/>
        <w:ind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Repetitious or cumulative statements.</w:t>
      </w:r>
    </w:p>
    <w:p w14:paraId="5025C636" w14:textId="77777777" w:rsidR="006450AF" w:rsidRDefault="006450AF" w:rsidP="00367808">
      <w:pPr>
        <w:pStyle w:val="ListParagraph"/>
        <w:numPr>
          <w:ilvl w:val="0"/>
          <w:numId w:val="2"/>
        </w:numPr>
        <w:tabs>
          <w:tab w:val="left" w:pos="0"/>
        </w:tabs>
        <w:spacing w:after="0" w:line="240" w:lineRule="auto"/>
        <w:ind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Irrelevant statements.</w:t>
      </w:r>
    </w:p>
    <w:p w14:paraId="7C21E19A" w14:textId="77777777" w:rsidR="000C7DF9" w:rsidRDefault="006450AF" w:rsidP="00367808">
      <w:pPr>
        <w:pStyle w:val="ListParagraph"/>
        <w:numPr>
          <w:ilvl w:val="0"/>
          <w:numId w:val="2"/>
        </w:numPr>
        <w:tabs>
          <w:tab w:val="left" w:pos="0"/>
        </w:tabs>
        <w:spacing w:after="0" w:line="240" w:lineRule="auto"/>
        <w:ind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Statements that are inherently unreliable and not provided in </w:t>
      </w:r>
      <w:r w:rsidR="000C7DF9">
        <w:rPr>
          <w:rFonts w:ascii="Times New Roman" w:eastAsia="Times New Roman" w:hAnsi="Times New Roman" w:cs="Times New Roman"/>
          <w:sz w:val="24"/>
          <w:szCs w:val="20"/>
        </w:rPr>
        <w:t>original form.</w:t>
      </w:r>
    </w:p>
    <w:p w14:paraId="7F83139C" w14:textId="77777777" w:rsidR="000D6944" w:rsidRDefault="00E64B30" w:rsidP="00367808">
      <w:pPr>
        <w:pStyle w:val="ListParagraph"/>
        <w:numPr>
          <w:ilvl w:val="0"/>
          <w:numId w:val="2"/>
        </w:numPr>
        <w:tabs>
          <w:tab w:val="left" w:pos="0"/>
        </w:tabs>
        <w:spacing w:after="0" w:line="240" w:lineRule="auto"/>
        <w:ind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Hartman </w:t>
      </w:r>
      <w:r w:rsidR="000C7DF9">
        <w:rPr>
          <w:rFonts w:ascii="Times New Roman" w:eastAsia="Times New Roman" w:hAnsi="Times New Roman" w:cs="Times New Roman"/>
          <w:sz w:val="24"/>
          <w:szCs w:val="20"/>
        </w:rPr>
        <w:t>Exhibits 7A through 53</w:t>
      </w:r>
      <w:r>
        <w:rPr>
          <w:rFonts w:ascii="Times New Roman" w:eastAsia="Times New Roman" w:hAnsi="Times New Roman" w:cs="Times New Roman"/>
          <w:sz w:val="24"/>
          <w:szCs w:val="20"/>
        </w:rPr>
        <w:t xml:space="preserve">, which were not properly included in </w:t>
      </w:r>
      <w:r w:rsidR="000D6944">
        <w:rPr>
          <w:rFonts w:ascii="Times New Roman" w:eastAsia="Times New Roman" w:hAnsi="Times New Roman" w:cs="Times New Roman"/>
          <w:sz w:val="24"/>
          <w:szCs w:val="20"/>
        </w:rPr>
        <w:t>Complainants’ case in chief.</w:t>
      </w:r>
    </w:p>
    <w:p w14:paraId="4AB5AD6E" w14:textId="77777777" w:rsidR="00344A16" w:rsidRDefault="000D177A" w:rsidP="00367808">
      <w:pPr>
        <w:pStyle w:val="ListParagraph"/>
        <w:numPr>
          <w:ilvl w:val="0"/>
          <w:numId w:val="2"/>
        </w:numPr>
        <w:tabs>
          <w:tab w:val="left" w:pos="0"/>
        </w:tabs>
        <w:spacing w:after="0" w:line="360" w:lineRule="auto"/>
        <w:ind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Exhibits that lack proper authentication.</w:t>
      </w:r>
    </w:p>
    <w:p w14:paraId="75305785" w14:textId="77777777" w:rsidR="00344A16" w:rsidRDefault="00344A16" w:rsidP="00344A16">
      <w:pPr>
        <w:tabs>
          <w:tab w:val="left" w:pos="0"/>
        </w:tabs>
        <w:spacing w:after="0" w:line="360" w:lineRule="auto"/>
        <w:rPr>
          <w:rFonts w:ascii="Times New Roman" w:eastAsia="Times New Roman" w:hAnsi="Times New Roman" w:cs="Times New Roman"/>
          <w:sz w:val="24"/>
          <w:szCs w:val="20"/>
        </w:rPr>
      </w:pPr>
    </w:p>
    <w:p w14:paraId="4E98826A" w14:textId="3D4464F6" w:rsidR="00C33DC7" w:rsidRDefault="00C33DC7" w:rsidP="00C33DC7">
      <w:pPr>
        <w:tabs>
          <w:tab w:val="left" w:pos="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b/>
          <w:bCs/>
          <w:sz w:val="24"/>
          <w:szCs w:val="20"/>
        </w:rPr>
        <w:tab/>
      </w:r>
      <w:r>
        <w:rPr>
          <w:rFonts w:ascii="Times New Roman" w:eastAsia="Times New Roman" w:hAnsi="Times New Roman" w:cs="Times New Roman"/>
          <w:b/>
          <w:bCs/>
          <w:sz w:val="24"/>
          <w:szCs w:val="20"/>
        </w:rPr>
        <w:tab/>
      </w:r>
      <w:r w:rsidR="00862BB8" w:rsidRPr="00862BB8">
        <w:rPr>
          <w:rFonts w:ascii="Times New Roman" w:eastAsia="Times New Roman" w:hAnsi="Times New Roman" w:cs="Times New Roman"/>
          <w:sz w:val="24"/>
          <w:szCs w:val="20"/>
        </w:rPr>
        <w:t>Preliminarily, I note that</w:t>
      </w:r>
      <w:r w:rsidR="00862BB8">
        <w:rPr>
          <w:rFonts w:ascii="Times New Roman" w:eastAsia="Times New Roman" w:hAnsi="Times New Roman" w:cs="Times New Roman"/>
          <w:b/>
          <w:bCs/>
          <w:sz w:val="24"/>
          <w:szCs w:val="20"/>
        </w:rPr>
        <w:t xml:space="preserve"> t</w:t>
      </w:r>
      <w:r w:rsidR="00D355CB">
        <w:rPr>
          <w:rFonts w:ascii="Times New Roman" w:eastAsia="Times New Roman" w:hAnsi="Times New Roman" w:cs="Times New Roman"/>
          <w:sz w:val="24"/>
          <w:szCs w:val="20"/>
        </w:rPr>
        <w:t xml:space="preserve">he Commission, in its April 16, </w:t>
      </w:r>
      <w:proofErr w:type="gramStart"/>
      <w:r w:rsidR="00D355CB">
        <w:rPr>
          <w:rFonts w:ascii="Times New Roman" w:eastAsia="Times New Roman" w:hAnsi="Times New Roman" w:cs="Times New Roman"/>
          <w:sz w:val="24"/>
          <w:szCs w:val="20"/>
        </w:rPr>
        <w:t>2020</w:t>
      </w:r>
      <w:proofErr w:type="gramEnd"/>
      <w:r w:rsidR="00194B8D">
        <w:rPr>
          <w:rFonts w:ascii="Times New Roman" w:eastAsia="Times New Roman" w:hAnsi="Times New Roman" w:cs="Times New Roman"/>
          <w:sz w:val="24"/>
          <w:szCs w:val="20"/>
        </w:rPr>
        <w:t xml:space="preserve"> </w:t>
      </w:r>
      <w:r w:rsidR="00D355CB">
        <w:rPr>
          <w:rFonts w:ascii="Times New Roman" w:eastAsia="Times New Roman" w:hAnsi="Times New Roman" w:cs="Times New Roman"/>
          <w:sz w:val="24"/>
          <w:szCs w:val="20"/>
        </w:rPr>
        <w:t xml:space="preserve">Order, </w:t>
      </w:r>
      <w:r w:rsidR="00F83E9F">
        <w:rPr>
          <w:rFonts w:ascii="Times New Roman" w:eastAsia="Times New Roman" w:hAnsi="Times New Roman" w:cs="Times New Roman"/>
          <w:sz w:val="24"/>
          <w:szCs w:val="20"/>
        </w:rPr>
        <w:t>identified various issues that it</w:t>
      </w:r>
      <w:r w:rsidR="00C27F3D">
        <w:rPr>
          <w:rFonts w:ascii="Times New Roman" w:eastAsia="Times New Roman" w:hAnsi="Times New Roman" w:cs="Times New Roman"/>
          <w:sz w:val="24"/>
          <w:szCs w:val="20"/>
        </w:rPr>
        <w:t xml:space="preserve"> dismissed from consideration in this proceeding.  It also identified </w:t>
      </w:r>
      <w:r w:rsidR="00B43E5C">
        <w:rPr>
          <w:rFonts w:ascii="Times New Roman" w:eastAsia="Times New Roman" w:hAnsi="Times New Roman" w:cs="Times New Roman"/>
          <w:sz w:val="24"/>
          <w:szCs w:val="20"/>
        </w:rPr>
        <w:t xml:space="preserve">the </w:t>
      </w:r>
      <w:r w:rsidR="00C27F3D">
        <w:rPr>
          <w:rFonts w:ascii="Times New Roman" w:eastAsia="Times New Roman" w:hAnsi="Times New Roman" w:cs="Times New Roman"/>
          <w:sz w:val="24"/>
          <w:szCs w:val="20"/>
        </w:rPr>
        <w:t xml:space="preserve">specific issues that </w:t>
      </w:r>
      <w:r w:rsidR="004D2E1A">
        <w:rPr>
          <w:rFonts w:ascii="Times New Roman" w:eastAsia="Times New Roman" w:hAnsi="Times New Roman" w:cs="Times New Roman"/>
          <w:sz w:val="24"/>
          <w:szCs w:val="20"/>
        </w:rPr>
        <w:t xml:space="preserve">were to be addressed </w:t>
      </w:r>
      <w:r w:rsidR="00336E32">
        <w:rPr>
          <w:rFonts w:ascii="Times New Roman" w:eastAsia="Times New Roman" w:hAnsi="Times New Roman" w:cs="Times New Roman"/>
          <w:sz w:val="24"/>
          <w:szCs w:val="20"/>
        </w:rPr>
        <w:t xml:space="preserve">in the remanded proceeding and for which a record was to be developed.  </w:t>
      </w:r>
    </w:p>
    <w:p w14:paraId="720D8734" w14:textId="0C08C876" w:rsidR="00D5002C" w:rsidRDefault="00D5002C" w:rsidP="00C33DC7">
      <w:pPr>
        <w:tabs>
          <w:tab w:val="left" w:pos="0"/>
        </w:tabs>
        <w:spacing w:after="0" w:line="360" w:lineRule="auto"/>
        <w:rPr>
          <w:rFonts w:ascii="Times New Roman" w:eastAsia="Times New Roman" w:hAnsi="Times New Roman" w:cs="Times New Roman"/>
          <w:sz w:val="24"/>
          <w:szCs w:val="20"/>
        </w:rPr>
      </w:pPr>
    </w:p>
    <w:p w14:paraId="47FF0001" w14:textId="0FA66D6E" w:rsidR="00D5002C" w:rsidRDefault="00D5002C" w:rsidP="00C33DC7">
      <w:pPr>
        <w:tabs>
          <w:tab w:val="left" w:pos="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164911">
        <w:rPr>
          <w:rFonts w:ascii="Times New Roman" w:eastAsia="Times New Roman" w:hAnsi="Times New Roman" w:cs="Times New Roman"/>
          <w:sz w:val="24"/>
          <w:szCs w:val="20"/>
        </w:rPr>
        <w:t xml:space="preserve">The following issues were dismissed </w:t>
      </w:r>
      <w:r w:rsidR="006C547B">
        <w:rPr>
          <w:rFonts w:ascii="Times New Roman" w:eastAsia="Times New Roman" w:hAnsi="Times New Roman" w:cs="Times New Roman"/>
          <w:sz w:val="24"/>
          <w:szCs w:val="20"/>
        </w:rPr>
        <w:t>by the Commission fr</w:t>
      </w:r>
      <w:r w:rsidR="005B413E">
        <w:rPr>
          <w:rFonts w:ascii="Times New Roman" w:eastAsia="Times New Roman" w:hAnsi="Times New Roman" w:cs="Times New Roman"/>
          <w:sz w:val="24"/>
          <w:szCs w:val="20"/>
        </w:rPr>
        <w:t>o</w:t>
      </w:r>
      <w:r w:rsidR="006C547B">
        <w:rPr>
          <w:rFonts w:ascii="Times New Roman" w:eastAsia="Times New Roman" w:hAnsi="Times New Roman" w:cs="Times New Roman"/>
          <w:sz w:val="24"/>
          <w:szCs w:val="20"/>
        </w:rPr>
        <w:t>m this proceeding:</w:t>
      </w:r>
    </w:p>
    <w:p w14:paraId="62D6F12F" w14:textId="6AEF75F5" w:rsidR="006C547B" w:rsidRDefault="006C547B" w:rsidP="00C33DC7">
      <w:pPr>
        <w:tabs>
          <w:tab w:val="left" w:pos="0"/>
        </w:tabs>
        <w:spacing w:after="0" w:line="360" w:lineRule="auto"/>
        <w:rPr>
          <w:rFonts w:ascii="Times New Roman" w:eastAsia="Times New Roman" w:hAnsi="Times New Roman" w:cs="Times New Roman"/>
          <w:sz w:val="24"/>
          <w:szCs w:val="20"/>
        </w:rPr>
      </w:pPr>
    </w:p>
    <w:p w14:paraId="7F8D28B1" w14:textId="19D83FD5" w:rsidR="006C547B" w:rsidRDefault="00194B8D" w:rsidP="004F634E">
      <w:pPr>
        <w:pStyle w:val="ListParagraph"/>
        <w:numPr>
          <w:ilvl w:val="0"/>
          <w:numId w:val="4"/>
        </w:numPr>
        <w:spacing w:after="0" w:line="240" w:lineRule="auto"/>
        <w:ind w:left="1440" w:right="144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Whether</w:t>
      </w:r>
      <w:r w:rsidR="004F634E">
        <w:rPr>
          <w:rFonts w:ascii="Times New Roman" w:eastAsia="Times New Roman" w:hAnsi="Times New Roman" w:cs="Times New Roman"/>
          <w:sz w:val="24"/>
          <w:szCs w:val="20"/>
        </w:rPr>
        <w:t xml:space="preserve"> proper notice of activities contemplated by the easement agreement</w:t>
      </w:r>
      <w:r>
        <w:rPr>
          <w:rFonts w:ascii="Times New Roman" w:eastAsia="Times New Roman" w:hAnsi="Times New Roman" w:cs="Times New Roman"/>
          <w:sz w:val="24"/>
          <w:szCs w:val="20"/>
        </w:rPr>
        <w:t xml:space="preserve"> was provided</w:t>
      </w:r>
      <w:r w:rsidR="006B087C">
        <w:rPr>
          <w:rFonts w:ascii="Times New Roman" w:eastAsia="Times New Roman" w:hAnsi="Times New Roman" w:cs="Times New Roman"/>
          <w:sz w:val="24"/>
          <w:szCs w:val="20"/>
        </w:rPr>
        <w:t xml:space="preserve"> (April 20</w:t>
      </w:r>
      <w:r>
        <w:rPr>
          <w:rFonts w:ascii="Times New Roman" w:eastAsia="Times New Roman" w:hAnsi="Times New Roman" w:cs="Times New Roman"/>
          <w:sz w:val="24"/>
          <w:szCs w:val="20"/>
        </w:rPr>
        <w:t>2</w:t>
      </w:r>
      <w:r w:rsidR="006B087C">
        <w:rPr>
          <w:rFonts w:ascii="Times New Roman" w:eastAsia="Times New Roman" w:hAnsi="Times New Roman" w:cs="Times New Roman"/>
          <w:sz w:val="24"/>
          <w:szCs w:val="20"/>
        </w:rPr>
        <w:t>2 Order, p. 14</w:t>
      </w:r>
      <w:proofErr w:type="gramStart"/>
      <w:r w:rsidR="006B087C">
        <w:rPr>
          <w:rFonts w:ascii="Times New Roman" w:eastAsia="Times New Roman" w:hAnsi="Times New Roman" w:cs="Times New Roman"/>
          <w:sz w:val="24"/>
          <w:szCs w:val="20"/>
        </w:rPr>
        <w:t>);</w:t>
      </w:r>
      <w:proofErr w:type="gramEnd"/>
    </w:p>
    <w:p w14:paraId="174CE0D2" w14:textId="59A95BB8" w:rsidR="006B087C" w:rsidRDefault="006B087C" w:rsidP="004F634E">
      <w:pPr>
        <w:pStyle w:val="ListParagraph"/>
        <w:numPr>
          <w:ilvl w:val="0"/>
          <w:numId w:val="4"/>
        </w:numPr>
        <w:spacing w:after="0" w:line="240" w:lineRule="auto"/>
        <w:ind w:left="1440" w:right="144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Complainants’ allegation that PPL </w:t>
      </w:r>
      <w:r w:rsidR="00B741A4">
        <w:rPr>
          <w:rFonts w:ascii="Times New Roman" w:eastAsia="Times New Roman" w:hAnsi="Times New Roman" w:cs="Times New Roman"/>
          <w:sz w:val="24"/>
          <w:szCs w:val="20"/>
        </w:rPr>
        <w:t>E</w:t>
      </w:r>
      <w:r>
        <w:rPr>
          <w:rFonts w:ascii="Times New Roman" w:eastAsia="Times New Roman" w:hAnsi="Times New Roman" w:cs="Times New Roman"/>
          <w:sz w:val="24"/>
          <w:szCs w:val="20"/>
        </w:rPr>
        <w:t xml:space="preserve">lectric’s restoration efforts showed a preference for the National Park </w:t>
      </w:r>
      <w:r w:rsidR="009E2AC0">
        <w:rPr>
          <w:rFonts w:ascii="Times New Roman" w:eastAsia="Times New Roman" w:hAnsi="Times New Roman" w:cs="Times New Roman"/>
          <w:sz w:val="24"/>
          <w:szCs w:val="20"/>
        </w:rPr>
        <w:t xml:space="preserve">Service and constituted discrimination in service that violated Section 1502 of the Public Utility </w:t>
      </w:r>
      <w:r w:rsidR="003A1C28">
        <w:rPr>
          <w:rFonts w:ascii="Times New Roman" w:eastAsia="Times New Roman" w:hAnsi="Times New Roman" w:cs="Times New Roman"/>
          <w:sz w:val="24"/>
          <w:szCs w:val="20"/>
        </w:rPr>
        <w:t>C</w:t>
      </w:r>
      <w:r w:rsidR="009E2AC0">
        <w:rPr>
          <w:rFonts w:ascii="Times New Roman" w:eastAsia="Times New Roman" w:hAnsi="Times New Roman" w:cs="Times New Roman"/>
          <w:sz w:val="24"/>
          <w:szCs w:val="20"/>
        </w:rPr>
        <w:t>ode</w:t>
      </w:r>
      <w:r w:rsidR="003A1C28">
        <w:rPr>
          <w:rFonts w:ascii="Times New Roman" w:eastAsia="Times New Roman" w:hAnsi="Times New Roman" w:cs="Times New Roman"/>
          <w:sz w:val="24"/>
          <w:szCs w:val="20"/>
        </w:rPr>
        <w:t xml:space="preserve"> (April 2020 Order, p. 20</w:t>
      </w:r>
      <w:proofErr w:type="gramStart"/>
      <w:r w:rsidR="003A1C28">
        <w:rPr>
          <w:rFonts w:ascii="Times New Roman" w:eastAsia="Times New Roman" w:hAnsi="Times New Roman" w:cs="Times New Roman"/>
          <w:sz w:val="24"/>
          <w:szCs w:val="20"/>
        </w:rPr>
        <w:t>);</w:t>
      </w:r>
      <w:proofErr w:type="gramEnd"/>
    </w:p>
    <w:p w14:paraId="231F55C7" w14:textId="61BD01BB" w:rsidR="00B1700D" w:rsidRDefault="003A1C28" w:rsidP="004F634E">
      <w:pPr>
        <w:pStyle w:val="ListParagraph"/>
        <w:numPr>
          <w:ilvl w:val="0"/>
          <w:numId w:val="4"/>
        </w:numPr>
        <w:spacing w:after="0" w:line="240" w:lineRule="auto"/>
        <w:ind w:left="1440" w:right="144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Complainants’ request for </w:t>
      </w:r>
      <w:r w:rsidR="0097437F">
        <w:rPr>
          <w:rFonts w:ascii="Times New Roman" w:eastAsia="Times New Roman" w:hAnsi="Times New Roman" w:cs="Times New Roman"/>
          <w:sz w:val="24"/>
          <w:szCs w:val="20"/>
        </w:rPr>
        <w:t xml:space="preserve">a </w:t>
      </w:r>
      <w:r>
        <w:rPr>
          <w:rFonts w:ascii="Times New Roman" w:eastAsia="Times New Roman" w:hAnsi="Times New Roman" w:cs="Times New Roman"/>
          <w:sz w:val="24"/>
          <w:szCs w:val="20"/>
        </w:rPr>
        <w:t xml:space="preserve">ruling </w:t>
      </w:r>
      <w:r w:rsidR="008E438A">
        <w:rPr>
          <w:rFonts w:ascii="Times New Roman" w:eastAsia="Times New Roman" w:hAnsi="Times New Roman" w:cs="Times New Roman"/>
          <w:sz w:val="24"/>
          <w:szCs w:val="20"/>
        </w:rPr>
        <w:t xml:space="preserve">from the PUC as to the scope and validity of the existing easement agreement and whether PPL Electric is acting in accordance with or in breach thereof (April 2020 Order, </w:t>
      </w:r>
      <w:r w:rsidR="00B1700D">
        <w:rPr>
          <w:rFonts w:ascii="Times New Roman" w:eastAsia="Times New Roman" w:hAnsi="Times New Roman" w:cs="Times New Roman"/>
          <w:sz w:val="24"/>
          <w:szCs w:val="20"/>
        </w:rPr>
        <w:t>p. 21</w:t>
      </w:r>
      <w:proofErr w:type="gramStart"/>
      <w:r w:rsidR="00B1700D">
        <w:rPr>
          <w:rFonts w:ascii="Times New Roman" w:eastAsia="Times New Roman" w:hAnsi="Times New Roman" w:cs="Times New Roman"/>
          <w:sz w:val="24"/>
          <w:szCs w:val="20"/>
        </w:rPr>
        <w:t>);</w:t>
      </w:r>
      <w:proofErr w:type="gramEnd"/>
    </w:p>
    <w:p w14:paraId="129CB82E" w14:textId="77777777" w:rsidR="00B1700D" w:rsidRDefault="00B1700D" w:rsidP="004F634E">
      <w:pPr>
        <w:pStyle w:val="ListParagraph"/>
        <w:numPr>
          <w:ilvl w:val="0"/>
          <w:numId w:val="4"/>
        </w:numPr>
        <w:spacing w:after="0" w:line="240" w:lineRule="auto"/>
        <w:ind w:left="1440" w:right="144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Complainants’ request for monetary damages (April 2020 Order, p. 21); and</w:t>
      </w:r>
    </w:p>
    <w:p w14:paraId="17CF1B6E" w14:textId="440FA65C" w:rsidR="003A1C28" w:rsidRDefault="00B1700D" w:rsidP="00A51421">
      <w:pPr>
        <w:pStyle w:val="ListParagraph"/>
        <w:numPr>
          <w:ilvl w:val="0"/>
          <w:numId w:val="4"/>
        </w:numPr>
        <w:spacing w:after="0" w:line="240" w:lineRule="auto"/>
        <w:ind w:left="1440" w:right="144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Complainants’ allegation</w:t>
      </w:r>
      <w:r w:rsidR="00C11581">
        <w:rPr>
          <w:rFonts w:ascii="Times New Roman" w:eastAsia="Times New Roman" w:hAnsi="Times New Roman" w:cs="Times New Roman"/>
          <w:sz w:val="24"/>
          <w:szCs w:val="20"/>
        </w:rPr>
        <w:t>s regarding any environmental impact of PPL Electric’s construction practices, the reasonableness</w:t>
      </w:r>
      <w:r w:rsidR="00C818AE">
        <w:rPr>
          <w:rFonts w:ascii="Times New Roman" w:eastAsia="Times New Roman" w:hAnsi="Times New Roman" w:cs="Times New Roman"/>
          <w:sz w:val="24"/>
          <w:szCs w:val="20"/>
        </w:rPr>
        <w:t xml:space="preserve"> of PPL electric’s environmental protection controls, or lack thereof, or any unpermitted or increases storm water discharges (April 2020 Order, p. 22).</w:t>
      </w:r>
      <w:r w:rsidR="00A51421">
        <w:rPr>
          <w:rFonts w:ascii="Times New Roman" w:eastAsia="Times New Roman" w:hAnsi="Times New Roman" w:cs="Times New Roman"/>
          <w:sz w:val="24"/>
          <w:szCs w:val="20"/>
        </w:rPr>
        <w:t xml:space="preserve">  </w:t>
      </w:r>
      <w:r w:rsidR="008E438A">
        <w:rPr>
          <w:rFonts w:ascii="Times New Roman" w:eastAsia="Times New Roman" w:hAnsi="Times New Roman" w:cs="Times New Roman"/>
          <w:sz w:val="24"/>
          <w:szCs w:val="20"/>
        </w:rPr>
        <w:t xml:space="preserve"> </w:t>
      </w:r>
    </w:p>
    <w:p w14:paraId="4E3256E5" w14:textId="5A830C37" w:rsidR="006B087C" w:rsidRPr="004F634E" w:rsidRDefault="006B087C" w:rsidP="009E2AC0">
      <w:pPr>
        <w:pStyle w:val="ListParagraph"/>
        <w:spacing w:after="0" w:line="240" w:lineRule="auto"/>
        <w:ind w:left="1440" w:right="1440"/>
        <w:rPr>
          <w:rFonts w:ascii="Times New Roman" w:eastAsia="Times New Roman" w:hAnsi="Times New Roman" w:cs="Times New Roman"/>
          <w:sz w:val="24"/>
          <w:szCs w:val="20"/>
        </w:rPr>
      </w:pPr>
    </w:p>
    <w:p w14:paraId="767B8E32" w14:textId="190621EA" w:rsidR="004335A3" w:rsidRDefault="004335A3" w:rsidP="00C33DC7">
      <w:pPr>
        <w:pStyle w:val="ListParagraph"/>
        <w:tabs>
          <w:tab w:val="left" w:pos="0"/>
        </w:tabs>
        <w:spacing w:after="0" w:line="240" w:lineRule="auto"/>
        <w:rPr>
          <w:rFonts w:ascii="Times New Roman" w:eastAsia="Times New Roman" w:hAnsi="Times New Roman" w:cs="Times New Roman"/>
          <w:b/>
          <w:bCs/>
          <w:sz w:val="24"/>
          <w:szCs w:val="20"/>
        </w:rPr>
      </w:pPr>
    </w:p>
    <w:p w14:paraId="620E91FD" w14:textId="7D262628" w:rsidR="00CE7BA6" w:rsidRDefault="00CE7BA6" w:rsidP="00CE7BA6">
      <w:pPr>
        <w:tabs>
          <w:tab w:val="left" w:pos="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The following issues were </w:t>
      </w:r>
      <w:r w:rsidR="00EA00B0">
        <w:rPr>
          <w:rFonts w:ascii="Times New Roman" w:eastAsia="Times New Roman" w:hAnsi="Times New Roman" w:cs="Times New Roman"/>
          <w:sz w:val="24"/>
          <w:szCs w:val="20"/>
        </w:rPr>
        <w:t xml:space="preserve">specifically identified as those for which </w:t>
      </w:r>
      <w:r w:rsidR="005B413E">
        <w:rPr>
          <w:rFonts w:ascii="Times New Roman" w:eastAsia="Times New Roman" w:hAnsi="Times New Roman" w:cs="Times New Roman"/>
          <w:sz w:val="24"/>
          <w:szCs w:val="20"/>
        </w:rPr>
        <w:t>an evidentiary record was to be developed in this proceeding:</w:t>
      </w:r>
    </w:p>
    <w:p w14:paraId="3B92BB5A" w14:textId="1AF48366" w:rsidR="00587E03" w:rsidRDefault="00587E03" w:rsidP="00CE7BA6">
      <w:pPr>
        <w:tabs>
          <w:tab w:val="left" w:pos="0"/>
        </w:tabs>
        <w:spacing w:after="0" w:line="360" w:lineRule="auto"/>
        <w:rPr>
          <w:rFonts w:ascii="Times New Roman" w:eastAsia="Times New Roman" w:hAnsi="Times New Roman" w:cs="Times New Roman"/>
          <w:sz w:val="24"/>
          <w:szCs w:val="20"/>
        </w:rPr>
      </w:pPr>
    </w:p>
    <w:p w14:paraId="2F4E897C" w14:textId="77777777" w:rsidR="00694032" w:rsidRDefault="000D4442" w:rsidP="00587E03">
      <w:pPr>
        <w:pStyle w:val="ListParagraph"/>
        <w:numPr>
          <w:ilvl w:val="0"/>
          <w:numId w:val="5"/>
        </w:numPr>
        <w:tabs>
          <w:tab w:val="left" w:pos="0"/>
        </w:tabs>
        <w:spacing w:after="0" w:line="240" w:lineRule="auto"/>
        <w:ind w:left="1440" w:right="144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Allegations about PPL Electric’s vegetation management practices (April 2020 Order, p. 19</w:t>
      </w:r>
      <w:proofErr w:type="gramStart"/>
      <w:r>
        <w:rPr>
          <w:rFonts w:ascii="Times New Roman" w:eastAsia="Times New Roman" w:hAnsi="Times New Roman" w:cs="Times New Roman"/>
          <w:sz w:val="24"/>
          <w:szCs w:val="20"/>
        </w:rPr>
        <w:t>);</w:t>
      </w:r>
      <w:proofErr w:type="gramEnd"/>
    </w:p>
    <w:p w14:paraId="7168F953" w14:textId="77777777" w:rsidR="00694032" w:rsidRDefault="00694032" w:rsidP="00587E03">
      <w:pPr>
        <w:pStyle w:val="ListParagraph"/>
        <w:numPr>
          <w:ilvl w:val="0"/>
          <w:numId w:val="5"/>
        </w:numPr>
        <w:tabs>
          <w:tab w:val="left" w:pos="0"/>
        </w:tabs>
        <w:spacing w:after="0" w:line="240" w:lineRule="auto"/>
        <w:ind w:left="1440" w:right="144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Allegations about the quality and reasonableness of PPL Electric’s construction efforts (April 2020 Order, p. 19); and</w:t>
      </w:r>
    </w:p>
    <w:p w14:paraId="3161AE95" w14:textId="633BFE05" w:rsidR="00587E03" w:rsidRPr="00587E03" w:rsidRDefault="00694032" w:rsidP="00587E03">
      <w:pPr>
        <w:pStyle w:val="ListParagraph"/>
        <w:numPr>
          <w:ilvl w:val="0"/>
          <w:numId w:val="5"/>
        </w:numPr>
        <w:tabs>
          <w:tab w:val="left" w:pos="0"/>
        </w:tabs>
        <w:spacing w:after="0" w:line="240" w:lineRule="auto"/>
        <w:ind w:left="1440" w:right="144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Allegations about the safety</w:t>
      </w:r>
      <w:r w:rsidR="002D413D">
        <w:rPr>
          <w:rFonts w:ascii="Times New Roman" w:eastAsia="Times New Roman" w:hAnsi="Times New Roman" w:cs="Times New Roman"/>
          <w:sz w:val="24"/>
          <w:szCs w:val="20"/>
        </w:rPr>
        <w:t xml:space="preserve"> impact of the construction and alleged destruction of vegetation on the Complainants’ property, including, but not limited to, any erosion to the soil and sedimentation on the Complainant’s property and any safety hazards resulting therefrom that may be reasonably identified and the steps that PPL Electric proposes to </w:t>
      </w:r>
      <w:r w:rsidR="00F832D7">
        <w:rPr>
          <w:rFonts w:ascii="Times New Roman" w:eastAsia="Times New Roman" w:hAnsi="Times New Roman" w:cs="Times New Roman"/>
          <w:sz w:val="24"/>
          <w:szCs w:val="20"/>
        </w:rPr>
        <w:t xml:space="preserve">implement in order to adhere to its statutory duty to furnish adequate, safe and reasonable service (April 2020 Order, pp. 22-23).  </w:t>
      </w:r>
      <w:r w:rsidR="00587E03" w:rsidRPr="00587E03">
        <w:rPr>
          <w:rFonts w:ascii="Times New Roman" w:eastAsia="Times New Roman" w:hAnsi="Times New Roman" w:cs="Times New Roman"/>
          <w:sz w:val="24"/>
          <w:szCs w:val="20"/>
        </w:rPr>
        <w:tab/>
      </w:r>
      <w:r w:rsidR="00587E03" w:rsidRPr="00587E03">
        <w:rPr>
          <w:rFonts w:ascii="Times New Roman" w:eastAsia="Times New Roman" w:hAnsi="Times New Roman" w:cs="Times New Roman"/>
          <w:sz w:val="24"/>
          <w:szCs w:val="20"/>
        </w:rPr>
        <w:tab/>
      </w:r>
    </w:p>
    <w:p w14:paraId="79B501B8" w14:textId="77777777" w:rsidR="00587E03" w:rsidRDefault="00587E03" w:rsidP="00587E03">
      <w:pPr>
        <w:tabs>
          <w:tab w:val="left" w:pos="0"/>
        </w:tabs>
        <w:spacing w:after="0" w:line="360" w:lineRule="auto"/>
        <w:ind w:firstLine="720"/>
        <w:rPr>
          <w:rFonts w:ascii="Times New Roman" w:eastAsia="Times New Roman" w:hAnsi="Times New Roman" w:cs="Times New Roman"/>
          <w:sz w:val="24"/>
          <w:szCs w:val="20"/>
        </w:rPr>
      </w:pPr>
    </w:p>
    <w:p w14:paraId="64037DEF" w14:textId="190723B2" w:rsidR="00CE7BA6" w:rsidRDefault="00B43E5C" w:rsidP="00D367EA">
      <w:pPr>
        <w:tabs>
          <w:tab w:val="left" w:pos="0"/>
        </w:tabs>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It is against </w:t>
      </w:r>
      <w:r w:rsidR="001D1812">
        <w:rPr>
          <w:rFonts w:ascii="Times New Roman" w:eastAsia="Times New Roman" w:hAnsi="Times New Roman" w:cs="Times New Roman"/>
          <w:sz w:val="24"/>
          <w:szCs w:val="20"/>
        </w:rPr>
        <w:t>these directives from the Commission that I address PPL’s Motion and the Ha</w:t>
      </w:r>
      <w:r w:rsidR="00D367EA">
        <w:rPr>
          <w:rFonts w:ascii="Times New Roman" w:eastAsia="Times New Roman" w:hAnsi="Times New Roman" w:cs="Times New Roman"/>
          <w:sz w:val="24"/>
          <w:szCs w:val="20"/>
        </w:rPr>
        <w:t>r</w:t>
      </w:r>
      <w:r w:rsidR="001D1812">
        <w:rPr>
          <w:rFonts w:ascii="Times New Roman" w:eastAsia="Times New Roman" w:hAnsi="Times New Roman" w:cs="Times New Roman"/>
          <w:sz w:val="24"/>
          <w:szCs w:val="20"/>
        </w:rPr>
        <w:t>tmans’</w:t>
      </w:r>
      <w:r w:rsidR="00D367EA">
        <w:rPr>
          <w:rFonts w:ascii="Times New Roman" w:eastAsia="Times New Roman" w:hAnsi="Times New Roman" w:cs="Times New Roman"/>
          <w:sz w:val="24"/>
          <w:szCs w:val="20"/>
        </w:rPr>
        <w:t xml:space="preserve"> responses thereto.</w:t>
      </w:r>
      <w:r w:rsidR="001D1812">
        <w:rPr>
          <w:rFonts w:ascii="Times New Roman" w:eastAsia="Times New Roman" w:hAnsi="Times New Roman" w:cs="Times New Roman"/>
          <w:sz w:val="24"/>
          <w:szCs w:val="20"/>
        </w:rPr>
        <w:t xml:space="preserve">  </w:t>
      </w:r>
    </w:p>
    <w:p w14:paraId="6E03C78D" w14:textId="77777777" w:rsidR="00B43E5C" w:rsidRDefault="00B43E5C" w:rsidP="00CE7BA6">
      <w:pPr>
        <w:tabs>
          <w:tab w:val="left" w:pos="0"/>
        </w:tabs>
        <w:spacing w:after="0" w:line="360" w:lineRule="auto"/>
        <w:rPr>
          <w:rFonts w:ascii="Times New Roman" w:eastAsia="Times New Roman" w:hAnsi="Times New Roman" w:cs="Times New Roman"/>
          <w:sz w:val="24"/>
          <w:szCs w:val="20"/>
        </w:rPr>
      </w:pPr>
    </w:p>
    <w:p w14:paraId="0BD543B7" w14:textId="77777777" w:rsidR="00862BB8" w:rsidRDefault="00862BB8" w:rsidP="00862BB8">
      <w:pPr>
        <w:pStyle w:val="ListParagraph"/>
        <w:numPr>
          <w:ilvl w:val="0"/>
          <w:numId w:val="3"/>
        </w:numPr>
        <w:tabs>
          <w:tab w:val="left" w:pos="0"/>
        </w:tabs>
        <w:spacing w:after="0" w:line="360" w:lineRule="auto"/>
        <w:ind w:hanging="720"/>
        <w:rPr>
          <w:rFonts w:ascii="Times New Roman" w:eastAsia="Times New Roman" w:hAnsi="Times New Roman" w:cs="Times New Roman"/>
          <w:b/>
          <w:bCs/>
          <w:sz w:val="24"/>
          <w:szCs w:val="20"/>
        </w:rPr>
      </w:pPr>
      <w:r w:rsidRPr="004335A3">
        <w:rPr>
          <w:rFonts w:ascii="Times New Roman" w:eastAsia="Times New Roman" w:hAnsi="Times New Roman" w:cs="Times New Roman"/>
          <w:b/>
          <w:bCs/>
          <w:sz w:val="24"/>
          <w:szCs w:val="20"/>
        </w:rPr>
        <w:t>Testimony and exhibits that are outside the scope of this proceeding</w:t>
      </w:r>
      <w:r>
        <w:rPr>
          <w:rFonts w:ascii="Times New Roman" w:eastAsia="Times New Roman" w:hAnsi="Times New Roman" w:cs="Times New Roman"/>
          <w:b/>
          <w:bCs/>
          <w:sz w:val="24"/>
          <w:szCs w:val="20"/>
        </w:rPr>
        <w:t>.</w:t>
      </w:r>
    </w:p>
    <w:p w14:paraId="41B5446B" w14:textId="77777777" w:rsidR="00CE7BA6" w:rsidRPr="00862BB8" w:rsidRDefault="00CE7BA6" w:rsidP="00862BB8">
      <w:pPr>
        <w:tabs>
          <w:tab w:val="left" w:pos="0"/>
        </w:tabs>
        <w:spacing w:after="0" w:line="240" w:lineRule="auto"/>
        <w:rPr>
          <w:rFonts w:ascii="Times New Roman" w:eastAsia="Times New Roman" w:hAnsi="Times New Roman" w:cs="Times New Roman"/>
          <w:b/>
          <w:bCs/>
          <w:sz w:val="24"/>
          <w:szCs w:val="20"/>
        </w:rPr>
      </w:pPr>
    </w:p>
    <w:p w14:paraId="41378250" w14:textId="42F5C972" w:rsidR="00A25C76" w:rsidRDefault="00E32CB9" w:rsidP="009E02C2">
      <w:pPr>
        <w:pStyle w:val="ListParagraph"/>
        <w:tabs>
          <w:tab w:val="left" w:pos="0"/>
        </w:tabs>
        <w:spacing w:after="0" w:line="360" w:lineRule="auto"/>
        <w:ind w:left="0"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PPL first </w:t>
      </w:r>
      <w:r w:rsidR="00D27AE4">
        <w:rPr>
          <w:rFonts w:ascii="Times New Roman" w:eastAsia="Times New Roman" w:hAnsi="Times New Roman" w:cs="Times New Roman"/>
          <w:sz w:val="24"/>
          <w:szCs w:val="20"/>
        </w:rPr>
        <w:t xml:space="preserve">cites to the passage in the Commission’s April 2020 Order </w:t>
      </w:r>
      <w:r w:rsidR="009E02C2">
        <w:rPr>
          <w:rFonts w:ascii="Times New Roman" w:eastAsia="Times New Roman" w:hAnsi="Times New Roman" w:cs="Times New Roman"/>
          <w:sz w:val="24"/>
          <w:szCs w:val="20"/>
        </w:rPr>
        <w:t>that states: “[w]</w:t>
      </w:r>
      <w:proofErr w:type="spellStart"/>
      <w:r w:rsidR="009E02C2">
        <w:rPr>
          <w:rFonts w:ascii="Times New Roman" w:eastAsia="Times New Roman" w:hAnsi="Times New Roman" w:cs="Times New Roman"/>
          <w:sz w:val="24"/>
          <w:szCs w:val="20"/>
        </w:rPr>
        <w:t>hile</w:t>
      </w:r>
      <w:proofErr w:type="spellEnd"/>
      <w:r w:rsidR="009E02C2">
        <w:rPr>
          <w:rFonts w:ascii="Times New Roman" w:eastAsia="Times New Roman" w:hAnsi="Times New Roman" w:cs="Times New Roman"/>
          <w:sz w:val="24"/>
          <w:szCs w:val="20"/>
        </w:rPr>
        <w:t xml:space="preserve"> the Code has a provision for the discrimination </w:t>
      </w:r>
      <w:r w:rsidR="006D1481">
        <w:rPr>
          <w:rFonts w:ascii="Times New Roman" w:eastAsia="Times New Roman" w:hAnsi="Times New Roman" w:cs="Times New Roman"/>
          <w:sz w:val="24"/>
          <w:szCs w:val="20"/>
        </w:rPr>
        <w:t>in</w:t>
      </w:r>
      <w:r w:rsidR="009E02C2">
        <w:rPr>
          <w:rFonts w:ascii="Times New Roman" w:eastAsia="Times New Roman" w:hAnsi="Times New Roman" w:cs="Times New Roman"/>
          <w:sz w:val="24"/>
          <w:szCs w:val="20"/>
        </w:rPr>
        <w:t xml:space="preserve"> service</w:t>
      </w:r>
      <w:r w:rsidR="00CF0AD1">
        <w:rPr>
          <w:rFonts w:ascii="Times New Roman" w:eastAsia="Times New Roman" w:hAnsi="Times New Roman" w:cs="Times New Roman"/>
          <w:sz w:val="24"/>
          <w:szCs w:val="20"/>
        </w:rPr>
        <w:t xml:space="preserve"> in Section 1502 of the </w:t>
      </w:r>
      <w:r w:rsidR="007570B1">
        <w:rPr>
          <w:rFonts w:ascii="Times New Roman" w:eastAsia="Times New Roman" w:hAnsi="Times New Roman" w:cs="Times New Roman"/>
          <w:sz w:val="24"/>
          <w:szCs w:val="20"/>
        </w:rPr>
        <w:t>C</w:t>
      </w:r>
      <w:r w:rsidR="00CF0AD1">
        <w:rPr>
          <w:rFonts w:ascii="Times New Roman" w:eastAsia="Times New Roman" w:hAnsi="Times New Roman" w:cs="Times New Roman"/>
          <w:sz w:val="24"/>
          <w:szCs w:val="20"/>
        </w:rPr>
        <w:t>ode, 66 Pa. C.S. §</w:t>
      </w:r>
      <w:r w:rsidR="007570B1">
        <w:rPr>
          <w:rFonts w:ascii="Times New Roman" w:eastAsia="Times New Roman" w:hAnsi="Times New Roman" w:cs="Times New Roman"/>
          <w:sz w:val="24"/>
          <w:szCs w:val="20"/>
        </w:rPr>
        <w:t>1502,</w:t>
      </w:r>
      <w:r w:rsidR="008F266C">
        <w:rPr>
          <w:rFonts w:ascii="Times New Roman" w:eastAsia="Times New Roman" w:hAnsi="Times New Roman" w:cs="Times New Roman"/>
          <w:sz w:val="24"/>
          <w:szCs w:val="20"/>
        </w:rPr>
        <w:t xml:space="preserve"> </w:t>
      </w:r>
      <w:r w:rsidR="00FE6514">
        <w:rPr>
          <w:rFonts w:ascii="Times New Roman" w:eastAsia="Times New Roman" w:hAnsi="Times New Roman" w:cs="Times New Roman"/>
          <w:sz w:val="24"/>
          <w:szCs w:val="20"/>
        </w:rPr>
        <w:t xml:space="preserve">we have not </w:t>
      </w:r>
      <w:r w:rsidR="008F266C">
        <w:rPr>
          <w:rFonts w:ascii="Times New Roman" w:eastAsia="Times New Roman" w:hAnsi="Times New Roman" w:cs="Times New Roman"/>
          <w:sz w:val="24"/>
          <w:szCs w:val="20"/>
        </w:rPr>
        <w:t xml:space="preserve">interpreted that provision to include the restoration of property impacted by activities of a utility in order to supply service to the public.”  </w:t>
      </w:r>
      <w:r w:rsidR="008D1BDA">
        <w:rPr>
          <w:rFonts w:ascii="Times New Roman" w:eastAsia="Times New Roman" w:hAnsi="Times New Roman" w:cs="Times New Roman"/>
          <w:sz w:val="24"/>
          <w:szCs w:val="20"/>
        </w:rPr>
        <w:t>(April 2020 Order, p. 20).</w:t>
      </w:r>
      <w:r w:rsidR="006B0CDB">
        <w:rPr>
          <w:rFonts w:ascii="Times New Roman" w:eastAsia="Times New Roman" w:hAnsi="Times New Roman" w:cs="Times New Roman"/>
          <w:sz w:val="24"/>
          <w:szCs w:val="20"/>
        </w:rPr>
        <w:t xml:space="preserve">  Based on th</w:t>
      </w:r>
      <w:r w:rsidR="00983F0B">
        <w:rPr>
          <w:rFonts w:ascii="Times New Roman" w:eastAsia="Times New Roman" w:hAnsi="Times New Roman" w:cs="Times New Roman"/>
          <w:sz w:val="24"/>
          <w:szCs w:val="20"/>
        </w:rPr>
        <w:t>is</w:t>
      </w:r>
      <w:r w:rsidR="006B0CDB">
        <w:rPr>
          <w:rFonts w:ascii="Times New Roman" w:eastAsia="Times New Roman" w:hAnsi="Times New Roman" w:cs="Times New Roman"/>
          <w:sz w:val="24"/>
          <w:szCs w:val="20"/>
        </w:rPr>
        <w:t xml:space="preserve"> </w:t>
      </w:r>
      <w:r w:rsidR="00983F0B">
        <w:rPr>
          <w:rFonts w:ascii="Times New Roman" w:eastAsia="Times New Roman" w:hAnsi="Times New Roman" w:cs="Times New Roman"/>
          <w:sz w:val="24"/>
          <w:szCs w:val="20"/>
        </w:rPr>
        <w:t>directive, PPL seeks to strike statements and exhibits</w:t>
      </w:r>
      <w:r w:rsidR="00BE5903">
        <w:rPr>
          <w:rFonts w:ascii="Times New Roman" w:eastAsia="Times New Roman" w:hAnsi="Times New Roman" w:cs="Times New Roman"/>
          <w:sz w:val="24"/>
          <w:szCs w:val="20"/>
        </w:rPr>
        <w:t xml:space="preserve"> that support </w:t>
      </w:r>
      <w:r w:rsidR="007274EC">
        <w:rPr>
          <w:rFonts w:ascii="Times New Roman" w:eastAsia="Times New Roman" w:hAnsi="Times New Roman" w:cs="Times New Roman"/>
          <w:sz w:val="24"/>
          <w:szCs w:val="20"/>
        </w:rPr>
        <w:t xml:space="preserve">allegations of discrimination </w:t>
      </w:r>
      <w:r w:rsidR="000F1826">
        <w:rPr>
          <w:rFonts w:ascii="Times New Roman" w:eastAsia="Times New Roman" w:hAnsi="Times New Roman" w:cs="Times New Roman"/>
          <w:sz w:val="24"/>
          <w:szCs w:val="20"/>
        </w:rPr>
        <w:t>in</w:t>
      </w:r>
      <w:r w:rsidR="007274EC">
        <w:rPr>
          <w:rFonts w:ascii="Times New Roman" w:eastAsia="Times New Roman" w:hAnsi="Times New Roman" w:cs="Times New Roman"/>
          <w:sz w:val="24"/>
          <w:szCs w:val="20"/>
        </w:rPr>
        <w:t xml:space="preserve"> service between the Hartmans’ property and adjoining property owned by the National Park Service (NPS).  </w:t>
      </w:r>
      <w:proofErr w:type="gramStart"/>
      <w:r w:rsidR="002B37A6">
        <w:rPr>
          <w:rFonts w:ascii="Times New Roman" w:eastAsia="Times New Roman" w:hAnsi="Times New Roman" w:cs="Times New Roman"/>
          <w:sz w:val="24"/>
          <w:szCs w:val="20"/>
        </w:rPr>
        <w:t>In particular, PPL</w:t>
      </w:r>
      <w:proofErr w:type="gramEnd"/>
      <w:r w:rsidR="002B37A6">
        <w:rPr>
          <w:rFonts w:ascii="Times New Roman" w:eastAsia="Times New Roman" w:hAnsi="Times New Roman" w:cs="Times New Roman"/>
          <w:sz w:val="24"/>
          <w:szCs w:val="20"/>
        </w:rPr>
        <w:t xml:space="preserve"> seeks to strike Hartman Exhibit A, ¶¶2, </w:t>
      </w:r>
      <w:r w:rsidR="003D3241">
        <w:rPr>
          <w:rFonts w:ascii="Times New Roman" w:eastAsia="Times New Roman" w:hAnsi="Times New Roman" w:cs="Times New Roman"/>
          <w:sz w:val="24"/>
          <w:szCs w:val="20"/>
        </w:rPr>
        <w:t>40, 49, 5</w:t>
      </w:r>
      <w:r w:rsidR="002E6F0A">
        <w:rPr>
          <w:rFonts w:ascii="Times New Roman" w:eastAsia="Times New Roman" w:hAnsi="Times New Roman" w:cs="Times New Roman"/>
          <w:sz w:val="24"/>
          <w:szCs w:val="20"/>
        </w:rPr>
        <w:t>4</w:t>
      </w:r>
      <w:r w:rsidR="003D3241">
        <w:rPr>
          <w:rFonts w:ascii="Times New Roman" w:eastAsia="Times New Roman" w:hAnsi="Times New Roman" w:cs="Times New Roman"/>
          <w:sz w:val="24"/>
          <w:szCs w:val="20"/>
        </w:rPr>
        <w:t xml:space="preserve">, 57, 62-66, 74-75, 92-93, 112, 116-121, 132-133, </w:t>
      </w:r>
      <w:r w:rsidR="00017ADF">
        <w:rPr>
          <w:rFonts w:ascii="Times New Roman" w:eastAsia="Times New Roman" w:hAnsi="Times New Roman" w:cs="Times New Roman"/>
          <w:sz w:val="24"/>
          <w:szCs w:val="20"/>
        </w:rPr>
        <w:t>1</w:t>
      </w:r>
      <w:r w:rsidR="003D3241">
        <w:rPr>
          <w:rFonts w:ascii="Times New Roman" w:eastAsia="Times New Roman" w:hAnsi="Times New Roman" w:cs="Times New Roman"/>
          <w:sz w:val="24"/>
          <w:szCs w:val="20"/>
        </w:rPr>
        <w:t>36</w:t>
      </w:r>
      <w:r w:rsidR="00ED2BEC">
        <w:rPr>
          <w:rFonts w:ascii="Times New Roman" w:eastAsia="Times New Roman" w:hAnsi="Times New Roman" w:cs="Times New Roman"/>
          <w:sz w:val="24"/>
          <w:szCs w:val="20"/>
        </w:rPr>
        <w:t>, and Hartman Exhibit Nos. 31, 45, 46, 48, 49, 50 and 51.</w:t>
      </w:r>
    </w:p>
    <w:p w14:paraId="029798D7" w14:textId="58B20A07" w:rsidR="007B425E" w:rsidRPr="004335A3" w:rsidRDefault="00983F0B" w:rsidP="009E02C2">
      <w:pPr>
        <w:pStyle w:val="ListParagraph"/>
        <w:tabs>
          <w:tab w:val="left" w:pos="0"/>
        </w:tabs>
        <w:spacing w:after="0" w:line="360" w:lineRule="auto"/>
        <w:ind w:left="0"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9E02C2">
        <w:rPr>
          <w:rFonts w:ascii="Times New Roman" w:eastAsia="Times New Roman" w:hAnsi="Times New Roman" w:cs="Times New Roman"/>
          <w:sz w:val="24"/>
          <w:szCs w:val="20"/>
        </w:rPr>
        <w:t xml:space="preserve"> </w:t>
      </w:r>
      <w:r w:rsidR="00344A16" w:rsidRPr="004335A3">
        <w:rPr>
          <w:rFonts w:ascii="Times New Roman" w:eastAsia="Times New Roman" w:hAnsi="Times New Roman" w:cs="Times New Roman"/>
          <w:sz w:val="24"/>
          <w:szCs w:val="20"/>
        </w:rPr>
        <w:tab/>
      </w:r>
      <w:r w:rsidR="00344A16" w:rsidRPr="004335A3">
        <w:rPr>
          <w:rFonts w:ascii="Times New Roman" w:eastAsia="Times New Roman" w:hAnsi="Times New Roman" w:cs="Times New Roman"/>
          <w:sz w:val="24"/>
          <w:szCs w:val="20"/>
        </w:rPr>
        <w:tab/>
      </w:r>
      <w:r w:rsidR="009A15A4" w:rsidRPr="004335A3">
        <w:rPr>
          <w:rFonts w:ascii="Times New Roman" w:eastAsia="Times New Roman" w:hAnsi="Times New Roman" w:cs="Times New Roman"/>
          <w:sz w:val="24"/>
          <w:szCs w:val="20"/>
        </w:rPr>
        <w:t xml:space="preserve"> </w:t>
      </w:r>
      <w:r w:rsidR="00CD6543" w:rsidRPr="004335A3">
        <w:rPr>
          <w:rFonts w:ascii="Times New Roman" w:eastAsia="Times New Roman" w:hAnsi="Times New Roman" w:cs="Times New Roman"/>
          <w:sz w:val="24"/>
          <w:szCs w:val="20"/>
        </w:rPr>
        <w:t xml:space="preserve"> </w:t>
      </w:r>
    </w:p>
    <w:p w14:paraId="4E14DB83" w14:textId="7C7091F9" w:rsidR="00C50461" w:rsidRDefault="00CC1C1D" w:rsidP="00BA7D17">
      <w:pPr>
        <w:tabs>
          <w:tab w:val="left" w:pos="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ab/>
      </w:r>
      <w:r>
        <w:rPr>
          <w:rFonts w:ascii="Times New Roman" w:eastAsia="Times New Roman" w:hAnsi="Times New Roman" w:cs="Times New Roman"/>
          <w:sz w:val="24"/>
          <w:szCs w:val="20"/>
        </w:rPr>
        <w:tab/>
      </w:r>
      <w:r w:rsidR="00E43D0E">
        <w:rPr>
          <w:rFonts w:ascii="Times New Roman" w:eastAsia="Times New Roman" w:hAnsi="Times New Roman" w:cs="Times New Roman"/>
          <w:sz w:val="24"/>
          <w:szCs w:val="20"/>
        </w:rPr>
        <w:t xml:space="preserve">In their response, the Hartmans </w:t>
      </w:r>
      <w:r w:rsidR="002137FB">
        <w:rPr>
          <w:rFonts w:ascii="Times New Roman" w:eastAsia="Times New Roman" w:hAnsi="Times New Roman" w:cs="Times New Roman"/>
          <w:sz w:val="24"/>
          <w:szCs w:val="20"/>
        </w:rPr>
        <w:t>deny that the relevant testimony and exhibits</w:t>
      </w:r>
      <w:r w:rsidR="00CD23C4">
        <w:rPr>
          <w:rFonts w:ascii="Times New Roman" w:eastAsia="Times New Roman" w:hAnsi="Times New Roman" w:cs="Times New Roman"/>
          <w:sz w:val="24"/>
          <w:szCs w:val="20"/>
        </w:rPr>
        <w:t xml:space="preserve"> </w:t>
      </w:r>
      <w:r w:rsidR="00577F1B">
        <w:rPr>
          <w:rFonts w:ascii="Times New Roman" w:eastAsia="Times New Roman" w:hAnsi="Times New Roman" w:cs="Times New Roman"/>
          <w:sz w:val="24"/>
          <w:szCs w:val="20"/>
        </w:rPr>
        <w:t>are</w:t>
      </w:r>
      <w:r w:rsidR="00CD23C4">
        <w:rPr>
          <w:rFonts w:ascii="Times New Roman" w:eastAsia="Times New Roman" w:hAnsi="Times New Roman" w:cs="Times New Roman"/>
          <w:sz w:val="24"/>
          <w:szCs w:val="20"/>
        </w:rPr>
        <w:t xml:space="preserve"> being introduced to show discrimination in </w:t>
      </w:r>
      <w:r w:rsidR="000F2D49">
        <w:rPr>
          <w:rFonts w:ascii="Times New Roman" w:eastAsia="Times New Roman" w:hAnsi="Times New Roman" w:cs="Times New Roman"/>
          <w:sz w:val="24"/>
          <w:szCs w:val="20"/>
        </w:rPr>
        <w:t xml:space="preserve">PPL’s restoration efforts between the two properties but, rather, </w:t>
      </w:r>
      <w:r w:rsidR="000D4C8B">
        <w:rPr>
          <w:rFonts w:ascii="Times New Roman" w:eastAsia="Times New Roman" w:hAnsi="Times New Roman" w:cs="Times New Roman"/>
          <w:sz w:val="24"/>
          <w:szCs w:val="20"/>
        </w:rPr>
        <w:t>are</w:t>
      </w:r>
      <w:r w:rsidR="00A3034A">
        <w:rPr>
          <w:rFonts w:ascii="Times New Roman" w:eastAsia="Times New Roman" w:hAnsi="Times New Roman" w:cs="Times New Roman"/>
          <w:sz w:val="24"/>
          <w:szCs w:val="20"/>
        </w:rPr>
        <w:t xml:space="preserve"> intended to prove that PPL’s construction and vegetation management practice</w:t>
      </w:r>
      <w:r w:rsidR="00636342">
        <w:rPr>
          <w:rFonts w:ascii="Times New Roman" w:eastAsia="Times New Roman" w:hAnsi="Times New Roman" w:cs="Times New Roman"/>
          <w:sz w:val="24"/>
          <w:szCs w:val="20"/>
        </w:rPr>
        <w:t xml:space="preserve">s on their property were unreasonable and did not reflect safe, adequate, and reliable service.  </w:t>
      </w:r>
    </w:p>
    <w:p w14:paraId="63FE0FD1" w14:textId="77777777" w:rsidR="00C50461" w:rsidRDefault="00C50461" w:rsidP="00BA7D17">
      <w:pPr>
        <w:tabs>
          <w:tab w:val="left" w:pos="0"/>
        </w:tabs>
        <w:spacing w:after="0" w:line="360" w:lineRule="auto"/>
        <w:rPr>
          <w:rFonts w:ascii="Times New Roman" w:eastAsia="Times New Roman" w:hAnsi="Times New Roman" w:cs="Times New Roman"/>
          <w:sz w:val="24"/>
          <w:szCs w:val="20"/>
        </w:rPr>
      </w:pPr>
    </w:p>
    <w:p w14:paraId="265E67D9" w14:textId="2FE3F0CF" w:rsidR="005051F6" w:rsidRDefault="00C50461" w:rsidP="008B6553">
      <w:pPr>
        <w:pStyle w:val="ListParagraph"/>
        <w:tabs>
          <w:tab w:val="left" w:pos="0"/>
        </w:tabs>
        <w:spacing w:after="0" w:line="360" w:lineRule="auto"/>
        <w:ind w:left="0"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ab/>
        <w:t>The Hartmans are correct that, while the Commission excluded from consideration in this proceeding</w:t>
      </w:r>
      <w:r w:rsidR="007A327F">
        <w:rPr>
          <w:rFonts w:ascii="Times New Roman" w:eastAsia="Times New Roman" w:hAnsi="Times New Roman" w:cs="Times New Roman"/>
          <w:sz w:val="24"/>
          <w:szCs w:val="20"/>
        </w:rPr>
        <w:t xml:space="preserve"> allegations of discrimination in </w:t>
      </w:r>
      <w:r w:rsidR="00C01477">
        <w:rPr>
          <w:rFonts w:ascii="Times New Roman" w:eastAsia="Times New Roman" w:hAnsi="Times New Roman" w:cs="Times New Roman"/>
          <w:sz w:val="24"/>
          <w:szCs w:val="20"/>
        </w:rPr>
        <w:t xml:space="preserve">restoration activities between the two properties, it did not exclude from consideration </w:t>
      </w:r>
      <w:r w:rsidR="002F0ABF">
        <w:rPr>
          <w:rFonts w:ascii="Times New Roman" w:eastAsia="Times New Roman" w:hAnsi="Times New Roman" w:cs="Times New Roman"/>
          <w:sz w:val="24"/>
          <w:szCs w:val="20"/>
        </w:rPr>
        <w:t xml:space="preserve">more general </w:t>
      </w:r>
      <w:r w:rsidR="00F26ABB">
        <w:rPr>
          <w:rFonts w:ascii="Times New Roman" w:eastAsia="Times New Roman" w:hAnsi="Times New Roman" w:cs="Times New Roman"/>
          <w:sz w:val="24"/>
          <w:szCs w:val="20"/>
        </w:rPr>
        <w:t xml:space="preserve">allegations of discrimination </w:t>
      </w:r>
      <w:r w:rsidR="002F0ABF">
        <w:rPr>
          <w:rFonts w:ascii="Times New Roman" w:eastAsia="Times New Roman" w:hAnsi="Times New Roman" w:cs="Times New Roman"/>
          <w:sz w:val="24"/>
          <w:szCs w:val="20"/>
        </w:rPr>
        <w:t xml:space="preserve">in service </w:t>
      </w:r>
      <w:r w:rsidR="00CD630E">
        <w:rPr>
          <w:rFonts w:ascii="Times New Roman" w:eastAsia="Times New Roman" w:hAnsi="Times New Roman" w:cs="Times New Roman"/>
          <w:sz w:val="24"/>
          <w:szCs w:val="20"/>
        </w:rPr>
        <w:t>contemplate</w:t>
      </w:r>
      <w:r w:rsidR="00F91AFC">
        <w:rPr>
          <w:rFonts w:ascii="Times New Roman" w:eastAsia="Times New Roman" w:hAnsi="Times New Roman" w:cs="Times New Roman"/>
          <w:sz w:val="24"/>
          <w:szCs w:val="20"/>
        </w:rPr>
        <w:t>d</w:t>
      </w:r>
      <w:r w:rsidR="00CD630E">
        <w:rPr>
          <w:rFonts w:ascii="Times New Roman" w:eastAsia="Times New Roman" w:hAnsi="Times New Roman" w:cs="Times New Roman"/>
          <w:sz w:val="24"/>
          <w:szCs w:val="20"/>
        </w:rPr>
        <w:t xml:space="preserve"> in</w:t>
      </w:r>
      <w:r w:rsidR="00F91AFC">
        <w:rPr>
          <w:rFonts w:ascii="Times New Roman" w:eastAsia="Times New Roman" w:hAnsi="Times New Roman" w:cs="Times New Roman"/>
          <w:sz w:val="24"/>
          <w:szCs w:val="20"/>
        </w:rPr>
        <w:t xml:space="preserve"> 66 Pa. C.S. §1502</w:t>
      </w:r>
      <w:r w:rsidR="00A23492">
        <w:rPr>
          <w:rFonts w:ascii="Times New Roman" w:eastAsia="Times New Roman" w:hAnsi="Times New Roman" w:cs="Times New Roman"/>
          <w:sz w:val="24"/>
          <w:szCs w:val="20"/>
        </w:rPr>
        <w:t xml:space="preserve">.  Accordingly, I will deny PPL’s </w:t>
      </w:r>
      <w:r w:rsidR="008B6553">
        <w:rPr>
          <w:rFonts w:ascii="Times New Roman" w:eastAsia="Times New Roman" w:hAnsi="Times New Roman" w:cs="Times New Roman"/>
          <w:sz w:val="24"/>
          <w:szCs w:val="20"/>
        </w:rPr>
        <w:t>Motion to Strike</w:t>
      </w:r>
      <w:r w:rsidR="008B6553" w:rsidRPr="008B6553">
        <w:rPr>
          <w:rFonts w:ascii="Times New Roman" w:eastAsia="Times New Roman" w:hAnsi="Times New Roman" w:cs="Times New Roman"/>
          <w:sz w:val="24"/>
          <w:szCs w:val="20"/>
        </w:rPr>
        <w:t xml:space="preserve"> </w:t>
      </w:r>
      <w:r w:rsidR="008B6553">
        <w:rPr>
          <w:rFonts w:ascii="Times New Roman" w:eastAsia="Times New Roman" w:hAnsi="Times New Roman" w:cs="Times New Roman"/>
          <w:sz w:val="24"/>
          <w:szCs w:val="20"/>
        </w:rPr>
        <w:t xml:space="preserve">Hartman Exhibit A, ¶¶2, 40, 54, 57, 62-66, 74-75, 92, 112, 116-121, 132-133, </w:t>
      </w:r>
      <w:r w:rsidR="00371561">
        <w:rPr>
          <w:rFonts w:ascii="Times New Roman" w:eastAsia="Times New Roman" w:hAnsi="Times New Roman" w:cs="Times New Roman"/>
          <w:sz w:val="24"/>
          <w:szCs w:val="20"/>
        </w:rPr>
        <w:t>1</w:t>
      </w:r>
      <w:r w:rsidR="008B6553">
        <w:rPr>
          <w:rFonts w:ascii="Times New Roman" w:eastAsia="Times New Roman" w:hAnsi="Times New Roman" w:cs="Times New Roman"/>
          <w:sz w:val="24"/>
          <w:szCs w:val="20"/>
        </w:rPr>
        <w:t>36, and Hartman Exhibit Nos. 31, 49, 50 and 51</w:t>
      </w:r>
      <w:r w:rsidR="00B93756">
        <w:rPr>
          <w:rFonts w:ascii="Times New Roman" w:eastAsia="Times New Roman" w:hAnsi="Times New Roman" w:cs="Times New Roman"/>
          <w:sz w:val="24"/>
          <w:szCs w:val="20"/>
        </w:rPr>
        <w:t xml:space="preserve">, to the extent, if any, that they support more general allegations of discrimination </w:t>
      </w:r>
      <w:r w:rsidR="00DC0BC5">
        <w:rPr>
          <w:rFonts w:ascii="Times New Roman" w:eastAsia="Times New Roman" w:hAnsi="Times New Roman" w:cs="Times New Roman"/>
          <w:sz w:val="24"/>
          <w:szCs w:val="20"/>
        </w:rPr>
        <w:t>in construction and vegetation management activities</w:t>
      </w:r>
      <w:r w:rsidR="008B6553">
        <w:rPr>
          <w:rFonts w:ascii="Times New Roman" w:eastAsia="Times New Roman" w:hAnsi="Times New Roman" w:cs="Times New Roman"/>
          <w:sz w:val="24"/>
          <w:szCs w:val="20"/>
        </w:rPr>
        <w:t>.</w:t>
      </w:r>
      <w:r w:rsidR="00DC0BC5">
        <w:rPr>
          <w:rFonts w:ascii="Times New Roman" w:eastAsia="Times New Roman" w:hAnsi="Times New Roman" w:cs="Times New Roman"/>
          <w:sz w:val="24"/>
          <w:szCs w:val="20"/>
        </w:rPr>
        <w:t xml:space="preserve">  </w:t>
      </w:r>
      <w:r w:rsidR="00676C06">
        <w:rPr>
          <w:rFonts w:ascii="Times New Roman" w:eastAsia="Times New Roman" w:hAnsi="Times New Roman" w:cs="Times New Roman"/>
          <w:sz w:val="24"/>
          <w:szCs w:val="20"/>
        </w:rPr>
        <w:t>As note</w:t>
      </w:r>
      <w:r w:rsidR="006D7138">
        <w:rPr>
          <w:rFonts w:ascii="Times New Roman" w:eastAsia="Times New Roman" w:hAnsi="Times New Roman" w:cs="Times New Roman"/>
          <w:sz w:val="24"/>
          <w:szCs w:val="20"/>
        </w:rPr>
        <w:t>d</w:t>
      </w:r>
      <w:r w:rsidR="00676C06">
        <w:rPr>
          <w:rFonts w:ascii="Times New Roman" w:eastAsia="Times New Roman" w:hAnsi="Times New Roman" w:cs="Times New Roman"/>
          <w:sz w:val="24"/>
          <w:szCs w:val="20"/>
        </w:rPr>
        <w:t xml:space="preserve">, however, I will not consider any allegations of discrimination </w:t>
      </w:r>
      <w:r w:rsidR="006D7138">
        <w:rPr>
          <w:rFonts w:ascii="Times New Roman" w:eastAsia="Times New Roman" w:hAnsi="Times New Roman" w:cs="Times New Roman"/>
          <w:sz w:val="24"/>
          <w:szCs w:val="20"/>
        </w:rPr>
        <w:t>in restoration activities between the two properties</w:t>
      </w:r>
      <w:r w:rsidR="005811CD">
        <w:rPr>
          <w:rFonts w:ascii="Times New Roman" w:eastAsia="Times New Roman" w:hAnsi="Times New Roman" w:cs="Times New Roman"/>
          <w:sz w:val="24"/>
          <w:szCs w:val="20"/>
        </w:rPr>
        <w:t xml:space="preserve"> as being outside the scope of this </w:t>
      </w:r>
      <w:r w:rsidR="0076545A">
        <w:rPr>
          <w:rFonts w:ascii="Times New Roman" w:eastAsia="Times New Roman" w:hAnsi="Times New Roman" w:cs="Times New Roman"/>
          <w:sz w:val="24"/>
          <w:szCs w:val="20"/>
        </w:rPr>
        <w:t>proceeding.</w:t>
      </w:r>
    </w:p>
    <w:p w14:paraId="5CD4A14D" w14:textId="77777777" w:rsidR="005051F6" w:rsidRDefault="005051F6" w:rsidP="008B6553">
      <w:pPr>
        <w:pStyle w:val="ListParagraph"/>
        <w:tabs>
          <w:tab w:val="left" w:pos="0"/>
        </w:tabs>
        <w:spacing w:after="0" w:line="360" w:lineRule="auto"/>
        <w:ind w:left="0" w:firstLine="720"/>
        <w:rPr>
          <w:rFonts w:ascii="Times New Roman" w:eastAsia="Times New Roman" w:hAnsi="Times New Roman" w:cs="Times New Roman"/>
          <w:sz w:val="24"/>
          <w:szCs w:val="20"/>
        </w:rPr>
      </w:pPr>
    </w:p>
    <w:p w14:paraId="61BA8859" w14:textId="1AAD0AED" w:rsidR="00A370EB" w:rsidRDefault="005051F6" w:rsidP="008B6553">
      <w:pPr>
        <w:pStyle w:val="ListParagraph"/>
        <w:tabs>
          <w:tab w:val="left" w:pos="0"/>
        </w:tabs>
        <w:spacing w:after="0" w:line="360" w:lineRule="auto"/>
        <w:ind w:left="0"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PPL next argues that the Hartmans are </w:t>
      </w:r>
      <w:r w:rsidR="0088420F">
        <w:rPr>
          <w:rFonts w:ascii="Times New Roman" w:eastAsia="Times New Roman" w:hAnsi="Times New Roman" w:cs="Times New Roman"/>
          <w:sz w:val="24"/>
          <w:szCs w:val="20"/>
        </w:rPr>
        <w:t xml:space="preserve">improperly </w:t>
      </w:r>
      <w:r w:rsidR="004E2742">
        <w:rPr>
          <w:rFonts w:ascii="Times New Roman" w:eastAsia="Times New Roman" w:hAnsi="Times New Roman" w:cs="Times New Roman"/>
          <w:sz w:val="24"/>
          <w:szCs w:val="20"/>
        </w:rPr>
        <w:t>raising allegations about environmental issues that are related to the project’s environmental impact</w:t>
      </w:r>
      <w:r w:rsidR="00E97933">
        <w:rPr>
          <w:rFonts w:ascii="Times New Roman" w:eastAsia="Times New Roman" w:hAnsi="Times New Roman" w:cs="Times New Roman"/>
          <w:sz w:val="24"/>
          <w:szCs w:val="20"/>
        </w:rPr>
        <w:t xml:space="preserve">, environmental protection controls and </w:t>
      </w:r>
      <w:r w:rsidR="0098290D">
        <w:rPr>
          <w:rFonts w:ascii="Times New Roman" w:eastAsia="Times New Roman" w:hAnsi="Times New Roman" w:cs="Times New Roman"/>
          <w:sz w:val="24"/>
          <w:szCs w:val="20"/>
        </w:rPr>
        <w:t>unpermitted or increased stormwater discharge.</w:t>
      </w:r>
      <w:r w:rsidR="004E385B">
        <w:rPr>
          <w:rFonts w:ascii="Times New Roman" w:eastAsia="Times New Roman" w:hAnsi="Times New Roman" w:cs="Times New Roman"/>
          <w:sz w:val="24"/>
          <w:szCs w:val="20"/>
        </w:rPr>
        <w:t xml:space="preserve">  PPL argues that </w:t>
      </w:r>
      <w:r w:rsidR="00D8289A">
        <w:rPr>
          <w:rFonts w:ascii="Times New Roman" w:eastAsia="Times New Roman" w:hAnsi="Times New Roman" w:cs="Times New Roman"/>
          <w:sz w:val="24"/>
          <w:szCs w:val="20"/>
        </w:rPr>
        <w:t>those environmental issues are outside the scope of this proceeding</w:t>
      </w:r>
      <w:r w:rsidR="001C1DCA">
        <w:rPr>
          <w:rFonts w:ascii="Times New Roman" w:eastAsia="Times New Roman" w:hAnsi="Times New Roman" w:cs="Times New Roman"/>
          <w:sz w:val="24"/>
          <w:szCs w:val="20"/>
        </w:rPr>
        <w:t xml:space="preserve"> as being</w:t>
      </w:r>
      <w:r w:rsidR="0092184E">
        <w:rPr>
          <w:rFonts w:ascii="Times New Roman" w:eastAsia="Times New Roman" w:hAnsi="Times New Roman" w:cs="Times New Roman"/>
          <w:sz w:val="24"/>
          <w:szCs w:val="20"/>
        </w:rPr>
        <w:t xml:space="preserve"> “. . . squar</w:t>
      </w:r>
      <w:r w:rsidR="001D17E8">
        <w:rPr>
          <w:rFonts w:ascii="Times New Roman" w:eastAsia="Times New Roman" w:hAnsi="Times New Roman" w:cs="Times New Roman"/>
          <w:sz w:val="24"/>
          <w:szCs w:val="20"/>
        </w:rPr>
        <w:t>e</w:t>
      </w:r>
      <w:r w:rsidR="0092184E">
        <w:rPr>
          <w:rFonts w:ascii="Times New Roman" w:eastAsia="Times New Roman" w:hAnsi="Times New Roman" w:cs="Times New Roman"/>
          <w:sz w:val="24"/>
          <w:szCs w:val="20"/>
        </w:rPr>
        <w:t>ly</w:t>
      </w:r>
      <w:r w:rsidR="001C1DCA">
        <w:rPr>
          <w:rFonts w:ascii="Times New Roman" w:eastAsia="Times New Roman" w:hAnsi="Times New Roman" w:cs="Times New Roman"/>
          <w:sz w:val="24"/>
          <w:szCs w:val="20"/>
        </w:rPr>
        <w:t xml:space="preserve"> within the purview of the Pennsylvania Department of Environmental Protection </w:t>
      </w:r>
      <w:r w:rsidR="00B04A81">
        <w:rPr>
          <w:rFonts w:ascii="Times New Roman" w:eastAsia="Times New Roman" w:hAnsi="Times New Roman" w:cs="Times New Roman"/>
          <w:sz w:val="24"/>
          <w:szCs w:val="20"/>
        </w:rPr>
        <w:t>[</w:t>
      </w:r>
      <w:r w:rsidR="001C1DCA">
        <w:rPr>
          <w:rFonts w:ascii="Times New Roman" w:eastAsia="Times New Roman" w:hAnsi="Times New Roman" w:cs="Times New Roman"/>
          <w:sz w:val="24"/>
          <w:szCs w:val="20"/>
        </w:rPr>
        <w:t>DEP</w:t>
      </w:r>
      <w:r w:rsidR="00B04A81">
        <w:rPr>
          <w:rFonts w:ascii="Times New Roman" w:eastAsia="Times New Roman" w:hAnsi="Times New Roman" w:cs="Times New Roman"/>
          <w:sz w:val="24"/>
          <w:szCs w:val="20"/>
        </w:rPr>
        <w:t>] and/or an appropriate civil court of jurisdiction to address.”   (April 2020 Order, p</w:t>
      </w:r>
      <w:r w:rsidR="001D17E8">
        <w:rPr>
          <w:rFonts w:ascii="Times New Roman" w:eastAsia="Times New Roman" w:hAnsi="Times New Roman" w:cs="Times New Roman"/>
          <w:sz w:val="24"/>
          <w:szCs w:val="20"/>
        </w:rPr>
        <w:t>. 22).</w:t>
      </w:r>
      <w:r w:rsidR="004D1415" w:rsidRPr="004D1415">
        <w:rPr>
          <w:rFonts w:ascii="Times New Roman" w:eastAsia="Times New Roman" w:hAnsi="Times New Roman" w:cs="Times New Roman"/>
          <w:sz w:val="24"/>
          <w:szCs w:val="20"/>
        </w:rPr>
        <w:t xml:space="preserve"> </w:t>
      </w:r>
      <w:proofErr w:type="gramStart"/>
      <w:r w:rsidR="004D1415">
        <w:rPr>
          <w:rFonts w:ascii="Times New Roman" w:eastAsia="Times New Roman" w:hAnsi="Times New Roman" w:cs="Times New Roman"/>
          <w:sz w:val="24"/>
          <w:szCs w:val="20"/>
        </w:rPr>
        <w:t>In particular, PPL</w:t>
      </w:r>
      <w:proofErr w:type="gramEnd"/>
      <w:r w:rsidR="004D1415">
        <w:rPr>
          <w:rFonts w:ascii="Times New Roman" w:eastAsia="Times New Roman" w:hAnsi="Times New Roman" w:cs="Times New Roman"/>
          <w:sz w:val="24"/>
          <w:szCs w:val="20"/>
        </w:rPr>
        <w:t xml:space="preserve"> seeks to strike</w:t>
      </w:r>
      <w:r w:rsidR="0067374E">
        <w:rPr>
          <w:rFonts w:ascii="Times New Roman" w:eastAsia="Times New Roman" w:hAnsi="Times New Roman" w:cs="Times New Roman"/>
          <w:sz w:val="24"/>
          <w:szCs w:val="20"/>
        </w:rPr>
        <w:t xml:space="preserve"> Hartman Exhibit A, ¶¶</w:t>
      </w:r>
      <w:r w:rsidR="00585752">
        <w:rPr>
          <w:rFonts w:ascii="Times New Roman" w:eastAsia="Times New Roman" w:hAnsi="Times New Roman" w:cs="Times New Roman"/>
          <w:sz w:val="24"/>
          <w:szCs w:val="20"/>
        </w:rPr>
        <w:t>27, 33, 56-57, 59-60, 98, 122-125.</w:t>
      </w:r>
      <w:r w:rsidR="004D1415">
        <w:rPr>
          <w:rFonts w:ascii="Times New Roman" w:eastAsia="Times New Roman" w:hAnsi="Times New Roman" w:cs="Times New Roman"/>
          <w:sz w:val="24"/>
          <w:szCs w:val="20"/>
        </w:rPr>
        <w:t xml:space="preserve">  </w:t>
      </w:r>
      <w:r w:rsidR="001C1DCA">
        <w:rPr>
          <w:rFonts w:ascii="Times New Roman" w:eastAsia="Times New Roman" w:hAnsi="Times New Roman" w:cs="Times New Roman"/>
          <w:sz w:val="24"/>
          <w:szCs w:val="20"/>
        </w:rPr>
        <w:t xml:space="preserve"> </w:t>
      </w:r>
    </w:p>
    <w:p w14:paraId="43931F20" w14:textId="77777777" w:rsidR="00A370EB" w:rsidRDefault="00A370EB" w:rsidP="008B6553">
      <w:pPr>
        <w:pStyle w:val="ListParagraph"/>
        <w:tabs>
          <w:tab w:val="left" w:pos="0"/>
        </w:tabs>
        <w:spacing w:after="0" w:line="360" w:lineRule="auto"/>
        <w:ind w:left="0" w:firstLine="720"/>
        <w:rPr>
          <w:rFonts w:ascii="Times New Roman" w:eastAsia="Times New Roman" w:hAnsi="Times New Roman" w:cs="Times New Roman"/>
          <w:sz w:val="24"/>
          <w:szCs w:val="20"/>
        </w:rPr>
      </w:pPr>
    </w:p>
    <w:p w14:paraId="75FB3785" w14:textId="3ED518D9" w:rsidR="0058054E" w:rsidRDefault="00A370EB" w:rsidP="006B7F3C">
      <w:pPr>
        <w:pStyle w:val="ListParagraph"/>
        <w:tabs>
          <w:tab w:val="left" w:pos="0"/>
        </w:tabs>
        <w:spacing w:after="0" w:line="360" w:lineRule="auto"/>
        <w:ind w:left="0"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ab/>
        <w:t>The Hartmans</w:t>
      </w:r>
      <w:r w:rsidR="00622ABB">
        <w:rPr>
          <w:rFonts w:ascii="Times New Roman" w:eastAsia="Times New Roman" w:hAnsi="Times New Roman" w:cs="Times New Roman"/>
          <w:sz w:val="24"/>
          <w:szCs w:val="20"/>
        </w:rPr>
        <w:t xml:space="preserve"> </w:t>
      </w:r>
      <w:r w:rsidR="00A36441">
        <w:rPr>
          <w:rFonts w:ascii="Times New Roman" w:eastAsia="Times New Roman" w:hAnsi="Times New Roman" w:cs="Times New Roman"/>
          <w:sz w:val="24"/>
          <w:szCs w:val="20"/>
        </w:rPr>
        <w:t xml:space="preserve">point to the passage in the </w:t>
      </w:r>
      <w:r w:rsidR="00934A28">
        <w:rPr>
          <w:rFonts w:ascii="Times New Roman" w:eastAsia="Times New Roman" w:hAnsi="Times New Roman" w:cs="Times New Roman"/>
          <w:sz w:val="24"/>
          <w:szCs w:val="20"/>
        </w:rPr>
        <w:t xml:space="preserve">Commission’s </w:t>
      </w:r>
      <w:r w:rsidR="00A36441">
        <w:rPr>
          <w:rFonts w:ascii="Times New Roman" w:eastAsia="Times New Roman" w:hAnsi="Times New Roman" w:cs="Times New Roman"/>
          <w:sz w:val="24"/>
          <w:szCs w:val="20"/>
        </w:rPr>
        <w:t xml:space="preserve">April 2020 Order wherein </w:t>
      </w:r>
      <w:r w:rsidR="00D93C2C">
        <w:rPr>
          <w:rFonts w:ascii="Times New Roman" w:eastAsia="Times New Roman" w:hAnsi="Times New Roman" w:cs="Times New Roman"/>
          <w:sz w:val="24"/>
          <w:szCs w:val="20"/>
        </w:rPr>
        <w:t>it</w:t>
      </w:r>
      <w:r w:rsidR="007E3FDF">
        <w:rPr>
          <w:rFonts w:ascii="Times New Roman" w:eastAsia="Times New Roman" w:hAnsi="Times New Roman" w:cs="Times New Roman"/>
          <w:sz w:val="24"/>
          <w:szCs w:val="20"/>
        </w:rPr>
        <w:t xml:space="preserve"> directed the ALJ</w:t>
      </w:r>
      <w:r w:rsidR="0058054E">
        <w:rPr>
          <w:rFonts w:ascii="Times New Roman" w:eastAsia="Times New Roman" w:hAnsi="Times New Roman" w:cs="Times New Roman"/>
          <w:sz w:val="24"/>
          <w:szCs w:val="20"/>
        </w:rPr>
        <w:t>:</w:t>
      </w:r>
    </w:p>
    <w:p w14:paraId="7D135BC0" w14:textId="77777777" w:rsidR="0058054E" w:rsidRDefault="0058054E" w:rsidP="006B7F3C">
      <w:pPr>
        <w:pStyle w:val="ListParagraph"/>
        <w:tabs>
          <w:tab w:val="left" w:pos="0"/>
        </w:tabs>
        <w:spacing w:after="0" w:line="240" w:lineRule="auto"/>
        <w:ind w:left="0" w:firstLine="720"/>
        <w:rPr>
          <w:rFonts w:ascii="Times New Roman" w:eastAsia="Times New Roman" w:hAnsi="Times New Roman" w:cs="Times New Roman"/>
          <w:sz w:val="24"/>
          <w:szCs w:val="20"/>
        </w:rPr>
      </w:pPr>
    </w:p>
    <w:p w14:paraId="487AF519" w14:textId="65850C29" w:rsidR="006B7F3C" w:rsidRDefault="00BF78AF" w:rsidP="006B7F3C">
      <w:pPr>
        <w:pStyle w:val="ListParagraph"/>
        <w:spacing w:after="0" w:line="240" w:lineRule="auto"/>
        <w:ind w:left="1440" w:right="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 . </w:t>
      </w:r>
      <w:r w:rsidR="007E3FDF">
        <w:rPr>
          <w:rFonts w:ascii="Times New Roman" w:eastAsia="Times New Roman" w:hAnsi="Times New Roman" w:cs="Times New Roman"/>
          <w:sz w:val="24"/>
          <w:szCs w:val="20"/>
        </w:rPr>
        <w:t xml:space="preserve">to determine the safety </w:t>
      </w:r>
      <w:r w:rsidR="00E42ACF">
        <w:rPr>
          <w:rFonts w:ascii="Times New Roman" w:eastAsia="Times New Roman" w:hAnsi="Times New Roman" w:cs="Times New Roman"/>
          <w:sz w:val="24"/>
          <w:szCs w:val="20"/>
        </w:rPr>
        <w:t>impact of the construction and alleged destruction of vegetation on the Complainants’ property, including, but not limited to,</w:t>
      </w:r>
      <w:r w:rsidR="00B748AC">
        <w:rPr>
          <w:rFonts w:ascii="Times New Roman" w:eastAsia="Times New Roman" w:hAnsi="Times New Roman" w:cs="Times New Roman"/>
          <w:sz w:val="24"/>
          <w:szCs w:val="20"/>
        </w:rPr>
        <w:t xml:space="preserve"> any erosion to the soil and sedimentation on the Complainants’ property and any safety hazards resulting therefrom that may be </w:t>
      </w:r>
      <w:r w:rsidR="00213B0D">
        <w:rPr>
          <w:rFonts w:ascii="Times New Roman" w:eastAsia="Times New Roman" w:hAnsi="Times New Roman" w:cs="Times New Roman"/>
          <w:sz w:val="24"/>
          <w:szCs w:val="20"/>
        </w:rPr>
        <w:t xml:space="preserve">reasonably identified and the steps that PPL proposes to implement </w:t>
      </w:r>
      <w:proofErr w:type="gramStart"/>
      <w:r w:rsidR="00213B0D">
        <w:rPr>
          <w:rFonts w:ascii="Times New Roman" w:eastAsia="Times New Roman" w:hAnsi="Times New Roman" w:cs="Times New Roman"/>
          <w:sz w:val="24"/>
          <w:szCs w:val="20"/>
        </w:rPr>
        <w:t>in order to</w:t>
      </w:r>
      <w:proofErr w:type="gramEnd"/>
      <w:r w:rsidR="00213B0D">
        <w:rPr>
          <w:rFonts w:ascii="Times New Roman" w:eastAsia="Times New Roman" w:hAnsi="Times New Roman" w:cs="Times New Roman"/>
          <w:sz w:val="24"/>
          <w:szCs w:val="20"/>
        </w:rPr>
        <w:t xml:space="preserve"> adhere to its statutory duty to furnish adequate, safe and reasonable service.”</w:t>
      </w:r>
      <w:r w:rsidR="00E42ACF">
        <w:rPr>
          <w:rFonts w:ascii="Times New Roman" w:eastAsia="Times New Roman" w:hAnsi="Times New Roman" w:cs="Times New Roman"/>
          <w:sz w:val="24"/>
          <w:szCs w:val="20"/>
        </w:rPr>
        <w:t xml:space="preserve"> </w:t>
      </w:r>
      <w:r w:rsidR="0098290D">
        <w:rPr>
          <w:rFonts w:ascii="Times New Roman" w:eastAsia="Times New Roman" w:hAnsi="Times New Roman" w:cs="Times New Roman"/>
          <w:sz w:val="24"/>
          <w:szCs w:val="20"/>
        </w:rPr>
        <w:t xml:space="preserve">  </w:t>
      </w:r>
      <w:r w:rsidR="00E97933">
        <w:rPr>
          <w:rFonts w:ascii="Times New Roman" w:eastAsia="Times New Roman" w:hAnsi="Times New Roman" w:cs="Times New Roman"/>
          <w:sz w:val="24"/>
          <w:szCs w:val="20"/>
        </w:rPr>
        <w:t xml:space="preserve"> </w:t>
      </w:r>
      <w:r w:rsidR="00676C06">
        <w:rPr>
          <w:rFonts w:ascii="Times New Roman" w:eastAsia="Times New Roman" w:hAnsi="Times New Roman" w:cs="Times New Roman"/>
          <w:sz w:val="24"/>
          <w:szCs w:val="20"/>
        </w:rPr>
        <w:t xml:space="preserve"> </w:t>
      </w:r>
    </w:p>
    <w:p w14:paraId="3C307D5A" w14:textId="77777777" w:rsidR="006B7F3C" w:rsidRPr="006B7F3C" w:rsidRDefault="006B7F3C" w:rsidP="006B7F3C">
      <w:pPr>
        <w:pStyle w:val="ListParagraph"/>
        <w:spacing w:after="0" w:line="240" w:lineRule="auto"/>
        <w:ind w:left="1440" w:right="1440"/>
        <w:rPr>
          <w:rFonts w:ascii="Times New Roman" w:eastAsia="Times New Roman" w:hAnsi="Times New Roman" w:cs="Times New Roman"/>
          <w:sz w:val="24"/>
          <w:szCs w:val="20"/>
        </w:rPr>
      </w:pPr>
    </w:p>
    <w:p w14:paraId="1EC36DB6" w14:textId="69EC138A" w:rsidR="00F00D09" w:rsidRDefault="00CD4A26" w:rsidP="006B7F3C">
      <w:pPr>
        <w:pStyle w:val="ListParagraph"/>
        <w:spacing w:after="0" w:line="240" w:lineRule="auto"/>
        <w:ind w:left="1440" w:right="1440" w:hanging="1440"/>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 </w:t>
      </w:r>
      <w:r w:rsidR="00F00D09">
        <w:rPr>
          <w:rFonts w:ascii="Times New Roman" w:eastAsia="Times New Roman" w:hAnsi="Times New Roman" w:cs="Times New Roman"/>
          <w:sz w:val="24"/>
          <w:szCs w:val="20"/>
        </w:rPr>
        <w:t>April 2020 Order, p. 20.</w:t>
      </w:r>
    </w:p>
    <w:p w14:paraId="20B685AD" w14:textId="77777777" w:rsidR="006B7F3C" w:rsidRDefault="006B7F3C" w:rsidP="006B7F3C">
      <w:pPr>
        <w:pStyle w:val="ListParagraph"/>
        <w:spacing w:after="0" w:line="240" w:lineRule="auto"/>
        <w:ind w:left="1440" w:right="1440" w:hanging="1440"/>
        <w:rPr>
          <w:rFonts w:ascii="Times New Roman" w:eastAsia="Times New Roman" w:hAnsi="Times New Roman" w:cs="Times New Roman"/>
          <w:sz w:val="24"/>
          <w:szCs w:val="20"/>
        </w:rPr>
      </w:pPr>
    </w:p>
    <w:p w14:paraId="2ABBB634" w14:textId="0D26C77D" w:rsidR="00F00D09" w:rsidRDefault="006A6BB6" w:rsidP="00824571">
      <w:pPr>
        <w:pStyle w:val="ListParagraph"/>
        <w:spacing w:after="0" w:line="360" w:lineRule="auto"/>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w:t>
      </w:r>
      <w:proofErr w:type="spellStart"/>
      <w:r>
        <w:rPr>
          <w:rFonts w:ascii="Times New Roman" w:eastAsia="Times New Roman" w:hAnsi="Times New Roman" w:cs="Times New Roman"/>
          <w:sz w:val="24"/>
          <w:szCs w:val="20"/>
        </w:rPr>
        <w:t>Hartmans</w:t>
      </w:r>
      <w:proofErr w:type="spellEnd"/>
      <w:r>
        <w:rPr>
          <w:rFonts w:ascii="Times New Roman" w:eastAsia="Times New Roman" w:hAnsi="Times New Roman" w:cs="Times New Roman"/>
          <w:sz w:val="24"/>
          <w:szCs w:val="20"/>
        </w:rPr>
        <w:t xml:space="preserve"> argue that the relevant </w:t>
      </w:r>
      <w:r w:rsidR="002A2F39">
        <w:rPr>
          <w:rFonts w:ascii="Times New Roman" w:eastAsia="Times New Roman" w:hAnsi="Times New Roman" w:cs="Times New Roman"/>
          <w:sz w:val="24"/>
          <w:szCs w:val="20"/>
        </w:rPr>
        <w:t xml:space="preserve">testimony </w:t>
      </w:r>
      <w:r w:rsidR="00824571">
        <w:rPr>
          <w:rFonts w:ascii="Times New Roman" w:eastAsia="Times New Roman" w:hAnsi="Times New Roman" w:cs="Times New Roman"/>
          <w:sz w:val="24"/>
          <w:szCs w:val="20"/>
        </w:rPr>
        <w:t xml:space="preserve">goes to the issues of </w:t>
      </w:r>
      <w:r w:rsidR="006A4582">
        <w:rPr>
          <w:rFonts w:ascii="Times New Roman" w:eastAsia="Times New Roman" w:hAnsi="Times New Roman" w:cs="Times New Roman"/>
          <w:sz w:val="24"/>
          <w:szCs w:val="20"/>
        </w:rPr>
        <w:t xml:space="preserve">vegetation management allegations and whether </w:t>
      </w:r>
      <w:r w:rsidR="00643FA2">
        <w:rPr>
          <w:rFonts w:ascii="Times New Roman" w:eastAsia="Times New Roman" w:hAnsi="Times New Roman" w:cs="Times New Roman"/>
          <w:sz w:val="24"/>
          <w:szCs w:val="20"/>
        </w:rPr>
        <w:t xml:space="preserve">PPL’s construction activities constituted adequate, </w:t>
      </w:r>
      <w:proofErr w:type="gramStart"/>
      <w:r w:rsidR="00643FA2">
        <w:rPr>
          <w:rFonts w:ascii="Times New Roman" w:eastAsia="Times New Roman" w:hAnsi="Times New Roman" w:cs="Times New Roman"/>
          <w:sz w:val="24"/>
          <w:szCs w:val="20"/>
        </w:rPr>
        <w:t>safe</w:t>
      </w:r>
      <w:proofErr w:type="gramEnd"/>
      <w:r w:rsidR="00643FA2">
        <w:rPr>
          <w:rFonts w:ascii="Times New Roman" w:eastAsia="Times New Roman" w:hAnsi="Times New Roman" w:cs="Times New Roman"/>
          <w:sz w:val="24"/>
          <w:szCs w:val="20"/>
        </w:rPr>
        <w:t xml:space="preserve"> and reasonable service</w:t>
      </w:r>
      <w:r w:rsidR="00947A80">
        <w:rPr>
          <w:rFonts w:ascii="Times New Roman" w:eastAsia="Times New Roman" w:hAnsi="Times New Roman" w:cs="Times New Roman"/>
          <w:sz w:val="24"/>
          <w:szCs w:val="20"/>
        </w:rPr>
        <w:t>,</w:t>
      </w:r>
      <w:r w:rsidR="009A7A19">
        <w:rPr>
          <w:rFonts w:ascii="Times New Roman" w:eastAsia="Times New Roman" w:hAnsi="Times New Roman" w:cs="Times New Roman"/>
          <w:sz w:val="24"/>
          <w:szCs w:val="20"/>
        </w:rPr>
        <w:t xml:space="preserve"> and whether those activities resulted in </w:t>
      </w:r>
      <w:r w:rsidR="005F5178">
        <w:rPr>
          <w:rFonts w:ascii="Times New Roman" w:eastAsia="Times New Roman" w:hAnsi="Times New Roman" w:cs="Times New Roman"/>
          <w:sz w:val="24"/>
          <w:szCs w:val="20"/>
        </w:rPr>
        <w:t xml:space="preserve">erosion and sedimentation </w:t>
      </w:r>
      <w:r w:rsidR="004D6409">
        <w:rPr>
          <w:rFonts w:ascii="Times New Roman" w:eastAsia="Times New Roman" w:hAnsi="Times New Roman" w:cs="Times New Roman"/>
          <w:sz w:val="24"/>
          <w:szCs w:val="20"/>
        </w:rPr>
        <w:t xml:space="preserve">or </w:t>
      </w:r>
      <w:r w:rsidR="0016662B">
        <w:rPr>
          <w:rFonts w:ascii="Times New Roman" w:eastAsia="Times New Roman" w:hAnsi="Times New Roman" w:cs="Times New Roman"/>
          <w:sz w:val="24"/>
          <w:szCs w:val="20"/>
        </w:rPr>
        <w:t xml:space="preserve">safety hazards </w:t>
      </w:r>
      <w:r w:rsidR="0016358A">
        <w:rPr>
          <w:rFonts w:ascii="Times New Roman" w:eastAsia="Times New Roman" w:hAnsi="Times New Roman" w:cs="Times New Roman"/>
          <w:sz w:val="24"/>
          <w:szCs w:val="20"/>
        </w:rPr>
        <w:t>on their property</w:t>
      </w:r>
      <w:r w:rsidR="004D6409">
        <w:rPr>
          <w:rFonts w:ascii="Times New Roman" w:eastAsia="Times New Roman" w:hAnsi="Times New Roman" w:cs="Times New Roman"/>
          <w:sz w:val="24"/>
          <w:szCs w:val="20"/>
        </w:rPr>
        <w:t xml:space="preserve">.  </w:t>
      </w:r>
    </w:p>
    <w:p w14:paraId="13CA6F68" w14:textId="582096DC" w:rsidR="004D6409" w:rsidRDefault="004D6409" w:rsidP="00824571">
      <w:pPr>
        <w:pStyle w:val="ListParagraph"/>
        <w:spacing w:after="0" w:line="360" w:lineRule="auto"/>
        <w:ind w:left="0" w:firstLine="1440"/>
        <w:rPr>
          <w:rFonts w:ascii="Times New Roman" w:eastAsia="Times New Roman" w:hAnsi="Times New Roman" w:cs="Times New Roman"/>
          <w:sz w:val="24"/>
          <w:szCs w:val="20"/>
        </w:rPr>
      </w:pPr>
    </w:p>
    <w:p w14:paraId="75486AF5" w14:textId="52590B70" w:rsidR="004D6409" w:rsidRDefault="00001BC0" w:rsidP="00824571">
      <w:pPr>
        <w:pStyle w:val="ListParagraph"/>
        <w:spacing w:after="0" w:line="360" w:lineRule="auto"/>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testimony in </w:t>
      </w:r>
      <w:r w:rsidR="00296C6A">
        <w:rPr>
          <w:rFonts w:ascii="Times New Roman" w:eastAsia="Times New Roman" w:hAnsi="Times New Roman" w:cs="Times New Roman"/>
          <w:sz w:val="24"/>
          <w:szCs w:val="20"/>
        </w:rPr>
        <w:t>Hartman Exhibit A, ¶¶27, 33, 56-57, 59-60, 98, 122-125 arguably address</w:t>
      </w:r>
      <w:r>
        <w:rPr>
          <w:rFonts w:ascii="Times New Roman" w:eastAsia="Times New Roman" w:hAnsi="Times New Roman" w:cs="Times New Roman"/>
          <w:sz w:val="24"/>
          <w:szCs w:val="20"/>
        </w:rPr>
        <w:t>es</w:t>
      </w:r>
      <w:r w:rsidR="00296C6A">
        <w:rPr>
          <w:rFonts w:ascii="Times New Roman" w:eastAsia="Times New Roman" w:hAnsi="Times New Roman" w:cs="Times New Roman"/>
          <w:sz w:val="24"/>
          <w:szCs w:val="20"/>
        </w:rPr>
        <w:t xml:space="preserve"> the issues of </w:t>
      </w:r>
      <w:r w:rsidR="00450995">
        <w:rPr>
          <w:rFonts w:ascii="Times New Roman" w:eastAsia="Times New Roman" w:hAnsi="Times New Roman" w:cs="Times New Roman"/>
          <w:sz w:val="24"/>
          <w:szCs w:val="20"/>
        </w:rPr>
        <w:t xml:space="preserve">soil erosion and sedimentation on the Hartman’s property resulting from </w:t>
      </w:r>
      <w:r w:rsidR="002E73D7">
        <w:rPr>
          <w:rFonts w:ascii="Times New Roman" w:eastAsia="Times New Roman" w:hAnsi="Times New Roman" w:cs="Times New Roman"/>
          <w:sz w:val="24"/>
          <w:szCs w:val="20"/>
        </w:rPr>
        <w:t xml:space="preserve">PPL’s construction activities, which </w:t>
      </w:r>
      <w:r w:rsidR="00B54CAB">
        <w:rPr>
          <w:rFonts w:ascii="Times New Roman" w:eastAsia="Times New Roman" w:hAnsi="Times New Roman" w:cs="Times New Roman"/>
          <w:sz w:val="24"/>
          <w:szCs w:val="20"/>
        </w:rPr>
        <w:t xml:space="preserve">are issues in this proceeding.  </w:t>
      </w:r>
      <w:r w:rsidR="009405F8">
        <w:rPr>
          <w:rFonts w:ascii="Times New Roman" w:eastAsia="Times New Roman" w:hAnsi="Times New Roman" w:cs="Times New Roman"/>
          <w:sz w:val="24"/>
          <w:szCs w:val="20"/>
        </w:rPr>
        <w:t xml:space="preserve">Accordingly, I will deny PPL’s Motion to Strike Hartman Exhibit A, ¶¶27, 33, 56-57, 59-60, 122-125.  I note, however, as </w:t>
      </w:r>
      <w:r w:rsidR="005C3D36">
        <w:rPr>
          <w:rFonts w:ascii="Times New Roman" w:eastAsia="Times New Roman" w:hAnsi="Times New Roman" w:cs="Times New Roman"/>
          <w:sz w:val="24"/>
          <w:szCs w:val="20"/>
        </w:rPr>
        <w:t xml:space="preserve">more fully </w:t>
      </w:r>
      <w:r w:rsidR="00A250B3">
        <w:rPr>
          <w:rFonts w:ascii="Times New Roman" w:eastAsia="Times New Roman" w:hAnsi="Times New Roman" w:cs="Times New Roman"/>
          <w:sz w:val="24"/>
          <w:szCs w:val="20"/>
        </w:rPr>
        <w:t xml:space="preserve">addressed below, </w:t>
      </w:r>
      <w:r w:rsidR="00384B79">
        <w:rPr>
          <w:rFonts w:ascii="Times New Roman" w:eastAsia="Times New Roman" w:hAnsi="Times New Roman" w:cs="Times New Roman"/>
          <w:sz w:val="24"/>
          <w:szCs w:val="20"/>
        </w:rPr>
        <w:t xml:space="preserve">that </w:t>
      </w:r>
      <w:r w:rsidR="00A250B3">
        <w:rPr>
          <w:rFonts w:ascii="Times New Roman" w:eastAsia="Times New Roman" w:hAnsi="Times New Roman" w:cs="Times New Roman"/>
          <w:sz w:val="24"/>
          <w:szCs w:val="20"/>
        </w:rPr>
        <w:t>allegations</w:t>
      </w:r>
      <w:r w:rsidR="00384B79">
        <w:rPr>
          <w:rFonts w:ascii="Times New Roman" w:eastAsia="Times New Roman" w:hAnsi="Times New Roman" w:cs="Times New Roman"/>
          <w:sz w:val="24"/>
          <w:szCs w:val="20"/>
        </w:rPr>
        <w:t xml:space="preserve"> about </w:t>
      </w:r>
      <w:r w:rsidR="00920FCE">
        <w:rPr>
          <w:rFonts w:ascii="Times New Roman" w:eastAsia="Times New Roman" w:hAnsi="Times New Roman" w:cs="Times New Roman"/>
          <w:sz w:val="24"/>
          <w:szCs w:val="20"/>
        </w:rPr>
        <w:t>violations of municipal</w:t>
      </w:r>
      <w:r w:rsidR="00EC4B0B">
        <w:rPr>
          <w:rFonts w:ascii="Times New Roman" w:eastAsia="Times New Roman" w:hAnsi="Times New Roman" w:cs="Times New Roman"/>
          <w:sz w:val="24"/>
          <w:szCs w:val="20"/>
        </w:rPr>
        <w:t xml:space="preserve"> and</w:t>
      </w:r>
      <w:r w:rsidR="006E7195">
        <w:rPr>
          <w:rFonts w:ascii="Times New Roman" w:eastAsia="Times New Roman" w:hAnsi="Times New Roman" w:cs="Times New Roman"/>
          <w:sz w:val="24"/>
          <w:szCs w:val="20"/>
        </w:rPr>
        <w:t xml:space="preserve"> county</w:t>
      </w:r>
      <w:r w:rsidR="00920FCE">
        <w:rPr>
          <w:rFonts w:ascii="Times New Roman" w:eastAsia="Times New Roman" w:hAnsi="Times New Roman" w:cs="Times New Roman"/>
          <w:sz w:val="24"/>
          <w:szCs w:val="20"/>
        </w:rPr>
        <w:t xml:space="preserve"> law</w:t>
      </w:r>
      <w:r w:rsidR="00EC4B0B">
        <w:rPr>
          <w:rFonts w:ascii="Times New Roman" w:eastAsia="Times New Roman" w:hAnsi="Times New Roman" w:cs="Times New Roman"/>
          <w:sz w:val="24"/>
          <w:szCs w:val="20"/>
        </w:rPr>
        <w:t>s</w:t>
      </w:r>
      <w:r w:rsidR="00920FCE">
        <w:rPr>
          <w:rFonts w:ascii="Times New Roman" w:eastAsia="Times New Roman" w:hAnsi="Times New Roman" w:cs="Times New Roman"/>
          <w:sz w:val="24"/>
          <w:szCs w:val="20"/>
        </w:rPr>
        <w:t xml:space="preserve"> or environmental regulations</w:t>
      </w:r>
      <w:r w:rsidR="00262B8E">
        <w:rPr>
          <w:rFonts w:ascii="Times New Roman" w:eastAsia="Times New Roman" w:hAnsi="Times New Roman" w:cs="Times New Roman"/>
          <w:sz w:val="24"/>
          <w:szCs w:val="20"/>
        </w:rPr>
        <w:t xml:space="preserve">, such as </w:t>
      </w:r>
      <w:r w:rsidR="00195B72">
        <w:rPr>
          <w:rFonts w:ascii="Times New Roman" w:eastAsia="Times New Roman" w:hAnsi="Times New Roman" w:cs="Times New Roman"/>
          <w:sz w:val="24"/>
          <w:szCs w:val="20"/>
        </w:rPr>
        <w:t xml:space="preserve">the interpretation of, and </w:t>
      </w:r>
      <w:r w:rsidR="00262B8E">
        <w:rPr>
          <w:rFonts w:ascii="Times New Roman" w:eastAsia="Times New Roman" w:hAnsi="Times New Roman" w:cs="Times New Roman"/>
          <w:sz w:val="24"/>
          <w:szCs w:val="20"/>
        </w:rPr>
        <w:t>whether PPL violated</w:t>
      </w:r>
      <w:r w:rsidR="00195B72">
        <w:rPr>
          <w:rFonts w:ascii="Times New Roman" w:eastAsia="Times New Roman" w:hAnsi="Times New Roman" w:cs="Times New Roman"/>
          <w:sz w:val="24"/>
          <w:szCs w:val="20"/>
        </w:rPr>
        <w:t>,</w:t>
      </w:r>
      <w:r w:rsidR="00262B8E">
        <w:rPr>
          <w:rFonts w:ascii="Times New Roman" w:eastAsia="Times New Roman" w:hAnsi="Times New Roman" w:cs="Times New Roman"/>
          <w:sz w:val="24"/>
          <w:szCs w:val="20"/>
        </w:rPr>
        <w:t xml:space="preserve"> its Erosion and Sediment </w:t>
      </w:r>
      <w:r w:rsidR="000C575B">
        <w:rPr>
          <w:rFonts w:ascii="Times New Roman" w:eastAsia="Times New Roman" w:hAnsi="Times New Roman" w:cs="Times New Roman"/>
          <w:sz w:val="24"/>
          <w:szCs w:val="20"/>
        </w:rPr>
        <w:t>C</w:t>
      </w:r>
      <w:r w:rsidR="00262B8E">
        <w:rPr>
          <w:rFonts w:ascii="Times New Roman" w:eastAsia="Times New Roman" w:hAnsi="Times New Roman" w:cs="Times New Roman"/>
          <w:sz w:val="24"/>
          <w:szCs w:val="20"/>
        </w:rPr>
        <w:t>ontrol Plan</w:t>
      </w:r>
      <w:r w:rsidR="000C575B">
        <w:rPr>
          <w:rFonts w:ascii="Times New Roman" w:eastAsia="Times New Roman" w:hAnsi="Times New Roman" w:cs="Times New Roman"/>
          <w:sz w:val="24"/>
          <w:szCs w:val="20"/>
        </w:rPr>
        <w:t xml:space="preserve"> and Permit</w:t>
      </w:r>
      <w:r w:rsidR="00235342">
        <w:rPr>
          <w:rFonts w:ascii="Times New Roman" w:eastAsia="Times New Roman" w:hAnsi="Times New Roman" w:cs="Times New Roman"/>
          <w:sz w:val="24"/>
          <w:szCs w:val="20"/>
        </w:rPr>
        <w:t xml:space="preserve"> </w:t>
      </w:r>
      <w:r w:rsidR="00633D2F">
        <w:rPr>
          <w:rFonts w:ascii="Times New Roman" w:eastAsia="Times New Roman" w:hAnsi="Times New Roman" w:cs="Times New Roman"/>
          <w:sz w:val="24"/>
          <w:szCs w:val="20"/>
        </w:rPr>
        <w:t>or DEP permits,</w:t>
      </w:r>
      <w:r w:rsidR="005A78FA">
        <w:rPr>
          <w:rFonts w:ascii="Times New Roman" w:eastAsia="Times New Roman" w:hAnsi="Times New Roman" w:cs="Times New Roman"/>
          <w:sz w:val="24"/>
          <w:szCs w:val="20"/>
        </w:rPr>
        <w:t xml:space="preserve"> are </w:t>
      </w:r>
      <w:r w:rsidR="00195B72">
        <w:rPr>
          <w:rFonts w:ascii="Times New Roman" w:eastAsia="Times New Roman" w:hAnsi="Times New Roman" w:cs="Times New Roman"/>
          <w:sz w:val="24"/>
          <w:szCs w:val="20"/>
        </w:rPr>
        <w:t>beyond this Commission’s jurisdiction</w:t>
      </w:r>
      <w:r w:rsidR="005812E1">
        <w:rPr>
          <w:rFonts w:ascii="Times New Roman" w:eastAsia="Times New Roman" w:hAnsi="Times New Roman" w:cs="Times New Roman"/>
          <w:sz w:val="24"/>
          <w:szCs w:val="20"/>
        </w:rPr>
        <w:t xml:space="preserve">.  </w:t>
      </w:r>
      <w:r w:rsidR="00B56169">
        <w:rPr>
          <w:rFonts w:ascii="Times New Roman" w:eastAsia="Times New Roman" w:hAnsi="Times New Roman" w:cs="Times New Roman"/>
          <w:sz w:val="24"/>
          <w:szCs w:val="20"/>
        </w:rPr>
        <w:t xml:space="preserve"> Accordingly, </w:t>
      </w:r>
      <w:r w:rsidR="005812E1">
        <w:rPr>
          <w:rFonts w:ascii="Times New Roman" w:eastAsia="Times New Roman" w:hAnsi="Times New Roman" w:cs="Times New Roman"/>
          <w:sz w:val="24"/>
          <w:szCs w:val="20"/>
        </w:rPr>
        <w:t>t</w:t>
      </w:r>
      <w:r w:rsidR="00DD698A">
        <w:rPr>
          <w:rFonts w:ascii="Times New Roman" w:eastAsia="Times New Roman" w:hAnsi="Times New Roman" w:cs="Times New Roman"/>
          <w:sz w:val="24"/>
          <w:szCs w:val="20"/>
        </w:rPr>
        <w:t>his testimony will not be considered to the extent it purports to address</w:t>
      </w:r>
      <w:r w:rsidR="0070206A">
        <w:rPr>
          <w:rFonts w:ascii="Times New Roman" w:eastAsia="Times New Roman" w:hAnsi="Times New Roman" w:cs="Times New Roman"/>
          <w:sz w:val="24"/>
          <w:szCs w:val="20"/>
        </w:rPr>
        <w:t xml:space="preserve"> allegations of violations of </w:t>
      </w:r>
      <w:r w:rsidR="00BC74D0">
        <w:rPr>
          <w:rFonts w:ascii="Times New Roman" w:eastAsia="Times New Roman" w:hAnsi="Times New Roman" w:cs="Times New Roman"/>
          <w:sz w:val="24"/>
          <w:szCs w:val="20"/>
        </w:rPr>
        <w:t xml:space="preserve">municipal, county laws or DEP </w:t>
      </w:r>
      <w:r w:rsidR="0070206A">
        <w:rPr>
          <w:rFonts w:ascii="Times New Roman" w:eastAsia="Times New Roman" w:hAnsi="Times New Roman" w:cs="Times New Roman"/>
          <w:sz w:val="24"/>
          <w:szCs w:val="20"/>
        </w:rPr>
        <w:t>regulations that are beyond the Commission’s jurisdiction.</w:t>
      </w:r>
      <w:r w:rsidR="00DD698A">
        <w:rPr>
          <w:rFonts w:ascii="Times New Roman" w:eastAsia="Times New Roman" w:hAnsi="Times New Roman" w:cs="Times New Roman"/>
          <w:sz w:val="24"/>
          <w:szCs w:val="20"/>
        </w:rPr>
        <w:t xml:space="preserve"> </w:t>
      </w:r>
      <w:r w:rsidR="00B56169">
        <w:rPr>
          <w:rFonts w:ascii="Times New Roman" w:eastAsia="Times New Roman" w:hAnsi="Times New Roman" w:cs="Times New Roman"/>
          <w:sz w:val="24"/>
          <w:szCs w:val="20"/>
        </w:rPr>
        <w:t xml:space="preserve"> </w:t>
      </w:r>
      <w:r w:rsidR="00A250B3">
        <w:rPr>
          <w:rFonts w:ascii="Times New Roman" w:eastAsia="Times New Roman" w:hAnsi="Times New Roman" w:cs="Times New Roman"/>
          <w:sz w:val="24"/>
          <w:szCs w:val="20"/>
        </w:rPr>
        <w:t xml:space="preserve"> </w:t>
      </w:r>
      <w:r w:rsidR="009405F8">
        <w:rPr>
          <w:rFonts w:ascii="Times New Roman" w:eastAsia="Times New Roman" w:hAnsi="Times New Roman" w:cs="Times New Roman"/>
          <w:sz w:val="24"/>
          <w:szCs w:val="20"/>
        </w:rPr>
        <w:t xml:space="preserve"> </w:t>
      </w:r>
    </w:p>
    <w:p w14:paraId="6B92D634" w14:textId="3F40BAC7" w:rsidR="00F00D09" w:rsidRDefault="00F00D09" w:rsidP="00F00D09">
      <w:pPr>
        <w:pStyle w:val="ListParagraph"/>
        <w:spacing w:after="0" w:line="360" w:lineRule="auto"/>
        <w:ind w:left="1440" w:right="1440" w:hanging="1440"/>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5D675E61" w14:textId="6241C791" w:rsidR="003A1BE3" w:rsidRDefault="00C0670C" w:rsidP="003A1BE3">
      <w:pPr>
        <w:pStyle w:val="ListParagraph"/>
        <w:numPr>
          <w:ilvl w:val="0"/>
          <w:numId w:val="3"/>
        </w:numPr>
        <w:tabs>
          <w:tab w:val="left" w:pos="0"/>
        </w:tabs>
        <w:spacing w:after="0" w:line="240" w:lineRule="auto"/>
        <w:ind w:right="1440" w:hanging="720"/>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 xml:space="preserve">Statements </w:t>
      </w:r>
      <w:r w:rsidR="00A140E8">
        <w:rPr>
          <w:rFonts w:ascii="Times New Roman" w:eastAsia="Times New Roman" w:hAnsi="Times New Roman" w:cs="Times New Roman"/>
          <w:b/>
          <w:bCs/>
          <w:sz w:val="24"/>
          <w:szCs w:val="20"/>
        </w:rPr>
        <w:t xml:space="preserve">in </w:t>
      </w:r>
      <w:r w:rsidR="00F55068">
        <w:rPr>
          <w:rFonts w:ascii="Times New Roman" w:eastAsia="Times New Roman" w:hAnsi="Times New Roman" w:cs="Times New Roman"/>
          <w:b/>
          <w:bCs/>
          <w:sz w:val="24"/>
          <w:szCs w:val="20"/>
        </w:rPr>
        <w:t>t</w:t>
      </w:r>
      <w:r w:rsidRPr="00C0670C">
        <w:rPr>
          <w:rFonts w:ascii="Times New Roman" w:eastAsia="Times New Roman" w:hAnsi="Times New Roman" w:cs="Times New Roman"/>
          <w:b/>
          <w:bCs/>
          <w:sz w:val="24"/>
          <w:szCs w:val="20"/>
        </w:rPr>
        <w:t>estimony and</w:t>
      </w:r>
      <w:r w:rsidR="00A140E8">
        <w:rPr>
          <w:rFonts w:ascii="Times New Roman" w:eastAsia="Times New Roman" w:hAnsi="Times New Roman" w:cs="Times New Roman"/>
          <w:b/>
          <w:bCs/>
          <w:sz w:val="24"/>
          <w:szCs w:val="20"/>
        </w:rPr>
        <w:t xml:space="preserve"> </w:t>
      </w:r>
      <w:r w:rsidR="00F55068">
        <w:rPr>
          <w:rFonts w:ascii="Times New Roman" w:eastAsia="Times New Roman" w:hAnsi="Times New Roman" w:cs="Times New Roman"/>
          <w:b/>
          <w:bCs/>
          <w:sz w:val="24"/>
          <w:szCs w:val="20"/>
        </w:rPr>
        <w:t>e</w:t>
      </w:r>
      <w:r w:rsidR="00A140E8">
        <w:rPr>
          <w:rFonts w:ascii="Times New Roman" w:eastAsia="Times New Roman" w:hAnsi="Times New Roman" w:cs="Times New Roman"/>
          <w:b/>
          <w:bCs/>
          <w:sz w:val="24"/>
          <w:szCs w:val="20"/>
        </w:rPr>
        <w:t xml:space="preserve">xhibits that are </w:t>
      </w:r>
      <w:r w:rsidR="00F55068">
        <w:rPr>
          <w:rFonts w:ascii="Times New Roman" w:eastAsia="Times New Roman" w:hAnsi="Times New Roman" w:cs="Times New Roman"/>
          <w:b/>
          <w:bCs/>
          <w:sz w:val="24"/>
          <w:szCs w:val="20"/>
        </w:rPr>
        <w:t>o</w:t>
      </w:r>
      <w:r w:rsidR="00A140E8">
        <w:rPr>
          <w:rFonts w:ascii="Times New Roman" w:eastAsia="Times New Roman" w:hAnsi="Times New Roman" w:cs="Times New Roman"/>
          <w:b/>
          <w:bCs/>
          <w:sz w:val="24"/>
          <w:szCs w:val="20"/>
        </w:rPr>
        <w:t xml:space="preserve">utside the </w:t>
      </w:r>
      <w:r w:rsidR="00F55068">
        <w:rPr>
          <w:rFonts w:ascii="Times New Roman" w:eastAsia="Times New Roman" w:hAnsi="Times New Roman" w:cs="Times New Roman"/>
          <w:b/>
          <w:bCs/>
          <w:sz w:val="24"/>
          <w:szCs w:val="20"/>
        </w:rPr>
        <w:t>s</w:t>
      </w:r>
      <w:r w:rsidR="00A140E8">
        <w:rPr>
          <w:rFonts w:ascii="Times New Roman" w:eastAsia="Times New Roman" w:hAnsi="Times New Roman" w:cs="Times New Roman"/>
          <w:b/>
          <w:bCs/>
          <w:sz w:val="24"/>
          <w:szCs w:val="20"/>
        </w:rPr>
        <w:t xml:space="preserve">cope of the </w:t>
      </w:r>
      <w:r w:rsidR="003A1BE3">
        <w:rPr>
          <w:rFonts w:ascii="Times New Roman" w:eastAsia="Times New Roman" w:hAnsi="Times New Roman" w:cs="Times New Roman"/>
          <w:b/>
          <w:bCs/>
          <w:sz w:val="24"/>
          <w:szCs w:val="20"/>
        </w:rPr>
        <w:t xml:space="preserve">Commission’s </w:t>
      </w:r>
      <w:r w:rsidR="00F55068">
        <w:rPr>
          <w:rFonts w:ascii="Times New Roman" w:eastAsia="Times New Roman" w:hAnsi="Times New Roman" w:cs="Times New Roman"/>
          <w:b/>
          <w:bCs/>
          <w:sz w:val="24"/>
          <w:szCs w:val="20"/>
        </w:rPr>
        <w:t>l</w:t>
      </w:r>
      <w:r w:rsidR="003A1BE3">
        <w:rPr>
          <w:rFonts w:ascii="Times New Roman" w:eastAsia="Times New Roman" w:hAnsi="Times New Roman" w:cs="Times New Roman"/>
          <w:b/>
          <w:bCs/>
          <w:sz w:val="24"/>
          <w:szCs w:val="20"/>
        </w:rPr>
        <w:t xml:space="preserve">imited </w:t>
      </w:r>
      <w:r w:rsidR="00F55068">
        <w:rPr>
          <w:rFonts w:ascii="Times New Roman" w:eastAsia="Times New Roman" w:hAnsi="Times New Roman" w:cs="Times New Roman"/>
          <w:b/>
          <w:bCs/>
          <w:sz w:val="24"/>
          <w:szCs w:val="20"/>
        </w:rPr>
        <w:t>j</w:t>
      </w:r>
      <w:r w:rsidR="003A1BE3">
        <w:rPr>
          <w:rFonts w:ascii="Times New Roman" w:eastAsia="Times New Roman" w:hAnsi="Times New Roman" w:cs="Times New Roman"/>
          <w:b/>
          <w:bCs/>
          <w:sz w:val="24"/>
          <w:szCs w:val="20"/>
        </w:rPr>
        <w:t>urisdiction</w:t>
      </w:r>
      <w:r w:rsidR="00FC790E">
        <w:rPr>
          <w:rFonts w:ascii="Times New Roman" w:eastAsia="Times New Roman" w:hAnsi="Times New Roman" w:cs="Times New Roman"/>
          <w:b/>
          <w:bCs/>
          <w:sz w:val="24"/>
          <w:szCs w:val="20"/>
        </w:rPr>
        <w:t>.</w:t>
      </w:r>
      <w:r w:rsidR="003A1BE3">
        <w:rPr>
          <w:rFonts w:ascii="Times New Roman" w:eastAsia="Times New Roman" w:hAnsi="Times New Roman" w:cs="Times New Roman"/>
          <w:b/>
          <w:bCs/>
          <w:sz w:val="24"/>
          <w:szCs w:val="20"/>
        </w:rPr>
        <w:t xml:space="preserve"> </w:t>
      </w:r>
    </w:p>
    <w:p w14:paraId="2DD8FE33" w14:textId="77777777" w:rsidR="003A1BE3" w:rsidRDefault="003A1BE3" w:rsidP="006B7F3C">
      <w:pPr>
        <w:tabs>
          <w:tab w:val="left" w:pos="0"/>
        </w:tabs>
        <w:spacing w:after="0" w:line="360" w:lineRule="auto"/>
        <w:ind w:right="1440"/>
        <w:rPr>
          <w:rFonts w:ascii="Times New Roman" w:eastAsia="Times New Roman" w:hAnsi="Times New Roman" w:cs="Times New Roman"/>
          <w:b/>
          <w:bCs/>
          <w:sz w:val="24"/>
          <w:szCs w:val="20"/>
        </w:rPr>
      </w:pPr>
    </w:p>
    <w:p w14:paraId="15B9F150" w14:textId="77777777" w:rsidR="005168DA" w:rsidRDefault="003A1BE3" w:rsidP="00FD567D">
      <w:pPr>
        <w:tabs>
          <w:tab w:val="left" w:pos="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4E6CB2">
        <w:rPr>
          <w:rFonts w:ascii="Times New Roman" w:eastAsia="Times New Roman" w:hAnsi="Times New Roman" w:cs="Times New Roman"/>
          <w:sz w:val="24"/>
          <w:szCs w:val="20"/>
        </w:rPr>
        <w:t xml:space="preserve">PPL next argues that </w:t>
      </w:r>
      <w:r w:rsidR="00FD567D">
        <w:rPr>
          <w:rFonts w:ascii="Times New Roman" w:eastAsia="Times New Roman" w:hAnsi="Times New Roman" w:cs="Times New Roman"/>
          <w:sz w:val="24"/>
          <w:szCs w:val="20"/>
        </w:rPr>
        <w:t xml:space="preserve">any testimony and exhibits related to </w:t>
      </w:r>
      <w:r w:rsidR="00D8274F">
        <w:rPr>
          <w:rFonts w:ascii="Times New Roman" w:eastAsia="Times New Roman" w:hAnsi="Times New Roman" w:cs="Times New Roman"/>
          <w:sz w:val="24"/>
          <w:szCs w:val="20"/>
        </w:rPr>
        <w:t>issues involving the interpretation of</w:t>
      </w:r>
      <w:r w:rsidR="00FB4BD7">
        <w:rPr>
          <w:rFonts w:ascii="Times New Roman" w:eastAsia="Times New Roman" w:hAnsi="Times New Roman" w:cs="Times New Roman"/>
          <w:sz w:val="24"/>
          <w:szCs w:val="20"/>
        </w:rPr>
        <w:t>, or compliance with,</w:t>
      </w:r>
      <w:r w:rsidR="00D8274F">
        <w:rPr>
          <w:rFonts w:ascii="Times New Roman" w:eastAsia="Times New Roman" w:hAnsi="Times New Roman" w:cs="Times New Roman"/>
          <w:sz w:val="24"/>
          <w:szCs w:val="20"/>
        </w:rPr>
        <w:t xml:space="preserve"> </w:t>
      </w:r>
      <w:r w:rsidR="00060C2D">
        <w:rPr>
          <w:rFonts w:ascii="Times New Roman" w:eastAsia="Times New Roman" w:hAnsi="Times New Roman" w:cs="Times New Roman"/>
          <w:sz w:val="24"/>
          <w:szCs w:val="20"/>
        </w:rPr>
        <w:t>PPL’s Erosion and Sediment Control Plan (E&amp;S</w:t>
      </w:r>
      <w:r w:rsidR="00A32672">
        <w:rPr>
          <w:rFonts w:ascii="Times New Roman" w:eastAsia="Times New Roman" w:hAnsi="Times New Roman" w:cs="Times New Roman"/>
          <w:sz w:val="24"/>
          <w:szCs w:val="20"/>
        </w:rPr>
        <w:t>) and permit, and whether PPL violated its obligations under the Plan should be stricken as beyond the Commission’s jurisdiction.</w:t>
      </w:r>
      <w:r w:rsidR="003C443E">
        <w:rPr>
          <w:rFonts w:ascii="Times New Roman" w:eastAsia="Times New Roman" w:hAnsi="Times New Roman" w:cs="Times New Roman"/>
          <w:sz w:val="24"/>
          <w:szCs w:val="20"/>
        </w:rPr>
        <w:t xml:space="preserve">  </w:t>
      </w:r>
      <w:r w:rsidR="00664455">
        <w:rPr>
          <w:rFonts w:ascii="Times New Roman" w:eastAsia="Times New Roman" w:hAnsi="Times New Roman" w:cs="Times New Roman"/>
          <w:sz w:val="24"/>
          <w:szCs w:val="20"/>
        </w:rPr>
        <w:t xml:space="preserve">It specifically seeks to strike </w:t>
      </w:r>
      <w:r w:rsidR="00DB42BF">
        <w:rPr>
          <w:rFonts w:ascii="Times New Roman" w:eastAsia="Times New Roman" w:hAnsi="Times New Roman" w:cs="Times New Roman"/>
          <w:sz w:val="24"/>
          <w:szCs w:val="20"/>
        </w:rPr>
        <w:t>Hartman Exhibit A, ¶¶ 9, 17, 22</w:t>
      </w:r>
      <w:r w:rsidR="006E60A0">
        <w:rPr>
          <w:rFonts w:ascii="Times New Roman" w:eastAsia="Times New Roman" w:hAnsi="Times New Roman" w:cs="Times New Roman"/>
          <w:sz w:val="24"/>
          <w:szCs w:val="20"/>
        </w:rPr>
        <w:t>, 26-35, 39-40, 49, 67-69, 77, 95, 136</w:t>
      </w:r>
      <w:r w:rsidR="00BA7813">
        <w:rPr>
          <w:rFonts w:ascii="Times New Roman" w:eastAsia="Times New Roman" w:hAnsi="Times New Roman" w:cs="Times New Roman"/>
          <w:sz w:val="24"/>
          <w:szCs w:val="20"/>
        </w:rPr>
        <w:t xml:space="preserve"> and Hartman Exhibit Nos. 4, 13, 14, 19, 21, 22, 23, </w:t>
      </w:r>
      <w:r w:rsidR="003B5CF9">
        <w:rPr>
          <w:rFonts w:ascii="Times New Roman" w:eastAsia="Times New Roman" w:hAnsi="Times New Roman" w:cs="Times New Roman"/>
          <w:sz w:val="24"/>
          <w:szCs w:val="20"/>
        </w:rPr>
        <w:t xml:space="preserve">45, 46, 48, 49 and 50.  </w:t>
      </w:r>
      <w:r w:rsidR="00010633">
        <w:rPr>
          <w:rFonts w:ascii="Times New Roman" w:eastAsia="Times New Roman" w:hAnsi="Times New Roman" w:cs="Times New Roman"/>
          <w:sz w:val="24"/>
          <w:szCs w:val="20"/>
        </w:rPr>
        <w:t>PPL</w:t>
      </w:r>
      <w:r w:rsidR="003C443E">
        <w:rPr>
          <w:rFonts w:ascii="Times New Roman" w:eastAsia="Times New Roman" w:hAnsi="Times New Roman" w:cs="Times New Roman"/>
          <w:sz w:val="24"/>
          <w:szCs w:val="20"/>
        </w:rPr>
        <w:t xml:space="preserve"> </w:t>
      </w:r>
      <w:r w:rsidR="00040F1A">
        <w:rPr>
          <w:rFonts w:ascii="Times New Roman" w:eastAsia="Times New Roman" w:hAnsi="Times New Roman" w:cs="Times New Roman"/>
          <w:sz w:val="24"/>
          <w:szCs w:val="20"/>
        </w:rPr>
        <w:t>further</w:t>
      </w:r>
      <w:r w:rsidR="003C443E">
        <w:rPr>
          <w:rFonts w:ascii="Times New Roman" w:eastAsia="Times New Roman" w:hAnsi="Times New Roman" w:cs="Times New Roman"/>
          <w:sz w:val="24"/>
          <w:szCs w:val="20"/>
        </w:rPr>
        <w:t xml:space="preserve"> argues that</w:t>
      </w:r>
      <w:r w:rsidR="00040F1A">
        <w:rPr>
          <w:rFonts w:ascii="Times New Roman" w:eastAsia="Times New Roman" w:hAnsi="Times New Roman" w:cs="Times New Roman"/>
          <w:sz w:val="24"/>
          <w:szCs w:val="20"/>
        </w:rPr>
        <w:t xml:space="preserve"> testimony and exhibits </w:t>
      </w:r>
      <w:r w:rsidR="00AA1FBB">
        <w:rPr>
          <w:rFonts w:ascii="Times New Roman" w:eastAsia="Times New Roman" w:hAnsi="Times New Roman" w:cs="Times New Roman"/>
          <w:sz w:val="24"/>
          <w:szCs w:val="20"/>
        </w:rPr>
        <w:t>related to the project’s environmental impact, environmental protection controls</w:t>
      </w:r>
      <w:r w:rsidR="00021379">
        <w:rPr>
          <w:rFonts w:ascii="Times New Roman" w:eastAsia="Times New Roman" w:hAnsi="Times New Roman" w:cs="Times New Roman"/>
          <w:sz w:val="24"/>
          <w:szCs w:val="20"/>
        </w:rPr>
        <w:t xml:space="preserve"> and </w:t>
      </w:r>
      <w:r w:rsidR="00654368">
        <w:rPr>
          <w:rFonts w:ascii="Times New Roman" w:eastAsia="Times New Roman" w:hAnsi="Times New Roman" w:cs="Times New Roman"/>
          <w:sz w:val="24"/>
          <w:szCs w:val="20"/>
        </w:rPr>
        <w:t xml:space="preserve">alleged </w:t>
      </w:r>
      <w:r w:rsidR="00B45362">
        <w:rPr>
          <w:rFonts w:ascii="Times New Roman" w:eastAsia="Times New Roman" w:hAnsi="Times New Roman" w:cs="Times New Roman"/>
          <w:sz w:val="24"/>
          <w:szCs w:val="20"/>
        </w:rPr>
        <w:t>unpermitted or increased stormwater discharges are likewise beyon</w:t>
      </w:r>
      <w:r w:rsidR="001A0458">
        <w:rPr>
          <w:rFonts w:ascii="Times New Roman" w:eastAsia="Times New Roman" w:hAnsi="Times New Roman" w:cs="Times New Roman"/>
          <w:sz w:val="24"/>
          <w:szCs w:val="20"/>
        </w:rPr>
        <w:t xml:space="preserve">d the </w:t>
      </w:r>
      <w:r w:rsidR="00010633">
        <w:rPr>
          <w:rFonts w:ascii="Times New Roman" w:eastAsia="Times New Roman" w:hAnsi="Times New Roman" w:cs="Times New Roman"/>
          <w:sz w:val="24"/>
          <w:szCs w:val="20"/>
        </w:rPr>
        <w:t>C</w:t>
      </w:r>
      <w:r w:rsidR="001A0458">
        <w:rPr>
          <w:rFonts w:ascii="Times New Roman" w:eastAsia="Times New Roman" w:hAnsi="Times New Roman" w:cs="Times New Roman"/>
          <w:sz w:val="24"/>
          <w:szCs w:val="20"/>
        </w:rPr>
        <w:t xml:space="preserve">ommission’s jurisdiction and should be stricken.  PPL specifically </w:t>
      </w:r>
      <w:r w:rsidR="00010633">
        <w:rPr>
          <w:rFonts w:ascii="Times New Roman" w:eastAsia="Times New Roman" w:hAnsi="Times New Roman" w:cs="Times New Roman"/>
          <w:sz w:val="24"/>
          <w:szCs w:val="20"/>
        </w:rPr>
        <w:t xml:space="preserve">seeks to strike </w:t>
      </w:r>
      <w:r w:rsidR="00F57A53">
        <w:rPr>
          <w:rFonts w:ascii="Times New Roman" w:eastAsia="Times New Roman" w:hAnsi="Times New Roman" w:cs="Times New Roman"/>
          <w:sz w:val="24"/>
          <w:szCs w:val="20"/>
        </w:rPr>
        <w:t>Hartman Exhibit A,</w:t>
      </w:r>
      <w:r w:rsidR="00A14C43">
        <w:rPr>
          <w:rFonts w:ascii="Times New Roman" w:eastAsia="Times New Roman" w:hAnsi="Times New Roman" w:cs="Times New Roman"/>
          <w:sz w:val="24"/>
          <w:szCs w:val="20"/>
        </w:rPr>
        <w:t xml:space="preserve"> ¶¶ 27, 33, 56-57, 59-60</w:t>
      </w:r>
      <w:r w:rsidR="005168DA">
        <w:rPr>
          <w:rFonts w:ascii="Times New Roman" w:eastAsia="Times New Roman" w:hAnsi="Times New Roman" w:cs="Times New Roman"/>
          <w:sz w:val="24"/>
          <w:szCs w:val="20"/>
        </w:rPr>
        <w:t>, 98, 122-125.</w:t>
      </w:r>
    </w:p>
    <w:p w14:paraId="41868FEB" w14:textId="77777777" w:rsidR="005168DA" w:rsidRDefault="005168DA" w:rsidP="00FD567D">
      <w:pPr>
        <w:tabs>
          <w:tab w:val="left" w:pos="0"/>
        </w:tabs>
        <w:spacing w:after="0" w:line="360" w:lineRule="auto"/>
        <w:rPr>
          <w:rFonts w:ascii="Times New Roman" w:eastAsia="Times New Roman" w:hAnsi="Times New Roman" w:cs="Times New Roman"/>
          <w:sz w:val="24"/>
          <w:szCs w:val="20"/>
        </w:rPr>
      </w:pPr>
    </w:p>
    <w:p w14:paraId="6DC64570" w14:textId="0E50EC52" w:rsidR="00767F6E" w:rsidRDefault="005168DA" w:rsidP="00FD567D">
      <w:pPr>
        <w:tabs>
          <w:tab w:val="left" w:pos="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F57A53">
        <w:rPr>
          <w:rFonts w:ascii="Times New Roman" w:eastAsia="Times New Roman" w:hAnsi="Times New Roman" w:cs="Times New Roman"/>
          <w:sz w:val="24"/>
          <w:szCs w:val="20"/>
        </w:rPr>
        <w:t xml:space="preserve"> </w:t>
      </w:r>
      <w:r w:rsidR="003C443E">
        <w:rPr>
          <w:rFonts w:ascii="Times New Roman" w:eastAsia="Times New Roman" w:hAnsi="Times New Roman" w:cs="Times New Roman"/>
          <w:sz w:val="24"/>
          <w:szCs w:val="20"/>
        </w:rPr>
        <w:t xml:space="preserve"> </w:t>
      </w:r>
      <w:r w:rsidR="00A32672">
        <w:rPr>
          <w:rFonts w:ascii="Times New Roman" w:eastAsia="Times New Roman" w:hAnsi="Times New Roman" w:cs="Times New Roman"/>
          <w:sz w:val="24"/>
          <w:szCs w:val="20"/>
        </w:rPr>
        <w:t xml:space="preserve"> </w:t>
      </w:r>
      <w:r w:rsidR="0088465B">
        <w:rPr>
          <w:rFonts w:ascii="Times New Roman" w:eastAsia="Times New Roman" w:hAnsi="Times New Roman" w:cs="Times New Roman"/>
          <w:sz w:val="24"/>
          <w:szCs w:val="20"/>
        </w:rPr>
        <w:t xml:space="preserve">In response, the Hartmans </w:t>
      </w:r>
      <w:r w:rsidR="00740AA8">
        <w:rPr>
          <w:rFonts w:ascii="Times New Roman" w:eastAsia="Times New Roman" w:hAnsi="Times New Roman" w:cs="Times New Roman"/>
          <w:sz w:val="24"/>
          <w:szCs w:val="20"/>
        </w:rPr>
        <w:t>again note language in the Commission’s April 2020 Order</w:t>
      </w:r>
      <w:r w:rsidR="00767F6E">
        <w:rPr>
          <w:rFonts w:ascii="Times New Roman" w:eastAsia="Times New Roman" w:hAnsi="Times New Roman" w:cs="Times New Roman"/>
          <w:sz w:val="24"/>
          <w:szCs w:val="20"/>
        </w:rPr>
        <w:t xml:space="preserve">, which directed that the Commission address the issues of the safety and reasonableness of </w:t>
      </w:r>
      <w:r w:rsidR="00767F6E">
        <w:rPr>
          <w:rFonts w:ascii="Times New Roman" w:eastAsia="Times New Roman" w:hAnsi="Times New Roman" w:cs="Times New Roman"/>
          <w:sz w:val="24"/>
          <w:szCs w:val="20"/>
        </w:rPr>
        <w:lastRenderedPageBreak/>
        <w:t xml:space="preserve">PPL’s construction activities on Complainants’ property, and its impact on erosion and sedimentation on the property and any safety hazards </w:t>
      </w:r>
      <w:r w:rsidR="00BE161D">
        <w:rPr>
          <w:rFonts w:ascii="Times New Roman" w:eastAsia="Times New Roman" w:hAnsi="Times New Roman" w:cs="Times New Roman"/>
          <w:sz w:val="24"/>
          <w:szCs w:val="20"/>
        </w:rPr>
        <w:t xml:space="preserve">on their property </w:t>
      </w:r>
      <w:r w:rsidR="00767F6E">
        <w:rPr>
          <w:rFonts w:ascii="Times New Roman" w:eastAsia="Times New Roman" w:hAnsi="Times New Roman" w:cs="Times New Roman"/>
          <w:sz w:val="24"/>
          <w:szCs w:val="20"/>
        </w:rPr>
        <w:t>that resulted therefrom.  The Hartmans argue that PPL failed to follow its own E&amp;S plan and the terms and conditions of its PA DEP permit.  The Hartmans request that the specific testimony passages and exhibits challenged by PPL above be admitted.</w:t>
      </w:r>
    </w:p>
    <w:p w14:paraId="6865AA2A" w14:textId="77777777" w:rsidR="00767F6E" w:rsidRDefault="00767F6E" w:rsidP="00FD567D">
      <w:pPr>
        <w:tabs>
          <w:tab w:val="left" w:pos="0"/>
        </w:tabs>
        <w:spacing w:after="0" w:line="360" w:lineRule="auto"/>
        <w:rPr>
          <w:rFonts w:ascii="Times New Roman" w:eastAsia="Times New Roman" w:hAnsi="Times New Roman" w:cs="Times New Roman"/>
          <w:sz w:val="24"/>
          <w:szCs w:val="20"/>
        </w:rPr>
      </w:pPr>
    </w:p>
    <w:p w14:paraId="09B53180" w14:textId="332AFC2C" w:rsidR="006A1FA9" w:rsidRDefault="00767F6E" w:rsidP="00FD567D">
      <w:pPr>
        <w:tabs>
          <w:tab w:val="left" w:pos="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r w:rsidR="00183B80">
        <w:rPr>
          <w:rFonts w:ascii="Times New Roman" w:eastAsia="Times New Roman" w:hAnsi="Times New Roman" w:cs="Times New Roman"/>
          <w:sz w:val="24"/>
          <w:szCs w:val="20"/>
        </w:rPr>
        <w:t xml:space="preserve">PPL correctly argues in its Motion </w:t>
      </w:r>
      <w:r w:rsidR="00F36541">
        <w:rPr>
          <w:rFonts w:ascii="Times New Roman" w:eastAsia="Times New Roman" w:hAnsi="Times New Roman" w:cs="Times New Roman"/>
          <w:sz w:val="24"/>
          <w:szCs w:val="20"/>
        </w:rPr>
        <w:t xml:space="preserve">that </w:t>
      </w:r>
      <w:r w:rsidR="00E079DB">
        <w:rPr>
          <w:rFonts w:ascii="Times New Roman" w:eastAsia="Times New Roman" w:hAnsi="Times New Roman" w:cs="Times New Roman"/>
          <w:sz w:val="24"/>
          <w:szCs w:val="20"/>
        </w:rPr>
        <w:t>the</w:t>
      </w:r>
      <w:r w:rsidR="00950F65">
        <w:rPr>
          <w:rFonts w:ascii="Times New Roman" w:eastAsia="Times New Roman" w:hAnsi="Times New Roman" w:cs="Times New Roman"/>
          <w:sz w:val="24"/>
          <w:szCs w:val="20"/>
        </w:rPr>
        <w:t xml:space="preserve"> C</w:t>
      </w:r>
      <w:r w:rsidR="00E079DB">
        <w:rPr>
          <w:rFonts w:ascii="Times New Roman" w:eastAsia="Times New Roman" w:hAnsi="Times New Roman" w:cs="Times New Roman"/>
          <w:sz w:val="24"/>
          <w:szCs w:val="20"/>
        </w:rPr>
        <w:t>ommission’s authority</w:t>
      </w:r>
      <w:r w:rsidR="00950F65">
        <w:rPr>
          <w:rFonts w:ascii="Times New Roman" w:eastAsia="Times New Roman" w:hAnsi="Times New Roman" w:cs="Times New Roman"/>
          <w:sz w:val="24"/>
          <w:szCs w:val="20"/>
        </w:rPr>
        <w:t xml:space="preserve"> “extends only to those matters that the state legislature has specifically delegated to it in the Code.”</w:t>
      </w:r>
      <w:r w:rsidR="00950F65">
        <w:rPr>
          <w:rStyle w:val="FootnoteReference"/>
          <w:rFonts w:ascii="Times New Roman" w:eastAsia="Times New Roman" w:hAnsi="Times New Roman" w:cs="Times New Roman"/>
          <w:sz w:val="24"/>
          <w:szCs w:val="20"/>
        </w:rPr>
        <w:footnoteReference w:id="2"/>
      </w:r>
      <w:r w:rsidR="00950F65">
        <w:rPr>
          <w:rFonts w:ascii="Times New Roman" w:eastAsia="Times New Roman" w:hAnsi="Times New Roman" w:cs="Times New Roman"/>
          <w:sz w:val="24"/>
          <w:szCs w:val="20"/>
        </w:rPr>
        <w:t xml:space="preserve">  </w:t>
      </w:r>
      <w:r w:rsidR="00CD4850">
        <w:rPr>
          <w:rFonts w:ascii="Times New Roman" w:eastAsia="Times New Roman" w:hAnsi="Times New Roman" w:cs="Times New Roman"/>
          <w:sz w:val="24"/>
          <w:szCs w:val="20"/>
        </w:rPr>
        <w:t>T</w:t>
      </w:r>
      <w:r w:rsidR="006D7589">
        <w:rPr>
          <w:rFonts w:ascii="Times New Roman" w:eastAsia="Times New Roman" w:hAnsi="Times New Roman" w:cs="Times New Roman"/>
          <w:sz w:val="24"/>
          <w:szCs w:val="20"/>
        </w:rPr>
        <w:t xml:space="preserve">he Commission stated in its April </w:t>
      </w:r>
      <w:r w:rsidR="006E0E48">
        <w:rPr>
          <w:rFonts w:ascii="Times New Roman" w:eastAsia="Times New Roman" w:hAnsi="Times New Roman" w:cs="Times New Roman"/>
          <w:sz w:val="24"/>
          <w:szCs w:val="20"/>
        </w:rPr>
        <w:t>2020 Order</w:t>
      </w:r>
      <w:r w:rsidR="006A1FA9">
        <w:rPr>
          <w:rFonts w:ascii="Times New Roman" w:eastAsia="Times New Roman" w:hAnsi="Times New Roman" w:cs="Times New Roman"/>
          <w:sz w:val="24"/>
          <w:szCs w:val="20"/>
        </w:rPr>
        <w:t>:</w:t>
      </w:r>
    </w:p>
    <w:p w14:paraId="26A00758" w14:textId="77777777" w:rsidR="006A1FA9" w:rsidRDefault="006A1FA9" w:rsidP="00FD567D">
      <w:pPr>
        <w:tabs>
          <w:tab w:val="left" w:pos="0"/>
        </w:tabs>
        <w:spacing w:after="0" w:line="360" w:lineRule="auto"/>
        <w:rPr>
          <w:rFonts w:ascii="Times New Roman" w:eastAsia="Times New Roman" w:hAnsi="Times New Roman" w:cs="Times New Roman"/>
          <w:sz w:val="24"/>
          <w:szCs w:val="20"/>
        </w:rPr>
      </w:pPr>
    </w:p>
    <w:p w14:paraId="7DFCCA77" w14:textId="10C2FBE7" w:rsidR="00950F65" w:rsidRDefault="006E0E48" w:rsidP="006A1FA9">
      <w:pPr>
        <w:spacing w:after="0" w:line="240" w:lineRule="auto"/>
        <w:ind w:left="1440" w:right="1440"/>
        <w:rPr>
          <w:rFonts w:ascii="Times New Roman" w:eastAsia="Times New Roman" w:hAnsi="Times New Roman" w:cs="Times New Roman"/>
          <w:sz w:val="24"/>
          <w:szCs w:val="20"/>
        </w:rPr>
      </w:pPr>
      <w:r>
        <w:rPr>
          <w:rFonts w:ascii="Times New Roman" w:eastAsia="Times New Roman" w:hAnsi="Times New Roman" w:cs="Times New Roman"/>
          <w:sz w:val="24"/>
          <w:szCs w:val="20"/>
        </w:rPr>
        <w:t>We decline to examine the general or specific issues raised in the Complaint b</w:t>
      </w:r>
      <w:r w:rsidR="00B80BA5">
        <w:rPr>
          <w:rFonts w:ascii="Times New Roman" w:eastAsia="Times New Roman" w:hAnsi="Times New Roman" w:cs="Times New Roman"/>
          <w:sz w:val="24"/>
          <w:szCs w:val="20"/>
        </w:rPr>
        <w:t xml:space="preserve">ecause the Complainants’ assertions regarding any environmental impact of PPL’s construction practices, the reasonableness </w:t>
      </w:r>
      <w:r w:rsidR="008D42FF">
        <w:rPr>
          <w:rFonts w:ascii="Times New Roman" w:eastAsia="Times New Roman" w:hAnsi="Times New Roman" w:cs="Times New Roman"/>
          <w:sz w:val="24"/>
          <w:szCs w:val="20"/>
        </w:rPr>
        <w:t>of PPLs environmental protection control, or lack thereof, or any unpermitted or increased</w:t>
      </w:r>
      <w:r w:rsidR="00D42A23">
        <w:rPr>
          <w:rFonts w:ascii="Times New Roman" w:eastAsia="Times New Roman" w:hAnsi="Times New Roman" w:cs="Times New Roman"/>
          <w:sz w:val="24"/>
          <w:szCs w:val="20"/>
        </w:rPr>
        <w:t xml:space="preserve"> storm water discharges are outside of the Commission’s jurisdiction.  These matters are squarely within the purview of the Pennsylvania Departm</w:t>
      </w:r>
      <w:r w:rsidR="00436213">
        <w:rPr>
          <w:rFonts w:ascii="Times New Roman" w:eastAsia="Times New Roman" w:hAnsi="Times New Roman" w:cs="Times New Roman"/>
          <w:sz w:val="24"/>
          <w:szCs w:val="20"/>
        </w:rPr>
        <w:t>e</w:t>
      </w:r>
      <w:r w:rsidR="00D42A23">
        <w:rPr>
          <w:rFonts w:ascii="Times New Roman" w:eastAsia="Times New Roman" w:hAnsi="Times New Roman" w:cs="Times New Roman"/>
          <w:sz w:val="24"/>
          <w:szCs w:val="20"/>
        </w:rPr>
        <w:t xml:space="preserve">nt of Environmental Protection and/or an appropriate civil court of jurisdiction to address. </w:t>
      </w:r>
    </w:p>
    <w:p w14:paraId="23468C76" w14:textId="64873F8A" w:rsidR="00436213" w:rsidRDefault="00436213" w:rsidP="006A1FA9">
      <w:pPr>
        <w:spacing w:after="0" w:line="240" w:lineRule="auto"/>
        <w:ind w:left="1440" w:right="1440"/>
        <w:rPr>
          <w:rFonts w:ascii="Times New Roman" w:eastAsia="Times New Roman" w:hAnsi="Times New Roman" w:cs="Times New Roman"/>
          <w:sz w:val="24"/>
          <w:szCs w:val="20"/>
        </w:rPr>
      </w:pPr>
    </w:p>
    <w:p w14:paraId="339D8593" w14:textId="405807EB" w:rsidR="00436213" w:rsidRDefault="00436213" w:rsidP="00436213">
      <w:pPr>
        <w:spacing w:after="0" w:line="360" w:lineRule="auto"/>
        <w:ind w:left="1440" w:right="1440" w:hanging="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April 2020 Order, p. 22.  </w:t>
      </w:r>
    </w:p>
    <w:p w14:paraId="0C34ABF3" w14:textId="5BB53A21" w:rsidR="00436213" w:rsidRDefault="00436213" w:rsidP="00436213">
      <w:pPr>
        <w:spacing w:after="0" w:line="360" w:lineRule="auto"/>
        <w:ind w:left="1440" w:right="1440" w:hanging="1440"/>
        <w:rPr>
          <w:rFonts w:ascii="Times New Roman" w:eastAsia="Times New Roman" w:hAnsi="Times New Roman" w:cs="Times New Roman"/>
          <w:sz w:val="24"/>
          <w:szCs w:val="20"/>
        </w:rPr>
      </w:pPr>
    </w:p>
    <w:p w14:paraId="5283EE50" w14:textId="16BF1C86" w:rsidR="00436213" w:rsidRDefault="00436213" w:rsidP="00436213">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697332">
        <w:rPr>
          <w:rFonts w:ascii="Times New Roman" w:eastAsia="Times New Roman" w:hAnsi="Times New Roman" w:cs="Times New Roman"/>
          <w:sz w:val="24"/>
          <w:szCs w:val="20"/>
        </w:rPr>
        <w:t>The law is clear in Pennsylvania that t</w:t>
      </w:r>
      <w:r w:rsidR="00F163FF">
        <w:rPr>
          <w:rFonts w:ascii="Times New Roman" w:eastAsia="Times New Roman" w:hAnsi="Times New Roman" w:cs="Times New Roman"/>
          <w:sz w:val="24"/>
          <w:szCs w:val="20"/>
        </w:rPr>
        <w:t xml:space="preserve">he Commission </w:t>
      </w:r>
      <w:r w:rsidR="008A4E6F">
        <w:rPr>
          <w:rFonts w:ascii="Times New Roman" w:eastAsia="Times New Roman" w:hAnsi="Times New Roman" w:cs="Times New Roman"/>
          <w:sz w:val="24"/>
          <w:szCs w:val="20"/>
        </w:rPr>
        <w:t>does not have jurisdiction over claims involving violations o</w:t>
      </w:r>
      <w:r w:rsidR="00622A6D">
        <w:rPr>
          <w:rFonts w:ascii="Times New Roman" w:eastAsia="Times New Roman" w:hAnsi="Times New Roman" w:cs="Times New Roman"/>
          <w:sz w:val="24"/>
          <w:szCs w:val="20"/>
        </w:rPr>
        <w:t>f</w:t>
      </w:r>
      <w:r w:rsidR="008A4E6F">
        <w:rPr>
          <w:rFonts w:ascii="Times New Roman" w:eastAsia="Times New Roman" w:hAnsi="Times New Roman" w:cs="Times New Roman"/>
          <w:sz w:val="24"/>
          <w:szCs w:val="20"/>
        </w:rPr>
        <w:t xml:space="preserve"> Municipal law or environmental regulations that are beyond the scope of the Code or a </w:t>
      </w:r>
      <w:r w:rsidR="00165D98">
        <w:rPr>
          <w:rFonts w:ascii="Times New Roman" w:eastAsia="Times New Roman" w:hAnsi="Times New Roman" w:cs="Times New Roman"/>
          <w:sz w:val="24"/>
          <w:szCs w:val="20"/>
        </w:rPr>
        <w:t>Commission order or regulation.</w:t>
      </w:r>
      <w:r w:rsidR="00697332">
        <w:rPr>
          <w:rStyle w:val="FootnoteReference"/>
          <w:rFonts w:ascii="Times New Roman" w:eastAsia="Times New Roman" w:hAnsi="Times New Roman" w:cs="Times New Roman"/>
          <w:sz w:val="24"/>
          <w:szCs w:val="20"/>
        </w:rPr>
        <w:footnoteReference w:id="3"/>
      </w:r>
    </w:p>
    <w:p w14:paraId="5C0BF1F9" w14:textId="514EB379" w:rsidR="00436213" w:rsidRDefault="00436213" w:rsidP="00436213">
      <w:pPr>
        <w:spacing w:after="0" w:line="240" w:lineRule="auto"/>
        <w:ind w:left="1440" w:right="1440" w:hanging="1440"/>
        <w:rPr>
          <w:rFonts w:ascii="Times New Roman" w:eastAsia="Times New Roman" w:hAnsi="Times New Roman" w:cs="Times New Roman"/>
          <w:sz w:val="24"/>
          <w:szCs w:val="20"/>
        </w:rPr>
      </w:pPr>
    </w:p>
    <w:p w14:paraId="42A53B71" w14:textId="3E01234D" w:rsidR="00C87AB5" w:rsidRDefault="003C3217" w:rsidP="00756B00">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sidR="009910E6">
        <w:rPr>
          <w:rFonts w:ascii="Times New Roman" w:eastAsia="Times New Roman" w:hAnsi="Times New Roman" w:cs="Times New Roman"/>
          <w:sz w:val="24"/>
          <w:szCs w:val="20"/>
        </w:rPr>
        <w:t xml:space="preserve">ny </w:t>
      </w:r>
      <w:r w:rsidR="009F703F">
        <w:rPr>
          <w:rFonts w:ascii="Times New Roman" w:eastAsia="Times New Roman" w:hAnsi="Times New Roman" w:cs="Times New Roman"/>
          <w:sz w:val="24"/>
          <w:szCs w:val="20"/>
        </w:rPr>
        <w:t xml:space="preserve">testimony and exhibits </w:t>
      </w:r>
      <w:r w:rsidR="009E70CF">
        <w:rPr>
          <w:rFonts w:ascii="Times New Roman" w:eastAsia="Times New Roman" w:hAnsi="Times New Roman" w:cs="Times New Roman"/>
          <w:sz w:val="24"/>
          <w:szCs w:val="20"/>
        </w:rPr>
        <w:t>involving</w:t>
      </w:r>
      <w:r w:rsidR="00A23F45">
        <w:rPr>
          <w:rFonts w:ascii="Times New Roman" w:eastAsia="Times New Roman" w:hAnsi="Times New Roman" w:cs="Times New Roman"/>
          <w:sz w:val="24"/>
          <w:szCs w:val="20"/>
        </w:rPr>
        <w:t xml:space="preserve"> the </w:t>
      </w:r>
      <w:r w:rsidR="004750F6">
        <w:rPr>
          <w:rFonts w:ascii="Times New Roman" w:eastAsia="Times New Roman" w:hAnsi="Times New Roman" w:cs="Times New Roman"/>
          <w:sz w:val="24"/>
          <w:szCs w:val="20"/>
        </w:rPr>
        <w:t>interpretation of PPL’s E&amp;S plan</w:t>
      </w:r>
      <w:r w:rsidR="009E70CF">
        <w:rPr>
          <w:rFonts w:ascii="Times New Roman" w:eastAsia="Times New Roman" w:hAnsi="Times New Roman" w:cs="Times New Roman"/>
          <w:sz w:val="24"/>
          <w:szCs w:val="20"/>
        </w:rPr>
        <w:t xml:space="preserve"> and whether PPL’s </w:t>
      </w:r>
      <w:r w:rsidR="00DE2B7E">
        <w:rPr>
          <w:rFonts w:ascii="Times New Roman" w:eastAsia="Times New Roman" w:hAnsi="Times New Roman" w:cs="Times New Roman"/>
          <w:sz w:val="24"/>
          <w:szCs w:val="20"/>
        </w:rPr>
        <w:t xml:space="preserve">construction </w:t>
      </w:r>
      <w:r w:rsidR="00A03845">
        <w:rPr>
          <w:rFonts w:ascii="Times New Roman" w:eastAsia="Times New Roman" w:hAnsi="Times New Roman" w:cs="Times New Roman"/>
          <w:sz w:val="24"/>
          <w:szCs w:val="20"/>
        </w:rPr>
        <w:t>activities in completing the project</w:t>
      </w:r>
      <w:r w:rsidR="00690395">
        <w:rPr>
          <w:rFonts w:ascii="Times New Roman" w:eastAsia="Times New Roman" w:hAnsi="Times New Roman" w:cs="Times New Roman"/>
          <w:sz w:val="24"/>
          <w:szCs w:val="20"/>
        </w:rPr>
        <w:t xml:space="preserve"> violated the E&amp;S plan</w:t>
      </w:r>
      <w:r w:rsidR="00A03845">
        <w:rPr>
          <w:rFonts w:ascii="Times New Roman" w:eastAsia="Times New Roman" w:hAnsi="Times New Roman" w:cs="Times New Roman"/>
          <w:sz w:val="24"/>
          <w:szCs w:val="20"/>
        </w:rPr>
        <w:t xml:space="preserve"> will be stricken as </w:t>
      </w:r>
      <w:r w:rsidR="00986EB0">
        <w:rPr>
          <w:rFonts w:ascii="Times New Roman" w:eastAsia="Times New Roman" w:hAnsi="Times New Roman" w:cs="Times New Roman"/>
          <w:sz w:val="24"/>
          <w:szCs w:val="20"/>
        </w:rPr>
        <w:t xml:space="preserve">beyond the Commission’s jurisdiction.  In addition, any testimony and exhibits </w:t>
      </w:r>
      <w:r w:rsidR="002D596B">
        <w:rPr>
          <w:rFonts w:ascii="Times New Roman" w:eastAsia="Times New Roman" w:hAnsi="Times New Roman" w:cs="Times New Roman"/>
          <w:sz w:val="24"/>
          <w:szCs w:val="20"/>
        </w:rPr>
        <w:t xml:space="preserve">involving the general environmental impacts of PPL’s </w:t>
      </w:r>
      <w:r w:rsidR="0074471F">
        <w:rPr>
          <w:rFonts w:ascii="Times New Roman" w:eastAsia="Times New Roman" w:hAnsi="Times New Roman" w:cs="Times New Roman"/>
          <w:sz w:val="24"/>
          <w:szCs w:val="20"/>
        </w:rPr>
        <w:t xml:space="preserve">construction </w:t>
      </w:r>
      <w:r w:rsidR="002D596B">
        <w:rPr>
          <w:rFonts w:ascii="Times New Roman" w:eastAsia="Times New Roman" w:hAnsi="Times New Roman" w:cs="Times New Roman"/>
          <w:sz w:val="24"/>
          <w:szCs w:val="20"/>
        </w:rPr>
        <w:t>activities</w:t>
      </w:r>
      <w:r w:rsidR="002454A1">
        <w:rPr>
          <w:rFonts w:ascii="Times New Roman" w:eastAsia="Times New Roman" w:hAnsi="Times New Roman" w:cs="Times New Roman"/>
          <w:sz w:val="24"/>
          <w:szCs w:val="20"/>
        </w:rPr>
        <w:t>, the reasonableness of its environmental protection controls</w:t>
      </w:r>
      <w:r w:rsidR="00E406B1">
        <w:rPr>
          <w:rFonts w:ascii="Times New Roman" w:eastAsia="Times New Roman" w:hAnsi="Times New Roman" w:cs="Times New Roman"/>
          <w:sz w:val="24"/>
          <w:szCs w:val="20"/>
        </w:rPr>
        <w:t>, or unpermitted or increased stormwater runoff</w:t>
      </w:r>
      <w:r w:rsidR="002D596B">
        <w:rPr>
          <w:rFonts w:ascii="Times New Roman" w:eastAsia="Times New Roman" w:hAnsi="Times New Roman" w:cs="Times New Roman"/>
          <w:sz w:val="24"/>
          <w:szCs w:val="20"/>
        </w:rPr>
        <w:t xml:space="preserve"> </w:t>
      </w:r>
      <w:r w:rsidR="00DC03D8">
        <w:rPr>
          <w:rFonts w:ascii="Times New Roman" w:eastAsia="Times New Roman" w:hAnsi="Times New Roman" w:cs="Times New Roman"/>
          <w:sz w:val="24"/>
          <w:szCs w:val="20"/>
        </w:rPr>
        <w:t xml:space="preserve">will also be stricken.  On the other hand, as discussed above, </w:t>
      </w:r>
      <w:r w:rsidR="000459D8">
        <w:rPr>
          <w:rFonts w:ascii="Times New Roman" w:eastAsia="Times New Roman" w:hAnsi="Times New Roman" w:cs="Times New Roman"/>
          <w:sz w:val="24"/>
          <w:szCs w:val="20"/>
        </w:rPr>
        <w:t xml:space="preserve">testimony and exhibits related to allegations </w:t>
      </w:r>
      <w:r w:rsidR="000459D8">
        <w:rPr>
          <w:rFonts w:ascii="Times New Roman" w:eastAsia="Times New Roman" w:hAnsi="Times New Roman" w:cs="Times New Roman"/>
          <w:sz w:val="24"/>
          <w:szCs w:val="20"/>
        </w:rPr>
        <w:lastRenderedPageBreak/>
        <w:t>about</w:t>
      </w:r>
      <w:r w:rsidR="00D918EA">
        <w:rPr>
          <w:rFonts w:ascii="Times New Roman" w:eastAsia="Times New Roman" w:hAnsi="Times New Roman" w:cs="Times New Roman"/>
          <w:sz w:val="24"/>
          <w:szCs w:val="20"/>
        </w:rPr>
        <w:t xml:space="preserve"> safety impacts</w:t>
      </w:r>
      <w:r w:rsidR="00890404">
        <w:rPr>
          <w:rFonts w:ascii="Times New Roman" w:eastAsia="Times New Roman" w:hAnsi="Times New Roman" w:cs="Times New Roman"/>
          <w:sz w:val="24"/>
          <w:szCs w:val="20"/>
        </w:rPr>
        <w:t xml:space="preserve"> and alleged destruction of vegetation</w:t>
      </w:r>
      <w:r w:rsidR="008571B0">
        <w:rPr>
          <w:rFonts w:ascii="Times New Roman" w:eastAsia="Times New Roman" w:hAnsi="Times New Roman" w:cs="Times New Roman"/>
          <w:sz w:val="24"/>
          <w:szCs w:val="20"/>
        </w:rPr>
        <w:t>, including soil erosion and sedimentation,</w:t>
      </w:r>
      <w:r w:rsidR="00890404">
        <w:rPr>
          <w:rFonts w:ascii="Times New Roman" w:eastAsia="Times New Roman" w:hAnsi="Times New Roman" w:cs="Times New Roman"/>
          <w:sz w:val="24"/>
          <w:szCs w:val="20"/>
        </w:rPr>
        <w:t xml:space="preserve"> specifically on the Hartmans’ property</w:t>
      </w:r>
      <w:r w:rsidR="008571B0">
        <w:rPr>
          <w:rFonts w:ascii="Times New Roman" w:eastAsia="Times New Roman" w:hAnsi="Times New Roman" w:cs="Times New Roman"/>
          <w:sz w:val="24"/>
          <w:szCs w:val="20"/>
        </w:rPr>
        <w:t xml:space="preserve"> will be admitted.</w:t>
      </w:r>
      <w:r w:rsidR="00690395">
        <w:rPr>
          <w:rFonts w:ascii="Times New Roman" w:eastAsia="Times New Roman" w:hAnsi="Times New Roman" w:cs="Times New Roman"/>
          <w:sz w:val="24"/>
          <w:szCs w:val="20"/>
        </w:rPr>
        <w:t xml:space="preserve">  </w:t>
      </w:r>
    </w:p>
    <w:p w14:paraId="34B6261D" w14:textId="77777777" w:rsidR="00C87AB5" w:rsidRDefault="00C87AB5" w:rsidP="009E70CF">
      <w:pPr>
        <w:spacing w:after="0" w:line="360" w:lineRule="auto"/>
        <w:rPr>
          <w:rFonts w:ascii="Times New Roman" w:eastAsia="Times New Roman" w:hAnsi="Times New Roman" w:cs="Times New Roman"/>
          <w:sz w:val="24"/>
          <w:szCs w:val="20"/>
        </w:rPr>
      </w:pPr>
    </w:p>
    <w:p w14:paraId="59DF329C" w14:textId="7E4006B2" w:rsidR="003D6ABD" w:rsidRDefault="005C0A86" w:rsidP="00C87AB5">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Therefore, I will grant PPL’s Motion and strike from the recor</w:t>
      </w:r>
      <w:r w:rsidR="00C87AB5">
        <w:rPr>
          <w:rFonts w:ascii="Times New Roman" w:eastAsia="Times New Roman" w:hAnsi="Times New Roman" w:cs="Times New Roman"/>
          <w:sz w:val="24"/>
          <w:szCs w:val="20"/>
        </w:rPr>
        <w:t xml:space="preserve">d Hartman Exhibit </w:t>
      </w:r>
      <w:r w:rsidR="00AB652E">
        <w:rPr>
          <w:rFonts w:ascii="Times New Roman" w:eastAsia="Times New Roman" w:hAnsi="Times New Roman" w:cs="Times New Roman"/>
          <w:sz w:val="24"/>
          <w:szCs w:val="20"/>
        </w:rPr>
        <w:t>A</w:t>
      </w:r>
      <w:r w:rsidR="00C87AB5">
        <w:rPr>
          <w:rFonts w:ascii="Times New Roman" w:eastAsia="Times New Roman" w:hAnsi="Times New Roman" w:cs="Times New Roman"/>
          <w:sz w:val="24"/>
          <w:szCs w:val="20"/>
        </w:rPr>
        <w:t>, ¶¶</w:t>
      </w:r>
      <w:r w:rsidR="00DA7E00">
        <w:rPr>
          <w:rFonts w:ascii="Times New Roman" w:eastAsia="Times New Roman" w:hAnsi="Times New Roman" w:cs="Times New Roman"/>
          <w:sz w:val="24"/>
          <w:szCs w:val="20"/>
        </w:rPr>
        <w:t xml:space="preserve">26, 35, 39, 49 and 77, and Hartman Exhibit Nos. </w:t>
      </w:r>
      <w:r w:rsidR="002707DF">
        <w:rPr>
          <w:rFonts w:ascii="Times New Roman" w:eastAsia="Times New Roman" w:hAnsi="Times New Roman" w:cs="Times New Roman"/>
          <w:sz w:val="24"/>
          <w:szCs w:val="20"/>
        </w:rPr>
        <w:t>4, 13, 14, 21, 22, 23, 45, 46 and 48.</w:t>
      </w:r>
      <w:r w:rsidR="003D6ABD">
        <w:rPr>
          <w:rFonts w:ascii="Times New Roman" w:eastAsia="Times New Roman" w:hAnsi="Times New Roman" w:cs="Times New Roman"/>
          <w:sz w:val="24"/>
          <w:szCs w:val="20"/>
        </w:rPr>
        <w:t xml:space="preserve">  I will deny PPL’s Motion with respect to Hartman Exhibit </w:t>
      </w:r>
      <w:r w:rsidR="00352588">
        <w:rPr>
          <w:rFonts w:ascii="Times New Roman" w:eastAsia="Times New Roman" w:hAnsi="Times New Roman" w:cs="Times New Roman"/>
          <w:sz w:val="24"/>
          <w:szCs w:val="20"/>
        </w:rPr>
        <w:t>A</w:t>
      </w:r>
      <w:r w:rsidR="003D6ABD">
        <w:rPr>
          <w:rFonts w:ascii="Times New Roman" w:eastAsia="Times New Roman" w:hAnsi="Times New Roman" w:cs="Times New Roman"/>
          <w:sz w:val="24"/>
          <w:szCs w:val="20"/>
        </w:rPr>
        <w:t xml:space="preserve">, </w:t>
      </w:r>
      <w:r w:rsidR="003B03EE">
        <w:rPr>
          <w:rFonts w:ascii="Times New Roman" w:eastAsia="Times New Roman" w:hAnsi="Times New Roman" w:cs="Times New Roman"/>
          <w:sz w:val="24"/>
          <w:szCs w:val="20"/>
        </w:rPr>
        <w:t>¶¶ 9, 17, 22,</w:t>
      </w:r>
      <w:r w:rsidR="00C23D6F">
        <w:rPr>
          <w:rFonts w:ascii="Times New Roman" w:eastAsia="Times New Roman" w:hAnsi="Times New Roman" w:cs="Times New Roman"/>
          <w:sz w:val="24"/>
          <w:szCs w:val="20"/>
        </w:rPr>
        <w:t xml:space="preserve"> 27-3</w:t>
      </w:r>
      <w:r w:rsidR="00E15449">
        <w:rPr>
          <w:rFonts w:ascii="Times New Roman" w:eastAsia="Times New Roman" w:hAnsi="Times New Roman" w:cs="Times New Roman"/>
          <w:sz w:val="24"/>
          <w:szCs w:val="20"/>
        </w:rPr>
        <w:t>0</w:t>
      </w:r>
      <w:r w:rsidR="00C23D6F">
        <w:rPr>
          <w:rFonts w:ascii="Times New Roman" w:eastAsia="Times New Roman" w:hAnsi="Times New Roman" w:cs="Times New Roman"/>
          <w:sz w:val="24"/>
          <w:szCs w:val="20"/>
        </w:rPr>
        <w:t>,</w:t>
      </w:r>
      <w:r w:rsidR="003B03EE">
        <w:rPr>
          <w:rFonts w:ascii="Times New Roman" w:eastAsia="Times New Roman" w:hAnsi="Times New Roman" w:cs="Times New Roman"/>
          <w:sz w:val="24"/>
          <w:szCs w:val="20"/>
        </w:rPr>
        <w:t xml:space="preserve"> </w:t>
      </w:r>
      <w:r w:rsidR="00444023">
        <w:rPr>
          <w:rFonts w:ascii="Times New Roman" w:eastAsia="Times New Roman" w:hAnsi="Times New Roman" w:cs="Times New Roman"/>
          <w:sz w:val="24"/>
          <w:szCs w:val="20"/>
        </w:rPr>
        <w:t xml:space="preserve">32-34, </w:t>
      </w:r>
      <w:r w:rsidR="003B03EE">
        <w:rPr>
          <w:rFonts w:ascii="Times New Roman" w:eastAsia="Times New Roman" w:hAnsi="Times New Roman" w:cs="Times New Roman"/>
          <w:sz w:val="24"/>
          <w:szCs w:val="20"/>
        </w:rPr>
        <w:t>40, 67, 68, 69, 95 and 136</w:t>
      </w:r>
      <w:r w:rsidR="005210BE">
        <w:rPr>
          <w:rFonts w:ascii="Times New Roman" w:eastAsia="Times New Roman" w:hAnsi="Times New Roman" w:cs="Times New Roman"/>
          <w:sz w:val="24"/>
          <w:szCs w:val="20"/>
        </w:rPr>
        <w:t>, and Hartman Exhibit Nos. 19, 49 and 50.</w:t>
      </w:r>
      <w:r w:rsidR="00D0241F">
        <w:rPr>
          <w:rStyle w:val="FootnoteReference"/>
          <w:rFonts w:ascii="Times New Roman" w:eastAsia="Times New Roman" w:hAnsi="Times New Roman" w:cs="Times New Roman"/>
          <w:sz w:val="24"/>
          <w:szCs w:val="20"/>
        </w:rPr>
        <w:footnoteReference w:id="4"/>
      </w:r>
    </w:p>
    <w:p w14:paraId="7DB1CB66" w14:textId="77777777" w:rsidR="003D6ABD" w:rsidRDefault="003D6ABD" w:rsidP="00C87AB5">
      <w:pPr>
        <w:spacing w:after="0" w:line="360" w:lineRule="auto"/>
        <w:ind w:firstLine="1440"/>
        <w:rPr>
          <w:rFonts w:ascii="Times New Roman" w:eastAsia="Times New Roman" w:hAnsi="Times New Roman" w:cs="Times New Roman"/>
          <w:sz w:val="24"/>
          <w:szCs w:val="20"/>
        </w:rPr>
      </w:pPr>
    </w:p>
    <w:p w14:paraId="6804B271" w14:textId="4ECA4844" w:rsidR="00F55068" w:rsidRPr="00F55068" w:rsidRDefault="002A5A6F" w:rsidP="002A5A6F">
      <w:pPr>
        <w:pStyle w:val="ListParagraph"/>
        <w:numPr>
          <w:ilvl w:val="0"/>
          <w:numId w:val="3"/>
        </w:numPr>
        <w:spacing w:after="0" w:line="360" w:lineRule="auto"/>
        <w:ind w:hanging="720"/>
        <w:rPr>
          <w:rFonts w:ascii="Times New Roman" w:eastAsia="Times New Roman" w:hAnsi="Times New Roman" w:cs="Times New Roman"/>
          <w:sz w:val="24"/>
          <w:szCs w:val="20"/>
        </w:rPr>
      </w:pPr>
      <w:r>
        <w:rPr>
          <w:rFonts w:ascii="Times New Roman" w:eastAsia="Times New Roman" w:hAnsi="Times New Roman" w:cs="Times New Roman"/>
          <w:b/>
          <w:bCs/>
          <w:sz w:val="24"/>
          <w:szCs w:val="20"/>
        </w:rPr>
        <w:t xml:space="preserve">Hearsay </w:t>
      </w:r>
      <w:r w:rsidR="00F55068">
        <w:rPr>
          <w:rFonts w:ascii="Times New Roman" w:eastAsia="Times New Roman" w:hAnsi="Times New Roman" w:cs="Times New Roman"/>
          <w:b/>
          <w:bCs/>
          <w:sz w:val="24"/>
          <w:szCs w:val="20"/>
        </w:rPr>
        <w:t>s</w:t>
      </w:r>
      <w:r>
        <w:rPr>
          <w:rFonts w:ascii="Times New Roman" w:eastAsia="Times New Roman" w:hAnsi="Times New Roman" w:cs="Times New Roman"/>
          <w:b/>
          <w:bCs/>
          <w:sz w:val="24"/>
          <w:szCs w:val="20"/>
        </w:rPr>
        <w:t xml:space="preserve">tatements and </w:t>
      </w:r>
      <w:r w:rsidR="00F55068">
        <w:rPr>
          <w:rFonts w:ascii="Times New Roman" w:eastAsia="Times New Roman" w:hAnsi="Times New Roman" w:cs="Times New Roman"/>
          <w:b/>
          <w:bCs/>
          <w:sz w:val="24"/>
          <w:szCs w:val="20"/>
        </w:rPr>
        <w:t>h</w:t>
      </w:r>
      <w:r>
        <w:rPr>
          <w:rFonts w:ascii="Times New Roman" w:eastAsia="Times New Roman" w:hAnsi="Times New Roman" w:cs="Times New Roman"/>
          <w:b/>
          <w:bCs/>
          <w:sz w:val="24"/>
          <w:szCs w:val="20"/>
        </w:rPr>
        <w:t xml:space="preserve">earsay </w:t>
      </w:r>
      <w:r w:rsidR="00F55068">
        <w:rPr>
          <w:rFonts w:ascii="Times New Roman" w:eastAsia="Times New Roman" w:hAnsi="Times New Roman" w:cs="Times New Roman"/>
          <w:b/>
          <w:bCs/>
          <w:sz w:val="24"/>
          <w:szCs w:val="20"/>
        </w:rPr>
        <w:t>w</w:t>
      </w:r>
      <w:r>
        <w:rPr>
          <w:rFonts w:ascii="Times New Roman" w:eastAsia="Times New Roman" w:hAnsi="Times New Roman" w:cs="Times New Roman"/>
          <w:b/>
          <w:bCs/>
          <w:sz w:val="24"/>
          <w:szCs w:val="20"/>
        </w:rPr>
        <w:t xml:space="preserve">ithin </w:t>
      </w:r>
      <w:r w:rsidR="00F55068">
        <w:rPr>
          <w:rFonts w:ascii="Times New Roman" w:eastAsia="Times New Roman" w:hAnsi="Times New Roman" w:cs="Times New Roman"/>
          <w:b/>
          <w:bCs/>
          <w:sz w:val="24"/>
          <w:szCs w:val="20"/>
        </w:rPr>
        <w:t>h</w:t>
      </w:r>
      <w:r>
        <w:rPr>
          <w:rFonts w:ascii="Times New Roman" w:eastAsia="Times New Roman" w:hAnsi="Times New Roman" w:cs="Times New Roman"/>
          <w:b/>
          <w:bCs/>
          <w:sz w:val="24"/>
          <w:szCs w:val="20"/>
        </w:rPr>
        <w:t>earsay</w:t>
      </w:r>
      <w:r w:rsidR="00F55068">
        <w:rPr>
          <w:rFonts w:ascii="Times New Roman" w:eastAsia="Times New Roman" w:hAnsi="Times New Roman" w:cs="Times New Roman"/>
          <w:b/>
          <w:bCs/>
          <w:sz w:val="24"/>
          <w:szCs w:val="20"/>
        </w:rPr>
        <w:t xml:space="preserve"> statements</w:t>
      </w:r>
      <w:r w:rsidR="00304534">
        <w:rPr>
          <w:rFonts w:ascii="Times New Roman" w:eastAsia="Times New Roman" w:hAnsi="Times New Roman" w:cs="Times New Roman"/>
          <w:b/>
          <w:bCs/>
          <w:sz w:val="24"/>
          <w:szCs w:val="20"/>
        </w:rPr>
        <w:t>.</w:t>
      </w:r>
    </w:p>
    <w:p w14:paraId="1098B3FC" w14:textId="77777777" w:rsidR="00F55068" w:rsidRDefault="00F55068" w:rsidP="00F55068">
      <w:pPr>
        <w:spacing w:after="0" w:line="360" w:lineRule="auto"/>
        <w:rPr>
          <w:rFonts w:ascii="Times New Roman" w:eastAsia="Times New Roman" w:hAnsi="Times New Roman" w:cs="Times New Roman"/>
          <w:sz w:val="24"/>
          <w:szCs w:val="20"/>
        </w:rPr>
      </w:pPr>
    </w:p>
    <w:p w14:paraId="1BB5B566" w14:textId="734C0134" w:rsidR="00BC641C" w:rsidRDefault="008571B0" w:rsidP="0036149A">
      <w:pPr>
        <w:spacing w:after="0" w:line="360" w:lineRule="auto"/>
        <w:ind w:firstLine="1440"/>
        <w:rPr>
          <w:rFonts w:ascii="Times New Roman" w:eastAsia="Times New Roman" w:hAnsi="Times New Roman" w:cs="Times New Roman"/>
          <w:sz w:val="24"/>
          <w:szCs w:val="20"/>
        </w:rPr>
      </w:pPr>
      <w:r w:rsidRPr="00F55068">
        <w:rPr>
          <w:rFonts w:ascii="Times New Roman" w:eastAsia="Times New Roman" w:hAnsi="Times New Roman" w:cs="Times New Roman"/>
          <w:sz w:val="24"/>
          <w:szCs w:val="20"/>
        </w:rPr>
        <w:t xml:space="preserve">  </w:t>
      </w:r>
      <w:r w:rsidR="00111AD4">
        <w:rPr>
          <w:rFonts w:ascii="Times New Roman" w:eastAsia="Times New Roman" w:hAnsi="Times New Roman" w:cs="Times New Roman"/>
          <w:sz w:val="24"/>
          <w:szCs w:val="20"/>
        </w:rPr>
        <w:t xml:space="preserve">In this section of its Motion, PPL </w:t>
      </w:r>
      <w:r w:rsidR="003D163F">
        <w:rPr>
          <w:rFonts w:ascii="Times New Roman" w:eastAsia="Times New Roman" w:hAnsi="Times New Roman" w:cs="Times New Roman"/>
          <w:sz w:val="24"/>
          <w:szCs w:val="20"/>
        </w:rPr>
        <w:t xml:space="preserve">cites to numerous statements and exhibits </w:t>
      </w:r>
      <w:r w:rsidR="00B53171">
        <w:rPr>
          <w:rFonts w:ascii="Times New Roman" w:eastAsia="Times New Roman" w:hAnsi="Times New Roman" w:cs="Times New Roman"/>
          <w:sz w:val="24"/>
          <w:szCs w:val="20"/>
        </w:rPr>
        <w:t xml:space="preserve">attributed to </w:t>
      </w:r>
      <w:r w:rsidR="00107F46">
        <w:rPr>
          <w:rFonts w:ascii="Times New Roman" w:eastAsia="Times New Roman" w:hAnsi="Times New Roman" w:cs="Times New Roman"/>
          <w:sz w:val="24"/>
          <w:szCs w:val="20"/>
        </w:rPr>
        <w:t xml:space="preserve">or prepared </w:t>
      </w:r>
      <w:r w:rsidR="0036149A">
        <w:rPr>
          <w:rFonts w:ascii="Times New Roman" w:eastAsia="Times New Roman" w:hAnsi="Times New Roman" w:cs="Times New Roman"/>
          <w:sz w:val="24"/>
          <w:szCs w:val="20"/>
        </w:rPr>
        <w:t>by people</w:t>
      </w:r>
      <w:r w:rsidR="00107F46">
        <w:rPr>
          <w:rFonts w:ascii="Times New Roman" w:eastAsia="Times New Roman" w:hAnsi="Times New Roman" w:cs="Times New Roman"/>
          <w:sz w:val="24"/>
          <w:szCs w:val="20"/>
        </w:rPr>
        <w:t xml:space="preserve"> who did not appear at or testify during the hearings</w:t>
      </w:r>
      <w:r w:rsidR="00790213">
        <w:rPr>
          <w:rFonts w:ascii="Times New Roman" w:eastAsia="Times New Roman" w:hAnsi="Times New Roman" w:cs="Times New Roman"/>
          <w:sz w:val="24"/>
          <w:szCs w:val="20"/>
        </w:rPr>
        <w:t xml:space="preserve"> </w:t>
      </w:r>
      <w:r w:rsidR="00CD5154">
        <w:rPr>
          <w:rFonts w:ascii="Times New Roman" w:eastAsia="Times New Roman" w:hAnsi="Times New Roman" w:cs="Times New Roman"/>
          <w:sz w:val="24"/>
          <w:szCs w:val="20"/>
        </w:rPr>
        <w:t>i</w:t>
      </w:r>
      <w:r w:rsidR="00790213">
        <w:rPr>
          <w:rFonts w:ascii="Times New Roman" w:eastAsia="Times New Roman" w:hAnsi="Times New Roman" w:cs="Times New Roman"/>
          <w:sz w:val="24"/>
          <w:szCs w:val="20"/>
        </w:rPr>
        <w:t>n this proceeding.  PPL argues that all of th</w:t>
      </w:r>
      <w:r w:rsidR="00F84C14">
        <w:rPr>
          <w:rFonts w:ascii="Times New Roman" w:eastAsia="Times New Roman" w:hAnsi="Times New Roman" w:cs="Times New Roman"/>
          <w:sz w:val="24"/>
          <w:szCs w:val="20"/>
        </w:rPr>
        <w:t>is proposed evidence constitutes out of court</w:t>
      </w:r>
      <w:r w:rsidR="00790213">
        <w:rPr>
          <w:rFonts w:ascii="Times New Roman" w:eastAsia="Times New Roman" w:hAnsi="Times New Roman" w:cs="Times New Roman"/>
          <w:sz w:val="24"/>
          <w:szCs w:val="20"/>
        </w:rPr>
        <w:t xml:space="preserve"> statements and exhibits </w:t>
      </w:r>
      <w:r w:rsidR="00F84C14">
        <w:rPr>
          <w:rFonts w:ascii="Times New Roman" w:eastAsia="Times New Roman" w:hAnsi="Times New Roman" w:cs="Times New Roman"/>
          <w:sz w:val="24"/>
          <w:szCs w:val="20"/>
        </w:rPr>
        <w:t>that are being offered to prove the truth of the matters asserted therein</w:t>
      </w:r>
      <w:r w:rsidR="00BB2A04">
        <w:rPr>
          <w:rFonts w:ascii="Times New Roman" w:eastAsia="Times New Roman" w:hAnsi="Times New Roman" w:cs="Times New Roman"/>
          <w:sz w:val="24"/>
          <w:szCs w:val="20"/>
        </w:rPr>
        <w:t xml:space="preserve">.  PPL notes that none of the declarants </w:t>
      </w:r>
      <w:r w:rsidR="0014023E">
        <w:rPr>
          <w:rFonts w:ascii="Times New Roman" w:eastAsia="Times New Roman" w:hAnsi="Times New Roman" w:cs="Times New Roman"/>
          <w:sz w:val="24"/>
          <w:szCs w:val="20"/>
        </w:rPr>
        <w:t xml:space="preserve">of the various challenged statements were presented as witnesses and, consequently, were not available to be cross examined </w:t>
      </w:r>
      <w:r w:rsidR="006A3D5A">
        <w:rPr>
          <w:rFonts w:ascii="Times New Roman" w:eastAsia="Times New Roman" w:hAnsi="Times New Roman" w:cs="Times New Roman"/>
          <w:sz w:val="24"/>
          <w:szCs w:val="20"/>
        </w:rPr>
        <w:t xml:space="preserve">during the hearings.  PPL argues that </w:t>
      </w:r>
      <w:r w:rsidR="003E16AA">
        <w:rPr>
          <w:rFonts w:ascii="Times New Roman" w:eastAsia="Times New Roman" w:hAnsi="Times New Roman" w:cs="Times New Roman"/>
          <w:sz w:val="24"/>
          <w:szCs w:val="20"/>
        </w:rPr>
        <w:t>the challenged statements and exhibits are inadmissible hearsay and should be stricken from the record.</w:t>
      </w:r>
    </w:p>
    <w:p w14:paraId="0FA69495" w14:textId="77777777" w:rsidR="00BC641C" w:rsidRDefault="00BC641C" w:rsidP="0036149A">
      <w:pPr>
        <w:spacing w:after="0" w:line="360" w:lineRule="auto"/>
        <w:ind w:firstLine="1440"/>
        <w:rPr>
          <w:rFonts w:ascii="Times New Roman" w:eastAsia="Times New Roman" w:hAnsi="Times New Roman" w:cs="Times New Roman"/>
          <w:sz w:val="24"/>
          <w:szCs w:val="20"/>
        </w:rPr>
      </w:pPr>
    </w:p>
    <w:p w14:paraId="3BBB544D" w14:textId="0DB7F379" w:rsidR="00A62991" w:rsidRDefault="00C0403E" w:rsidP="0036149A">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In </w:t>
      </w:r>
      <w:r w:rsidR="00D91CE6">
        <w:rPr>
          <w:rFonts w:ascii="Times New Roman" w:eastAsia="Times New Roman" w:hAnsi="Times New Roman" w:cs="Times New Roman"/>
          <w:sz w:val="24"/>
          <w:szCs w:val="20"/>
        </w:rPr>
        <w:t>opposing</w:t>
      </w:r>
      <w:r>
        <w:rPr>
          <w:rFonts w:ascii="Times New Roman" w:eastAsia="Times New Roman" w:hAnsi="Times New Roman" w:cs="Times New Roman"/>
          <w:sz w:val="24"/>
          <w:szCs w:val="20"/>
        </w:rPr>
        <w:t xml:space="preserve"> </w:t>
      </w:r>
      <w:r w:rsidR="001D73CE">
        <w:rPr>
          <w:rFonts w:ascii="Times New Roman" w:eastAsia="Times New Roman" w:hAnsi="Times New Roman" w:cs="Times New Roman"/>
          <w:sz w:val="24"/>
          <w:szCs w:val="20"/>
        </w:rPr>
        <w:t>PPL’s hearsay arguments, the Hartmans</w:t>
      </w:r>
      <w:r w:rsidR="00D91CE6">
        <w:rPr>
          <w:rFonts w:ascii="Times New Roman" w:eastAsia="Times New Roman" w:hAnsi="Times New Roman" w:cs="Times New Roman"/>
          <w:sz w:val="24"/>
          <w:szCs w:val="20"/>
        </w:rPr>
        <w:t xml:space="preserve"> argue that the </w:t>
      </w:r>
      <w:r w:rsidR="00BA046A">
        <w:rPr>
          <w:rFonts w:ascii="Times New Roman" w:eastAsia="Times New Roman" w:hAnsi="Times New Roman" w:cs="Times New Roman"/>
          <w:sz w:val="24"/>
          <w:szCs w:val="20"/>
        </w:rPr>
        <w:t>individuals whose statements are being challenged</w:t>
      </w:r>
      <w:r w:rsidR="00FF4A2D">
        <w:rPr>
          <w:rFonts w:ascii="Times New Roman" w:eastAsia="Times New Roman" w:hAnsi="Times New Roman" w:cs="Times New Roman"/>
          <w:sz w:val="24"/>
          <w:szCs w:val="20"/>
        </w:rPr>
        <w:t xml:space="preserve"> </w:t>
      </w:r>
      <w:r w:rsidR="00035635">
        <w:rPr>
          <w:rFonts w:ascii="Times New Roman" w:eastAsia="Times New Roman" w:hAnsi="Times New Roman" w:cs="Times New Roman"/>
          <w:sz w:val="24"/>
          <w:szCs w:val="20"/>
        </w:rPr>
        <w:t>have all been identified as being authorized to speak on behalf of PPL</w:t>
      </w:r>
      <w:r w:rsidR="00751D46">
        <w:rPr>
          <w:rFonts w:ascii="Times New Roman" w:eastAsia="Times New Roman" w:hAnsi="Times New Roman" w:cs="Times New Roman"/>
          <w:sz w:val="24"/>
          <w:szCs w:val="20"/>
        </w:rPr>
        <w:t xml:space="preserve">.  They further argue that </w:t>
      </w:r>
      <w:r w:rsidR="0054615A">
        <w:rPr>
          <w:rFonts w:ascii="Times New Roman" w:eastAsia="Times New Roman" w:hAnsi="Times New Roman" w:cs="Times New Roman"/>
          <w:sz w:val="24"/>
          <w:szCs w:val="20"/>
        </w:rPr>
        <w:t xml:space="preserve">some of </w:t>
      </w:r>
      <w:r w:rsidR="00751D46">
        <w:rPr>
          <w:rFonts w:ascii="Times New Roman" w:eastAsia="Times New Roman" w:hAnsi="Times New Roman" w:cs="Times New Roman"/>
          <w:sz w:val="24"/>
          <w:szCs w:val="20"/>
        </w:rPr>
        <w:t>the challenged statement</w:t>
      </w:r>
      <w:r w:rsidR="005B5C86">
        <w:rPr>
          <w:rFonts w:ascii="Times New Roman" w:eastAsia="Times New Roman" w:hAnsi="Times New Roman" w:cs="Times New Roman"/>
          <w:sz w:val="24"/>
          <w:szCs w:val="20"/>
        </w:rPr>
        <w:t>s</w:t>
      </w:r>
      <w:r w:rsidR="00361B50">
        <w:rPr>
          <w:rFonts w:ascii="Times New Roman" w:eastAsia="Times New Roman" w:hAnsi="Times New Roman" w:cs="Times New Roman"/>
          <w:sz w:val="24"/>
          <w:szCs w:val="20"/>
        </w:rPr>
        <w:t xml:space="preserve"> are admissible as exceptions to the hearsay rule under either Rule 804(b)(3)</w:t>
      </w:r>
      <w:r w:rsidR="00227D04">
        <w:rPr>
          <w:rFonts w:ascii="Times New Roman" w:eastAsia="Times New Roman" w:hAnsi="Times New Roman" w:cs="Times New Roman"/>
          <w:sz w:val="24"/>
          <w:szCs w:val="20"/>
        </w:rPr>
        <w:t xml:space="preserve"> (Statement Against Interest) or Rule 804(b)(6) (</w:t>
      </w:r>
      <w:r w:rsidR="00A141F3">
        <w:rPr>
          <w:rFonts w:ascii="Times New Roman" w:eastAsia="Times New Roman" w:hAnsi="Times New Roman" w:cs="Times New Roman"/>
          <w:sz w:val="24"/>
          <w:szCs w:val="20"/>
        </w:rPr>
        <w:t xml:space="preserve">Statement </w:t>
      </w:r>
      <w:r w:rsidR="00E60B9D">
        <w:rPr>
          <w:rFonts w:ascii="Times New Roman" w:eastAsia="Times New Roman" w:hAnsi="Times New Roman" w:cs="Times New Roman"/>
          <w:sz w:val="24"/>
          <w:szCs w:val="20"/>
        </w:rPr>
        <w:t xml:space="preserve">Offered </w:t>
      </w:r>
      <w:r w:rsidR="00A141F3">
        <w:rPr>
          <w:rFonts w:ascii="Times New Roman" w:eastAsia="Times New Roman" w:hAnsi="Times New Roman" w:cs="Times New Roman"/>
          <w:sz w:val="24"/>
          <w:szCs w:val="20"/>
        </w:rPr>
        <w:t>Against</w:t>
      </w:r>
      <w:r w:rsidR="00E60B9D">
        <w:rPr>
          <w:rFonts w:ascii="Times New Roman" w:eastAsia="Times New Roman" w:hAnsi="Times New Roman" w:cs="Times New Roman"/>
          <w:sz w:val="24"/>
          <w:szCs w:val="20"/>
        </w:rPr>
        <w:t xml:space="preserve"> a Party That W</w:t>
      </w:r>
      <w:r w:rsidR="00DA14C2">
        <w:rPr>
          <w:rFonts w:ascii="Times New Roman" w:eastAsia="Times New Roman" w:hAnsi="Times New Roman" w:cs="Times New Roman"/>
          <w:sz w:val="24"/>
          <w:szCs w:val="20"/>
        </w:rPr>
        <w:t xml:space="preserve">rongfully Caused the Declarant’s Unavailability).  </w:t>
      </w:r>
      <w:r w:rsidR="00CB5AEA">
        <w:rPr>
          <w:rFonts w:ascii="Times New Roman" w:eastAsia="Times New Roman" w:hAnsi="Times New Roman" w:cs="Times New Roman"/>
          <w:sz w:val="24"/>
          <w:szCs w:val="20"/>
        </w:rPr>
        <w:t xml:space="preserve">The Hartmans argue that PPL had ample opportunity to debrief the </w:t>
      </w:r>
      <w:r w:rsidR="00610E79">
        <w:rPr>
          <w:rFonts w:ascii="Times New Roman" w:eastAsia="Times New Roman" w:hAnsi="Times New Roman" w:cs="Times New Roman"/>
          <w:sz w:val="24"/>
          <w:szCs w:val="20"/>
        </w:rPr>
        <w:t xml:space="preserve">challenged declarants prior to the hearings or refute their </w:t>
      </w:r>
      <w:r w:rsidR="00BD0FEC">
        <w:rPr>
          <w:rFonts w:ascii="Times New Roman" w:eastAsia="Times New Roman" w:hAnsi="Times New Roman" w:cs="Times New Roman"/>
          <w:sz w:val="24"/>
          <w:szCs w:val="20"/>
        </w:rPr>
        <w:t>statements but</w:t>
      </w:r>
      <w:r w:rsidR="003077DE">
        <w:rPr>
          <w:rFonts w:ascii="Times New Roman" w:eastAsia="Times New Roman" w:hAnsi="Times New Roman" w:cs="Times New Roman"/>
          <w:sz w:val="24"/>
          <w:szCs w:val="20"/>
        </w:rPr>
        <w:t xml:space="preserve"> did not do so.</w:t>
      </w:r>
      <w:r w:rsidR="0050102E">
        <w:rPr>
          <w:rFonts w:ascii="Times New Roman" w:eastAsia="Times New Roman" w:hAnsi="Times New Roman" w:cs="Times New Roman"/>
          <w:sz w:val="24"/>
          <w:szCs w:val="20"/>
        </w:rPr>
        <w:t xml:space="preserve">  Additionally, the Hartmans argue that </w:t>
      </w:r>
      <w:r w:rsidR="00BF6BD7">
        <w:rPr>
          <w:rFonts w:ascii="Times New Roman" w:eastAsia="Times New Roman" w:hAnsi="Times New Roman" w:cs="Times New Roman"/>
          <w:sz w:val="24"/>
          <w:szCs w:val="20"/>
        </w:rPr>
        <w:t xml:space="preserve">many of the challenged statements have been corroborated by </w:t>
      </w:r>
      <w:r w:rsidR="008217EA">
        <w:rPr>
          <w:rFonts w:ascii="Times New Roman" w:eastAsia="Times New Roman" w:hAnsi="Times New Roman" w:cs="Times New Roman"/>
          <w:sz w:val="24"/>
          <w:szCs w:val="20"/>
        </w:rPr>
        <w:t>Hartman photographs and testimony.</w:t>
      </w:r>
      <w:r w:rsidR="00734C1C">
        <w:rPr>
          <w:rFonts w:ascii="Times New Roman" w:eastAsia="Times New Roman" w:hAnsi="Times New Roman" w:cs="Times New Roman"/>
          <w:sz w:val="24"/>
          <w:szCs w:val="20"/>
        </w:rPr>
        <w:t xml:space="preserve">  </w:t>
      </w:r>
      <w:r w:rsidR="000A1480">
        <w:rPr>
          <w:rFonts w:ascii="Times New Roman" w:eastAsia="Times New Roman" w:hAnsi="Times New Roman" w:cs="Times New Roman"/>
          <w:sz w:val="24"/>
          <w:szCs w:val="20"/>
        </w:rPr>
        <w:t xml:space="preserve">The Hartmans further argue that some of the </w:t>
      </w:r>
      <w:r w:rsidR="008F7980">
        <w:rPr>
          <w:rFonts w:ascii="Times New Roman" w:eastAsia="Times New Roman" w:hAnsi="Times New Roman" w:cs="Times New Roman"/>
          <w:sz w:val="24"/>
          <w:szCs w:val="20"/>
        </w:rPr>
        <w:t xml:space="preserve">challenged exhibits </w:t>
      </w:r>
      <w:r w:rsidR="00A62991">
        <w:rPr>
          <w:rFonts w:ascii="Times New Roman" w:eastAsia="Times New Roman" w:hAnsi="Times New Roman" w:cs="Times New Roman"/>
          <w:sz w:val="24"/>
          <w:szCs w:val="20"/>
        </w:rPr>
        <w:t xml:space="preserve">constitute </w:t>
      </w:r>
      <w:r w:rsidR="009649BB">
        <w:rPr>
          <w:rFonts w:ascii="Times New Roman" w:eastAsia="Times New Roman" w:hAnsi="Times New Roman" w:cs="Times New Roman"/>
          <w:sz w:val="24"/>
          <w:szCs w:val="20"/>
        </w:rPr>
        <w:t xml:space="preserve">PPL </w:t>
      </w:r>
      <w:r w:rsidR="00A62991">
        <w:rPr>
          <w:rFonts w:ascii="Times New Roman" w:eastAsia="Times New Roman" w:hAnsi="Times New Roman" w:cs="Times New Roman"/>
          <w:sz w:val="24"/>
          <w:szCs w:val="20"/>
        </w:rPr>
        <w:t xml:space="preserve">business records and are admissible on that basis. </w:t>
      </w:r>
      <w:r w:rsidR="000A1480">
        <w:rPr>
          <w:rFonts w:ascii="Times New Roman" w:eastAsia="Times New Roman" w:hAnsi="Times New Roman" w:cs="Times New Roman"/>
          <w:sz w:val="24"/>
          <w:szCs w:val="20"/>
        </w:rPr>
        <w:t xml:space="preserve"> </w:t>
      </w:r>
      <w:r w:rsidR="00734C1C">
        <w:rPr>
          <w:rFonts w:ascii="Times New Roman" w:eastAsia="Times New Roman" w:hAnsi="Times New Roman" w:cs="Times New Roman"/>
          <w:sz w:val="24"/>
          <w:szCs w:val="20"/>
        </w:rPr>
        <w:t xml:space="preserve">The Hartmans argue that, for </w:t>
      </w:r>
      <w:r w:rsidR="00734C1C">
        <w:rPr>
          <w:rFonts w:ascii="Times New Roman" w:eastAsia="Times New Roman" w:hAnsi="Times New Roman" w:cs="Times New Roman"/>
          <w:sz w:val="24"/>
          <w:szCs w:val="20"/>
        </w:rPr>
        <w:lastRenderedPageBreak/>
        <w:t xml:space="preserve">these reasons, the challenged statements and exhibits </w:t>
      </w:r>
      <w:r w:rsidR="00ED2B2B">
        <w:rPr>
          <w:rFonts w:ascii="Times New Roman" w:eastAsia="Times New Roman" w:hAnsi="Times New Roman" w:cs="Times New Roman"/>
          <w:sz w:val="24"/>
          <w:szCs w:val="20"/>
        </w:rPr>
        <w:t xml:space="preserve">are admissible and PPL’s hearsay arguments should be denied. </w:t>
      </w:r>
    </w:p>
    <w:p w14:paraId="6D57D053" w14:textId="77777777" w:rsidR="00A62991" w:rsidRDefault="00A62991" w:rsidP="0036149A">
      <w:pPr>
        <w:spacing w:after="0" w:line="360" w:lineRule="auto"/>
        <w:ind w:firstLine="1440"/>
        <w:rPr>
          <w:rFonts w:ascii="Times New Roman" w:eastAsia="Times New Roman" w:hAnsi="Times New Roman" w:cs="Times New Roman"/>
          <w:sz w:val="24"/>
          <w:szCs w:val="20"/>
        </w:rPr>
      </w:pPr>
    </w:p>
    <w:p w14:paraId="1717C78E" w14:textId="53E21BD3" w:rsidR="0010760C" w:rsidRDefault="00E40A21" w:rsidP="0036149A">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Harmans argue that </w:t>
      </w:r>
      <w:r w:rsidR="005348F3">
        <w:rPr>
          <w:rFonts w:ascii="Times New Roman" w:eastAsia="Times New Roman" w:hAnsi="Times New Roman" w:cs="Times New Roman"/>
          <w:sz w:val="24"/>
          <w:szCs w:val="20"/>
        </w:rPr>
        <w:t xml:space="preserve">the declarants associated with the challenged statements or exhibits </w:t>
      </w:r>
      <w:r w:rsidR="00FA18C8">
        <w:rPr>
          <w:rFonts w:ascii="Times New Roman" w:eastAsia="Times New Roman" w:hAnsi="Times New Roman" w:cs="Times New Roman"/>
          <w:sz w:val="24"/>
          <w:szCs w:val="20"/>
        </w:rPr>
        <w:t xml:space="preserve">were fully authorized to speak on behalf of PPL and, consequently, </w:t>
      </w:r>
      <w:r w:rsidR="00057AD6">
        <w:rPr>
          <w:rFonts w:ascii="Times New Roman" w:eastAsia="Times New Roman" w:hAnsi="Times New Roman" w:cs="Times New Roman"/>
          <w:sz w:val="24"/>
          <w:szCs w:val="20"/>
        </w:rPr>
        <w:t xml:space="preserve">may properly bind the company to the challenged statements.  </w:t>
      </w:r>
      <w:r w:rsidR="00296A0A">
        <w:rPr>
          <w:rFonts w:ascii="Times New Roman" w:eastAsia="Times New Roman" w:hAnsi="Times New Roman" w:cs="Times New Roman"/>
          <w:sz w:val="24"/>
          <w:szCs w:val="20"/>
        </w:rPr>
        <w:t xml:space="preserve">Other than the Hartmans so stating, </w:t>
      </w:r>
      <w:r w:rsidR="00A11B44">
        <w:rPr>
          <w:rFonts w:ascii="Times New Roman" w:eastAsia="Times New Roman" w:hAnsi="Times New Roman" w:cs="Times New Roman"/>
          <w:sz w:val="24"/>
          <w:szCs w:val="20"/>
        </w:rPr>
        <w:t xml:space="preserve">however, there is no admissible evidence in the record </w:t>
      </w:r>
      <w:r w:rsidR="00020532">
        <w:rPr>
          <w:rFonts w:ascii="Times New Roman" w:eastAsia="Times New Roman" w:hAnsi="Times New Roman" w:cs="Times New Roman"/>
          <w:sz w:val="24"/>
          <w:szCs w:val="20"/>
        </w:rPr>
        <w:t>confirming</w:t>
      </w:r>
      <w:r w:rsidR="00D433E4">
        <w:rPr>
          <w:rFonts w:ascii="Times New Roman" w:eastAsia="Times New Roman" w:hAnsi="Times New Roman" w:cs="Times New Roman"/>
          <w:sz w:val="24"/>
          <w:szCs w:val="20"/>
        </w:rPr>
        <w:t xml:space="preserve"> that PPL authorized the declarants to</w:t>
      </w:r>
      <w:r w:rsidR="003831FE">
        <w:rPr>
          <w:rFonts w:ascii="Times New Roman" w:eastAsia="Times New Roman" w:hAnsi="Times New Roman" w:cs="Times New Roman"/>
          <w:sz w:val="24"/>
          <w:szCs w:val="20"/>
        </w:rPr>
        <w:t xml:space="preserve"> speak on the company’s behalf and bind the company to the challenged statements</w:t>
      </w:r>
      <w:r w:rsidR="00FB6DA3">
        <w:rPr>
          <w:rFonts w:ascii="Times New Roman" w:eastAsia="Times New Roman" w:hAnsi="Times New Roman" w:cs="Times New Roman"/>
          <w:sz w:val="24"/>
          <w:szCs w:val="20"/>
        </w:rPr>
        <w:t xml:space="preserve">.  This is particularly the case when some of the challenged statements </w:t>
      </w:r>
      <w:r w:rsidR="009E53C9">
        <w:rPr>
          <w:rFonts w:ascii="Times New Roman" w:eastAsia="Times New Roman" w:hAnsi="Times New Roman" w:cs="Times New Roman"/>
          <w:sz w:val="24"/>
          <w:szCs w:val="20"/>
        </w:rPr>
        <w:t xml:space="preserve">were made after the Hartmans filed their complaint against PPL.  </w:t>
      </w:r>
      <w:r w:rsidR="008D1AFE">
        <w:rPr>
          <w:rFonts w:ascii="Times New Roman" w:eastAsia="Times New Roman" w:hAnsi="Times New Roman" w:cs="Times New Roman"/>
          <w:sz w:val="24"/>
          <w:szCs w:val="20"/>
        </w:rPr>
        <w:t>Absent direct authorization by PPL, which we do not have in the record, t</w:t>
      </w:r>
      <w:r w:rsidR="009E53C9">
        <w:rPr>
          <w:rFonts w:ascii="Times New Roman" w:eastAsia="Times New Roman" w:hAnsi="Times New Roman" w:cs="Times New Roman"/>
          <w:sz w:val="24"/>
          <w:szCs w:val="20"/>
        </w:rPr>
        <w:t>he</w:t>
      </w:r>
      <w:r w:rsidR="00EB16E0">
        <w:rPr>
          <w:rFonts w:ascii="Times New Roman" w:eastAsia="Times New Roman" w:hAnsi="Times New Roman" w:cs="Times New Roman"/>
          <w:sz w:val="24"/>
          <w:szCs w:val="20"/>
        </w:rPr>
        <w:t>re</w:t>
      </w:r>
      <w:r w:rsidR="009E53C9">
        <w:rPr>
          <w:rFonts w:ascii="Times New Roman" w:eastAsia="Times New Roman" w:hAnsi="Times New Roman" w:cs="Times New Roman"/>
          <w:sz w:val="24"/>
          <w:szCs w:val="20"/>
        </w:rPr>
        <w:t xml:space="preserve"> declarants certainly</w:t>
      </w:r>
      <w:r w:rsidR="008D1AFE">
        <w:rPr>
          <w:rFonts w:ascii="Times New Roman" w:eastAsia="Times New Roman" w:hAnsi="Times New Roman" w:cs="Times New Roman"/>
          <w:sz w:val="24"/>
          <w:szCs w:val="20"/>
        </w:rPr>
        <w:t xml:space="preserve"> aren’t </w:t>
      </w:r>
      <w:r w:rsidR="00E614BE">
        <w:rPr>
          <w:rFonts w:ascii="Times New Roman" w:eastAsia="Times New Roman" w:hAnsi="Times New Roman" w:cs="Times New Roman"/>
          <w:sz w:val="24"/>
          <w:szCs w:val="20"/>
        </w:rPr>
        <w:t>authorized to bind the company</w:t>
      </w:r>
      <w:r w:rsidR="00AB4EEF">
        <w:rPr>
          <w:rFonts w:ascii="Times New Roman" w:eastAsia="Times New Roman" w:hAnsi="Times New Roman" w:cs="Times New Roman"/>
          <w:sz w:val="24"/>
          <w:szCs w:val="20"/>
        </w:rPr>
        <w:t>, and especially</w:t>
      </w:r>
      <w:r w:rsidR="00E614BE">
        <w:rPr>
          <w:rFonts w:ascii="Times New Roman" w:eastAsia="Times New Roman" w:hAnsi="Times New Roman" w:cs="Times New Roman"/>
          <w:sz w:val="24"/>
          <w:szCs w:val="20"/>
        </w:rPr>
        <w:t xml:space="preserve"> with respect to litigation</w:t>
      </w:r>
      <w:r w:rsidR="006125A3">
        <w:rPr>
          <w:rFonts w:ascii="Times New Roman" w:eastAsia="Times New Roman" w:hAnsi="Times New Roman" w:cs="Times New Roman"/>
          <w:sz w:val="24"/>
          <w:szCs w:val="20"/>
        </w:rPr>
        <w:t xml:space="preserve"> efforts and decisions.  </w:t>
      </w:r>
    </w:p>
    <w:p w14:paraId="2925F229" w14:textId="77777777" w:rsidR="0010760C" w:rsidRDefault="0010760C" w:rsidP="0036149A">
      <w:pPr>
        <w:spacing w:after="0" w:line="360" w:lineRule="auto"/>
        <w:ind w:firstLine="1440"/>
        <w:rPr>
          <w:rFonts w:ascii="Times New Roman" w:eastAsia="Times New Roman" w:hAnsi="Times New Roman" w:cs="Times New Roman"/>
          <w:sz w:val="24"/>
          <w:szCs w:val="20"/>
        </w:rPr>
      </w:pPr>
    </w:p>
    <w:p w14:paraId="3AAF8D79" w14:textId="77777777" w:rsidR="00262EB6" w:rsidRDefault="00190C1D" w:rsidP="0036149A">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With respect to the Harmans’ argument that certain of the challenged </w:t>
      </w:r>
      <w:r w:rsidR="008A1073">
        <w:rPr>
          <w:rFonts w:ascii="Times New Roman" w:eastAsia="Times New Roman" w:hAnsi="Times New Roman" w:cs="Times New Roman"/>
          <w:sz w:val="24"/>
          <w:szCs w:val="20"/>
        </w:rPr>
        <w:t xml:space="preserve">statements constitute PPL business records, </w:t>
      </w:r>
      <w:r w:rsidR="00991A58">
        <w:rPr>
          <w:rFonts w:ascii="Times New Roman" w:eastAsia="Times New Roman" w:hAnsi="Times New Roman" w:cs="Times New Roman"/>
          <w:sz w:val="24"/>
          <w:szCs w:val="20"/>
        </w:rPr>
        <w:t xml:space="preserve">I note that </w:t>
      </w:r>
      <w:r w:rsidR="009E60A2">
        <w:rPr>
          <w:rFonts w:ascii="Times New Roman" w:eastAsia="Times New Roman" w:hAnsi="Times New Roman" w:cs="Times New Roman"/>
          <w:sz w:val="24"/>
          <w:szCs w:val="20"/>
        </w:rPr>
        <w:t xml:space="preserve">Pennsylvania Rule of Evidence </w:t>
      </w:r>
      <w:r w:rsidR="007B1B2D">
        <w:rPr>
          <w:rFonts w:ascii="Times New Roman" w:eastAsia="Times New Roman" w:hAnsi="Times New Roman" w:cs="Times New Roman"/>
          <w:sz w:val="24"/>
          <w:szCs w:val="20"/>
        </w:rPr>
        <w:t>803 requires</w:t>
      </w:r>
      <w:r w:rsidR="00DB0633">
        <w:rPr>
          <w:rFonts w:ascii="Times New Roman" w:eastAsia="Times New Roman" w:hAnsi="Times New Roman" w:cs="Times New Roman"/>
          <w:sz w:val="24"/>
          <w:szCs w:val="20"/>
        </w:rPr>
        <w:t xml:space="preserve"> that certain foundational requirements be established</w:t>
      </w:r>
      <w:r w:rsidR="00DF30F6">
        <w:rPr>
          <w:rFonts w:ascii="Times New Roman" w:eastAsia="Times New Roman" w:hAnsi="Times New Roman" w:cs="Times New Roman"/>
          <w:sz w:val="24"/>
          <w:szCs w:val="20"/>
        </w:rPr>
        <w:t xml:space="preserve"> by the custodian of the records or another qualified </w:t>
      </w:r>
      <w:r w:rsidR="00305046">
        <w:rPr>
          <w:rFonts w:ascii="Times New Roman" w:eastAsia="Times New Roman" w:hAnsi="Times New Roman" w:cs="Times New Roman"/>
          <w:sz w:val="24"/>
          <w:szCs w:val="20"/>
        </w:rPr>
        <w:t>witness</w:t>
      </w:r>
      <w:r w:rsidR="00DB0633">
        <w:rPr>
          <w:rFonts w:ascii="Times New Roman" w:eastAsia="Times New Roman" w:hAnsi="Times New Roman" w:cs="Times New Roman"/>
          <w:sz w:val="24"/>
          <w:szCs w:val="20"/>
        </w:rPr>
        <w:t xml:space="preserve"> for a record to be admitted as a business record.  For example, Rule 803 requires</w:t>
      </w:r>
      <w:r w:rsidR="000724AE">
        <w:rPr>
          <w:rFonts w:ascii="Times New Roman" w:eastAsia="Times New Roman" w:hAnsi="Times New Roman" w:cs="Times New Roman"/>
          <w:sz w:val="24"/>
          <w:szCs w:val="20"/>
        </w:rPr>
        <w:t xml:space="preserve"> testimony proving that </w:t>
      </w:r>
      <w:r w:rsidR="00CE7591">
        <w:rPr>
          <w:rFonts w:ascii="Times New Roman" w:eastAsia="Times New Roman" w:hAnsi="Times New Roman" w:cs="Times New Roman"/>
          <w:sz w:val="24"/>
          <w:szCs w:val="20"/>
        </w:rPr>
        <w:t xml:space="preserve">the record was made at or near the time </w:t>
      </w:r>
      <w:r w:rsidR="00C65E0D">
        <w:rPr>
          <w:rFonts w:ascii="Times New Roman" w:eastAsia="Times New Roman" w:hAnsi="Times New Roman" w:cs="Times New Roman"/>
          <w:sz w:val="24"/>
          <w:szCs w:val="20"/>
        </w:rPr>
        <w:t>of the occurrence, that it was kept in the</w:t>
      </w:r>
      <w:r w:rsidR="00FC7999">
        <w:rPr>
          <w:rFonts w:ascii="Times New Roman" w:eastAsia="Times New Roman" w:hAnsi="Times New Roman" w:cs="Times New Roman"/>
          <w:sz w:val="24"/>
          <w:szCs w:val="20"/>
        </w:rPr>
        <w:t xml:space="preserve"> course of a regularly </w:t>
      </w:r>
      <w:r w:rsidR="00B75BAB">
        <w:rPr>
          <w:rFonts w:ascii="Times New Roman" w:eastAsia="Times New Roman" w:hAnsi="Times New Roman" w:cs="Times New Roman"/>
          <w:sz w:val="24"/>
          <w:szCs w:val="20"/>
        </w:rPr>
        <w:t xml:space="preserve">conducted activity of the business, and that making the record was a regular </w:t>
      </w:r>
      <w:r w:rsidR="0077049F">
        <w:rPr>
          <w:rFonts w:ascii="Times New Roman" w:eastAsia="Times New Roman" w:hAnsi="Times New Roman" w:cs="Times New Roman"/>
          <w:sz w:val="24"/>
          <w:szCs w:val="20"/>
        </w:rPr>
        <w:t>practice of that activity.</w:t>
      </w:r>
      <w:r w:rsidR="000616A1">
        <w:rPr>
          <w:rFonts w:ascii="Times New Roman" w:eastAsia="Times New Roman" w:hAnsi="Times New Roman" w:cs="Times New Roman"/>
          <w:sz w:val="24"/>
          <w:szCs w:val="20"/>
        </w:rPr>
        <w:t xml:space="preserve">  </w:t>
      </w:r>
      <w:r w:rsidR="00F90525">
        <w:rPr>
          <w:rFonts w:ascii="Times New Roman" w:eastAsia="Times New Roman" w:hAnsi="Times New Roman" w:cs="Times New Roman"/>
          <w:sz w:val="24"/>
          <w:szCs w:val="20"/>
        </w:rPr>
        <w:t xml:space="preserve">There is no such foundational testimony in the record </w:t>
      </w:r>
      <w:r w:rsidR="00262EB6">
        <w:rPr>
          <w:rFonts w:ascii="Times New Roman" w:eastAsia="Times New Roman" w:hAnsi="Times New Roman" w:cs="Times New Roman"/>
          <w:sz w:val="24"/>
          <w:szCs w:val="20"/>
        </w:rPr>
        <w:t>that would properly qualify the challenged statements as PPL business records.</w:t>
      </w:r>
    </w:p>
    <w:p w14:paraId="71581F5F" w14:textId="77777777" w:rsidR="00262EB6" w:rsidRDefault="00262EB6" w:rsidP="0036149A">
      <w:pPr>
        <w:spacing w:after="0" w:line="360" w:lineRule="auto"/>
        <w:ind w:firstLine="1440"/>
        <w:rPr>
          <w:rFonts w:ascii="Times New Roman" w:eastAsia="Times New Roman" w:hAnsi="Times New Roman" w:cs="Times New Roman"/>
          <w:sz w:val="24"/>
          <w:szCs w:val="20"/>
        </w:rPr>
      </w:pPr>
    </w:p>
    <w:p w14:paraId="3C9AF213" w14:textId="5EDFBC85" w:rsidR="005F2EE8" w:rsidRDefault="00262EB6" w:rsidP="0036149A">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Finally, </w:t>
      </w:r>
      <w:r w:rsidR="00585858">
        <w:rPr>
          <w:rFonts w:ascii="Times New Roman" w:eastAsia="Times New Roman" w:hAnsi="Times New Roman" w:cs="Times New Roman"/>
          <w:sz w:val="24"/>
          <w:szCs w:val="20"/>
        </w:rPr>
        <w:t xml:space="preserve">in the case of </w:t>
      </w:r>
      <w:r w:rsidR="00585858">
        <w:rPr>
          <w:rFonts w:ascii="Times New Roman" w:eastAsia="Times New Roman" w:hAnsi="Times New Roman" w:cs="Times New Roman"/>
          <w:i/>
          <w:iCs/>
          <w:sz w:val="24"/>
          <w:szCs w:val="20"/>
        </w:rPr>
        <w:t xml:space="preserve">Walker v. </w:t>
      </w:r>
      <w:r w:rsidR="006511DD">
        <w:rPr>
          <w:rFonts w:ascii="Times New Roman" w:eastAsia="Times New Roman" w:hAnsi="Times New Roman" w:cs="Times New Roman"/>
          <w:i/>
          <w:iCs/>
          <w:sz w:val="24"/>
          <w:szCs w:val="20"/>
        </w:rPr>
        <w:t xml:space="preserve">Unemployment </w:t>
      </w:r>
      <w:r w:rsidR="00724AB1">
        <w:rPr>
          <w:rFonts w:ascii="Times New Roman" w:eastAsia="Times New Roman" w:hAnsi="Times New Roman" w:cs="Times New Roman"/>
          <w:i/>
          <w:iCs/>
          <w:sz w:val="24"/>
          <w:szCs w:val="20"/>
        </w:rPr>
        <w:t>C</w:t>
      </w:r>
      <w:r w:rsidR="006511DD">
        <w:rPr>
          <w:rFonts w:ascii="Times New Roman" w:eastAsia="Times New Roman" w:hAnsi="Times New Roman" w:cs="Times New Roman"/>
          <w:i/>
          <w:iCs/>
          <w:sz w:val="24"/>
          <w:szCs w:val="20"/>
        </w:rPr>
        <w:t xml:space="preserve">omp. Bd. </w:t>
      </w:r>
      <w:r w:rsidR="00724AB1">
        <w:rPr>
          <w:rFonts w:ascii="Times New Roman" w:eastAsia="Times New Roman" w:hAnsi="Times New Roman" w:cs="Times New Roman"/>
          <w:i/>
          <w:iCs/>
          <w:sz w:val="24"/>
          <w:szCs w:val="20"/>
        </w:rPr>
        <w:t>o</w:t>
      </w:r>
      <w:r w:rsidR="006511DD">
        <w:rPr>
          <w:rFonts w:ascii="Times New Roman" w:eastAsia="Times New Roman" w:hAnsi="Times New Roman" w:cs="Times New Roman"/>
          <w:i/>
          <w:iCs/>
          <w:sz w:val="24"/>
          <w:szCs w:val="20"/>
        </w:rPr>
        <w:t xml:space="preserve">f Review, </w:t>
      </w:r>
      <w:r w:rsidR="00DE1920">
        <w:rPr>
          <w:rFonts w:ascii="Times New Roman" w:eastAsia="Times New Roman" w:hAnsi="Times New Roman" w:cs="Times New Roman"/>
          <w:sz w:val="24"/>
          <w:szCs w:val="20"/>
        </w:rPr>
        <w:t>367 A.2d 366</w:t>
      </w:r>
      <w:r w:rsidR="00724AB1">
        <w:rPr>
          <w:rFonts w:ascii="Times New Roman" w:eastAsia="Times New Roman" w:hAnsi="Times New Roman" w:cs="Times New Roman"/>
          <w:sz w:val="24"/>
          <w:szCs w:val="20"/>
        </w:rPr>
        <w:t xml:space="preserve"> </w:t>
      </w:r>
      <w:r w:rsidR="00DE1920">
        <w:rPr>
          <w:rFonts w:ascii="Times New Roman" w:eastAsia="Times New Roman" w:hAnsi="Times New Roman" w:cs="Times New Roman"/>
          <w:sz w:val="24"/>
          <w:szCs w:val="20"/>
        </w:rPr>
        <w:t xml:space="preserve">(Pa. </w:t>
      </w:r>
      <w:proofErr w:type="spellStart"/>
      <w:r w:rsidR="00DE1920">
        <w:rPr>
          <w:rFonts w:ascii="Times New Roman" w:eastAsia="Times New Roman" w:hAnsi="Times New Roman" w:cs="Times New Roman"/>
          <w:sz w:val="24"/>
          <w:szCs w:val="20"/>
        </w:rPr>
        <w:t>Cmwlth</w:t>
      </w:r>
      <w:proofErr w:type="spellEnd"/>
      <w:r w:rsidR="00DE1920">
        <w:rPr>
          <w:rFonts w:ascii="Times New Roman" w:eastAsia="Times New Roman" w:hAnsi="Times New Roman" w:cs="Times New Roman"/>
          <w:sz w:val="24"/>
          <w:szCs w:val="20"/>
        </w:rPr>
        <w:t>. 1976), the Pennsylvania Commonwealth Court</w:t>
      </w:r>
      <w:r w:rsidR="00724AB1">
        <w:rPr>
          <w:rFonts w:ascii="Times New Roman" w:eastAsia="Times New Roman" w:hAnsi="Times New Roman" w:cs="Times New Roman"/>
          <w:sz w:val="24"/>
          <w:szCs w:val="20"/>
        </w:rPr>
        <w:t xml:space="preserve"> </w:t>
      </w:r>
      <w:r w:rsidR="006A19F3">
        <w:rPr>
          <w:rFonts w:ascii="Times New Roman" w:eastAsia="Times New Roman" w:hAnsi="Times New Roman" w:cs="Times New Roman"/>
          <w:sz w:val="24"/>
          <w:szCs w:val="20"/>
        </w:rPr>
        <w:t>stated the evidentiary rule in Pennsylvania that</w:t>
      </w:r>
      <w:r w:rsidR="005D2B3F">
        <w:rPr>
          <w:rFonts w:ascii="Times New Roman" w:eastAsia="Times New Roman" w:hAnsi="Times New Roman" w:cs="Times New Roman"/>
          <w:sz w:val="24"/>
          <w:szCs w:val="20"/>
        </w:rPr>
        <w:t xml:space="preserve"> hearsay evidence that has been properly objected to may not be used to support a finding</w:t>
      </w:r>
      <w:r w:rsidR="008A1336">
        <w:rPr>
          <w:rFonts w:ascii="Times New Roman" w:eastAsia="Times New Roman" w:hAnsi="Times New Roman" w:cs="Times New Roman"/>
          <w:sz w:val="24"/>
          <w:szCs w:val="20"/>
        </w:rPr>
        <w:t xml:space="preserve">, </w:t>
      </w:r>
      <w:r w:rsidR="001C0704">
        <w:rPr>
          <w:rFonts w:ascii="Times New Roman" w:eastAsia="Times New Roman" w:hAnsi="Times New Roman" w:cs="Times New Roman"/>
          <w:sz w:val="24"/>
          <w:szCs w:val="20"/>
        </w:rPr>
        <w:t>while</w:t>
      </w:r>
      <w:r w:rsidR="008A1336">
        <w:rPr>
          <w:rFonts w:ascii="Times New Roman" w:eastAsia="Times New Roman" w:hAnsi="Times New Roman" w:cs="Times New Roman"/>
          <w:sz w:val="24"/>
          <w:szCs w:val="20"/>
        </w:rPr>
        <w:t xml:space="preserve"> hearsay evidence that has been admitted </w:t>
      </w:r>
      <w:r w:rsidR="008A1336" w:rsidRPr="001C0704">
        <w:rPr>
          <w:rFonts w:ascii="Times New Roman" w:eastAsia="Times New Roman" w:hAnsi="Times New Roman" w:cs="Times New Roman"/>
          <w:sz w:val="24"/>
          <w:szCs w:val="20"/>
          <w:u w:val="single"/>
        </w:rPr>
        <w:t>without objection</w:t>
      </w:r>
      <w:r w:rsidR="008A1336">
        <w:rPr>
          <w:rFonts w:ascii="Times New Roman" w:eastAsia="Times New Roman" w:hAnsi="Times New Roman" w:cs="Times New Roman"/>
          <w:sz w:val="24"/>
          <w:szCs w:val="20"/>
        </w:rPr>
        <w:t xml:space="preserve"> may only support a finding</w:t>
      </w:r>
      <w:r w:rsidR="00E202E9">
        <w:rPr>
          <w:rFonts w:ascii="Times New Roman" w:eastAsia="Times New Roman" w:hAnsi="Times New Roman" w:cs="Times New Roman"/>
          <w:sz w:val="24"/>
          <w:szCs w:val="20"/>
        </w:rPr>
        <w:t xml:space="preserve"> if it is corroborated with other competent evidence in the record.  </w:t>
      </w:r>
    </w:p>
    <w:p w14:paraId="485022EB" w14:textId="77777777" w:rsidR="006B7F3C" w:rsidRDefault="006B7F3C" w:rsidP="0036149A">
      <w:pPr>
        <w:spacing w:after="0" w:line="360" w:lineRule="auto"/>
        <w:ind w:firstLine="1440"/>
        <w:rPr>
          <w:rFonts w:ascii="Times New Roman" w:eastAsia="Times New Roman" w:hAnsi="Times New Roman" w:cs="Times New Roman"/>
          <w:sz w:val="24"/>
          <w:szCs w:val="20"/>
        </w:rPr>
      </w:pPr>
    </w:p>
    <w:p w14:paraId="0162127C" w14:textId="03BEDAB7" w:rsidR="009C0A02" w:rsidRDefault="009C0A02" w:rsidP="0036149A">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I not</w:t>
      </w:r>
      <w:r w:rsidR="007C5789">
        <w:rPr>
          <w:rFonts w:ascii="Times New Roman" w:eastAsia="Times New Roman" w:hAnsi="Times New Roman" w:cs="Times New Roman"/>
          <w:sz w:val="24"/>
          <w:szCs w:val="20"/>
        </w:rPr>
        <w:t>e</w:t>
      </w:r>
      <w:r>
        <w:rPr>
          <w:rFonts w:ascii="Times New Roman" w:eastAsia="Times New Roman" w:hAnsi="Times New Roman" w:cs="Times New Roman"/>
          <w:sz w:val="24"/>
          <w:szCs w:val="20"/>
        </w:rPr>
        <w:t xml:space="preserve"> that many of the challenged statements </w:t>
      </w:r>
      <w:r w:rsidR="00517E2B">
        <w:rPr>
          <w:rFonts w:ascii="Times New Roman" w:eastAsia="Times New Roman" w:hAnsi="Times New Roman" w:cs="Times New Roman"/>
          <w:sz w:val="24"/>
          <w:szCs w:val="20"/>
        </w:rPr>
        <w:t xml:space="preserve">contain, in addition to information that arguably constitutes hearsay, </w:t>
      </w:r>
      <w:r w:rsidR="00FD47E9">
        <w:rPr>
          <w:rFonts w:ascii="Times New Roman" w:eastAsia="Times New Roman" w:hAnsi="Times New Roman" w:cs="Times New Roman"/>
          <w:sz w:val="24"/>
          <w:szCs w:val="20"/>
        </w:rPr>
        <w:t xml:space="preserve">admissible information that addresses </w:t>
      </w:r>
      <w:r w:rsidR="00217EEB">
        <w:rPr>
          <w:rFonts w:ascii="Times New Roman" w:eastAsia="Times New Roman" w:hAnsi="Times New Roman" w:cs="Times New Roman"/>
          <w:sz w:val="24"/>
          <w:szCs w:val="20"/>
        </w:rPr>
        <w:t xml:space="preserve">some of </w:t>
      </w:r>
      <w:r w:rsidR="00FD47E9">
        <w:rPr>
          <w:rFonts w:ascii="Times New Roman" w:eastAsia="Times New Roman" w:hAnsi="Times New Roman" w:cs="Times New Roman"/>
          <w:sz w:val="24"/>
          <w:szCs w:val="20"/>
        </w:rPr>
        <w:t>the issues</w:t>
      </w:r>
      <w:r w:rsidR="00217EEB">
        <w:rPr>
          <w:rFonts w:ascii="Times New Roman" w:eastAsia="Times New Roman" w:hAnsi="Times New Roman" w:cs="Times New Roman"/>
          <w:sz w:val="24"/>
          <w:szCs w:val="20"/>
        </w:rPr>
        <w:t xml:space="preserve"> in this proceeding</w:t>
      </w:r>
      <w:r w:rsidR="00C55CC7">
        <w:rPr>
          <w:rFonts w:ascii="Times New Roman" w:eastAsia="Times New Roman" w:hAnsi="Times New Roman" w:cs="Times New Roman"/>
          <w:sz w:val="24"/>
          <w:szCs w:val="20"/>
        </w:rPr>
        <w:t xml:space="preserve">, such as </w:t>
      </w:r>
      <w:r w:rsidR="00807E83">
        <w:rPr>
          <w:rFonts w:ascii="Times New Roman" w:eastAsia="Times New Roman" w:hAnsi="Times New Roman" w:cs="Times New Roman"/>
          <w:sz w:val="24"/>
          <w:szCs w:val="20"/>
        </w:rPr>
        <w:t xml:space="preserve">descriptions of </w:t>
      </w:r>
      <w:r w:rsidR="00C55CC7">
        <w:rPr>
          <w:rFonts w:ascii="Times New Roman" w:eastAsia="Times New Roman" w:hAnsi="Times New Roman" w:cs="Times New Roman"/>
          <w:sz w:val="24"/>
          <w:szCs w:val="20"/>
        </w:rPr>
        <w:t xml:space="preserve">construction activities that the Hartmans themselves </w:t>
      </w:r>
      <w:r w:rsidR="00C55CC7">
        <w:rPr>
          <w:rFonts w:ascii="Times New Roman" w:eastAsia="Times New Roman" w:hAnsi="Times New Roman" w:cs="Times New Roman"/>
          <w:sz w:val="24"/>
          <w:szCs w:val="20"/>
        </w:rPr>
        <w:lastRenderedPageBreak/>
        <w:t>witnessed</w:t>
      </w:r>
      <w:r w:rsidR="007C5789">
        <w:rPr>
          <w:rFonts w:ascii="Times New Roman" w:eastAsia="Times New Roman" w:hAnsi="Times New Roman" w:cs="Times New Roman"/>
          <w:sz w:val="24"/>
          <w:szCs w:val="20"/>
        </w:rPr>
        <w:t xml:space="preserve">.  </w:t>
      </w:r>
      <w:r w:rsidR="00094A75">
        <w:rPr>
          <w:rFonts w:ascii="Times New Roman" w:eastAsia="Times New Roman" w:hAnsi="Times New Roman" w:cs="Times New Roman"/>
          <w:sz w:val="24"/>
          <w:szCs w:val="20"/>
        </w:rPr>
        <w:t xml:space="preserve">In admitting </w:t>
      </w:r>
      <w:r w:rsidR="00ED4BF3">
        <w:rPr>
          <w:rFonts w:ascii="Times New Roman" w:eastAsia="Times New Roman" w:hAnsi="Times New Roman" w:cs="Times New Roman"/>
          <w:sz w:val="24"/>
          <w:szCs w:val="20"/>
        </w:rPr>
        <w:t xml:space="preserve">certain </w:t>
      </w:r>
      <w:r w:rsidR="00094A75">
        <w:rPr>
          <w:rFonts w:ascii="Times New Roman" w:eastAsia="Times New Roman" w:hAnsi="Times New Roman" w:cs="Times New Roman"/>
          <w:sz w:val="24"/>
          <w:szCs w:val="20"/>
        </w:rPr>
        <w:t xml:space="preserve">such statements into the record, </w:t>
      </w:r>
      <w:r w:rsidR="00ED4BF3">
        <w:rPr>
          <w:rFonts w:ascii="Times New Roman" w:eastAsia="Times New Roman" w:hAnsi="Times New Roman" w:cs="Times New Roman"/>
          <w:sz w:val="24"/>
          <w:szCs w:val="20"/>
        </w:rPr>
        <w:t xml:space="preserve">they will only be relied upon to the extent </w:t>
      </w:r>
      <w:r w:rsidR="00BC11B1">
        <w:rPr>
          <w:rFonts w:ascii="Times New Roman" w:eastAsia="Times New Roman" w:hAnsi="Times New Roman" w:cs="Times New Roman"/>
          <w:sz w:val="24"/>
          <w:szCs w:val="20"/>
        </w:rPr>
        <w:t xml:space="preserve">they contain competent evidence that is relevant to the issues in this proceeding.  </w:t>
      </w:r>
      <w:r w:rsidR="00C55CC7">
        <w:rPr>
          <w:rFonts w:ascii="Times New Roman" w:eastAsia="Times New Roman" w:hAnsi="Times New Roman" w:cs="Times New Roman"/>
          <w:sz w:val="24"/>
          <w:szCs w:val="20"/>
        </w:rPr>
        <w:t xml:space="preserve"> </w:t>
      </w:r>
      <w:r w:rsidR="00217EEB">
        <w:rPr>
          <w:rFonts w:ascii="Times New Roman" w:eastAsia="Times New Roman" w:hAnsi="Times New Roman" w:cs="Times New Roman"/>
          <w:sz w:val="24"/>
          <w:szCs w:val="20"/>
        </w:rPr>
        <w:t xml:space="preserve"> </w:t>
      </w:r>
      <w:r w:rsidR="00FD47E9">
        <w:rPr>
          <w:rFonts w:ascii="Times New Roman" w:eastAsia="Times New Roman" w:hAnsi="Times New Roman" w:cs="Times New Roman"/>
          <w:sz w:val="24"/>
          <w:szCs w:val="20"/>
        </w:rPr>
        <w:t xml:space="preserve"> </w:t>
      </w:r>
    </w:p>
    <w:p w14:paraId="4B9B2234" w14:textId="77777777" w:rsidR="005F2EE8" w:rsidRDefault="005F2EE8" w:rsidP="0036149A">
      <w:pPr>
        <w:spacing w:after="0" w:line="360" w:lineRule="auto"/>
        <w:ind w:firstLine="1440"/>
        <w:rPr>
          <w:rFonts w:ascii="Times New Roman" w:eastAsia="Times New Roman" w:hAnsi="Times New Roman" w:cs="Times New Roman"/>
          <w:sz w:val="24"/>
          <w:szCs w:val="20"/>
        </w:rPr>
      </w:pPr>
    </w:p>
    <w:p w14:paraId="6B9E9A57" w14:textId="4BD946F1" w:rsidR="00D75700" w:rsidRDefault="009B181B" w:rsidP="0036149A">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Based upon the above </w:t>
      </w:r>
      <w:r w:rsidR="005F2EE8">
        <w:rPr>
          <w:rFonts w:ascii="Times New Roman" w:eastAsia="Times New Roman" w:hAnsi="Times New Roman" w:cs="Times New Roman"/>
          <w:sz w:val="24"/>
          <w:szCs w:val="20"/>
        </w:rPr>
        <w:t>considerations</w:t>
      </w:r>
      <w:r>
        <w:rPr>
          <w:rFonts w:ascii="Times New Roman" w:eastAsia="Times New Roman" w:hAnsi="Times New Roman" w:cs="Times New Roman"/>
          <w:sz w:val="24"/>
          <w:szCs w:val="20"/>
        </w:rPr>
        <w:t xml:space="preserve">, I will grant PPL’s Motion and strike the following </w:t>
      </w:r>
      <w:r w:rsidR="00D75700">
        <w:rPr>
          <w:rFonts w:ascii="Times New Roman" w:eastAsia="Times New Roman" w:hAnsi="Times New Roman" w:cs="Times New Roman"/>
          <w:sz w:val="24"/>
          <w:szCs w:val="20"/>
        </w:rPr>
        <w:t>testimony and exhibits from the record:</w:t>
      </w:r>
    </w:p>
    <w:p w14:paraId="048D3573" w14:textId="06A21B95" w:rsidR="00C12C07" w:rsidRDefault="00C12C07" w:rsidP="0036149A">
      <w:pPr>
        <w:spacing w:after="0" w:line="360" w:lineRule="auto"/>
        <w:ind w:firstLine="1440"/>
        <w:rPr>
          <w:rFonts w:ascii="Times New Roman" w:eastAsia="Times New Roman" w:hAnsi="Times New Roman" w:cs="Times New Roman"/>
          <w:sz w:val="24"/>
          <w:szCs w:val="20"/>
        </w:rPr>
      </w:pPr>
    </w:p>
    <w:p w14:paraId="1EB3689D" w14:textId="4C45843A" w:rsidR="007859E9" w:rsidRPr="00D84283" w:rsidRDefault="006348EE" w:rsidP="00214F9E">
      <w:pPr>
        <w:spacing w:after="0" w:line="240" w:lineRule="auto"/>
        <w:ind w:left="634" w:right="720" w:firstLine="86"/>
        <w:rPr>
          <w:rFonts w:ascii="Times New Roman" w:eastAsia="Times New Roman" w:hAnsi="Times New Roman" w:cs="Times New Roman"/>
          <w:sz w:val="24"/>
          <w:szCs w:val="20"/>
        </w:rPr>
      </w:pPr>
      <w:r w:rsidRPr="00D84283">
        <w:rPr>
          <w:rFonts w:ascii="Times New Roman" w:eastAsia="Times New Roman" w:hAnsi="Times New Roman" w:cs="Times New Roman"/>
          <w:sz w:val="24"/>
          <w:szCs w:val="20"/>
        </w:rPr>
        <w:t xml:space="preserve">Hartman </w:t>
      </w:r>
      <w:r w:rsidR="00A648B6">
        <w:rPr>
          <w:rFonts w:ascii="Times New Roman" w:eastAsia="Times New Roman" w:hAnsi="Times New Roman" w:cs="Times New Roman"/>
          <w:sz w:val="24"/>
          <w:szCs w:val="20"/>
        </w:rPr>
        <w:t>Exhibit A</w:t>
      </w:r>
      <w:r w:rsidRPr="00D84283">
        <w:rPr>
          <w:rFonts w:ascii="Times New Roman" w:eastAsia="Times New Roman" w:hAnsi="Times New Roman" w:cs="Times New Roman"/>
          <w:sz w:val="24"/>
          <w:szCs w:val="20"/>
        </w:rPr>
        <w:t xml:space="preserve"> </w:t>
      </w:r>
    </w:p>
    <w:p w14:paraId="03602227" w14:textId="77777777" w:rsidR="007859E9" w:rsidRDefault="007859E9" w:rsidP="00214F9E">
      <w:pPr>
        <w:spacing w:after="0" w:line="240" w:lineRule="auto"/>
        <w:ind w:left="634" w:right="720" w:firstLine="86"/>
        <w:rPr>
          <w:rFonts w:ascii="Times New Roman" w:eastAsia="Times New Roman" w:hAnsi="Times New Roman" w:cs="Times New Roman"/>
          <w:sz w:val="24"/>
          <w:szCs w:val="20"/>
        </w:rPr>
      </w:pPr>
    </w:p>
    <w:p w14:paraId="1408C620" w14:textId="781BE8E0" w:rsidR="00C12C07" w:rsidRDefault="00020FE1" w:rsidP="00214F9E">
      <w:pPr>
        <w:spacing w:after="0" w:line="240" w:lineRule="auto"/>
        <w:ind w:left="634" w:right="720" w:firstLine="86"/>
        <w:rPr>
          <w:rFonts w:ascii="Times New Roman" w:eastAsia="Times New Roman" w:hAnsi="Times New Roman" w:cs="Times New Roman"/>
          <w:sz w:val="24"/>
          <w:szCs w:val="20"/>
        </w:rPr>
      </w:pPr>
      <w:r>
        <w:rPr>
          <w:rFonts w:ascii="Times New Roman" w:eastAsia="Times New Roman" w:hAnsi="Times New Roman" w:cs="Times New Roman"/>
          <w:sz w:val="24"/>
          <w:szCs w:val="20"/>
        </w:rPr>
        <w:t>¶¶ 11, 13</w:t>
      </w:r>
      <w:r w:rsidR="0095144E">
        <w:rPr>
          <w:rFonts w:ascii="Times New Roman" w:eastAsia="Times New Roman" w:hAnsi="Times New Roman" w:cs="Times New Roman"/>
          <w:sz w:val="24"/>
          <w:szCs w:val="20"/>
        </w:rPr>
        <w:t>, 14 (last sentence only), 16, 21</w:t>
      </w:r>
      <w:r w:rsidR="00214F9E">
        <w:rPr>
          <w:rFonts w:ascii="Times New Roman" w:eastAsia="Times New Roman" w:hAnsi="Times New Roman" w:cs="Times New Roman"/>
          <w:sz w:val="24"/>
          <w:szCs w:val="20"/>
        </w:rPr>
        <w:t xml:space="preserve">, 24, </w:t>
      </w:r>
      <w:r w:rsidR="003B5B3F">
        <w:rPr>
          <w:rFonts w:ascii="Times New Roman" w:eastAsia="Times New Roman" w:hAnsi="Times New Roman" w:cs="Times New Roman"/>
          <w:sz w:val="24"/>
          <w:szCs w:val="20"/>
        </w:rPr>
        <w:t xml:space="preserve">25, </w:t>
      </w:r>
      <w:r w:rsidR="0000741D">
        <w:rPr>
          <w:rFonts w:ascii="Times New Roman" w:eastAsia="Times New Roman" w:hAnsi="Times New Roman" w:cs="Times New Roman"/>
          <w:sz w:val="24"/>
          <w:szCs w:val="20"/>
        </w:rPr>
        <w:t xml:space="preserve">31, 39, </w:t>
      </w:r>
      <w:r w:rsidR="00F03BF3">
        <w:rPr>
          <w:rFonts w:ascii="Times New Roman" w:eastAsia="Times New Roman" w:hAnsi="Times New Roman" w:cs="Times New Roman"/>
          <w:sz w:val="24"/>
          <w:szCs w:val="20"/>
        </w:rPr>
        <w:t xml:space="preserve">41, 42, </w:t>
      </w:r>
      <w:r w:rsidR="00CD4070">
        <w:rPr>
          <w:rFonts w:ascii="Times New Roman" w:eastAsia="Times New Roman" w:hAnsi="Times New Roman" w:cs="Times New Roman"/>
          <w:sz w:val="24"/>
          <w:szCs w:val="20"/>
        </w:rPr>
        <w:t xml:space="preserve">48, </w:t>
      </w:r>
      <w:r w:rsidR="00FC2AAD">
        <w:rPr>
          <w:rFonts w:ascii="Times New Roman" w:eastAsia="Times New Roman" w:hAnsi="Times New Roman" w:cs="Times New Roman"/>
          <w:sz w:val="24"/>
          <w:szCs w:val="20"/>
        </w:rPr>
        <w:t xml:space="preserve">76, 77, </w:t>
      </w:r>
      <w:r w:rsidR="0047629D">
        <w:rPr>
          <w:rFonts w:ascii="Times New Roman" w:eastAsia="Times New Roman" w:hAnsi="Times New Roman" w:cs="Times New Roman"/>
          <w:sz w:val="24"/>
          <w:szCs w:val="20"/>
        </w:rPr>
        <w:t>85, 86,</w:t>
      </w:r>
      <w:r w:rsidR="007859E9">
        <w:rPr>
          <w:rFonts w:ascii="Times New Roman" w:eastAsia="Times New Roman" w:hAnsi="Times New Roman" w:cs="Times New Roman"/>
          <w:sz w:val="24"/>
          <w:szCs w:val="20"/>
        </w:rPr>
        <w:t xml:space="preserve"> </w:t>
      </w:r>
      <w:r w:rsidR="0047629D">
        <w:rPr>
          <w:rFonts w:ascii="Times New Roman" w:eastAsia="Times New Roman" w:hAnsi="Times New Roman" w:cs="Times New Roman"/>
          <w:sz w:val="24"/>
          <w:szCs w:val="20"/>
        </w:rPr>
        <w:t xml:space="preserve">89, 90, 91, </w:t>
      </w:r>
      <w:r w:rsidR="00134EBC">
        <w:rPr>
          <w:rFonts w:ascii="Times New Roman" w:eastAsia="Times New Roman" w:hAnsi="Times New Roman" w:cs="Times New Roman"/>
          <w:sz w:val="24"/>
          <w:szCs w:val="20"/>
        </w:rPr>
        <w:t xml:space="preserve">93, 94, 96, 98, </w:t>
      </w:r>
      <w:r w:rsidR="003A2723">
        <w:rPr>
          <w:rFonts w:ascii="Times New Roman" w:eastAsia="Times New Roman" w:hAnsi="Times New Roman" w:cs="Times New Roman"/>
          <w:sz w:val="24"/>
          <w:szCs w:val="20"/>
        </w:rPr>
        <w:t xml:space="preserve">128, </w:t>
      </w:r>
      <w:r w:rsidR="007859E9">
        <w:rPr>
          <w:rFonts w:ascii="Times New Roman" w:eastAsia="Times New Roman" w:hAnsi="Times New Roman" w:cs="Times New Roman"/>
          <w:sz w:val="24"/>
          <w:szCs w:val="20"/>
        </w:rPr>
        <w:t>136 (sub-sections 12, 19, 20, 21, 27, 28 and 32 only).</w:t>
      </w:r>
      <w:r w:rsidR="0000741D">
        <w:rPr>
          <w:rFonts w:ascii="Times New Roman" w:eastAsia="Times New Roman" w:hAnsi="Times New Roman" w:cs="Times New Roman"/>
          <w:sz w:val="24"/>
          <w:szCs w:val="20"/>
        </w:rPr>
        <w:t xml:space="preserve"> </w:t>
      </w:r>
    </w:p>
    <w:p w14:paraId="2AA3130E" w14:textId="77777777" w:rsidR="00D75700" w:rsidRDefault="00D75700" w:rsidP="0036149A">
      <w:pPr>
        <w:spacing w:after="0" w:line="360" w:lineRule="auto"/>
        <w:ind w:firstLine="1440"/>
        <w:rPr>
          <w:rFonts w:ascii="Times New Roman" w:eastAsia="Times New Roman" w:hAnsi="Times New Roman" w:cs="Times New Roman"/>
          <w:sz w:val="24"/>
          <w:szCs w:val="20"/>
        </w:rPr>
      </w:pPr>
    </w:p>
    <w:p w14:paraId="146423E2" w14:textId="1D868289" w:rsidR="00A62991" w:rsidRDefault="00D84283" w:rsidP="00D84283">
      <w:pPr>
        <w:spacing w:after="0" w:line="36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Hartman Exhibits</w:t>
      </w:r>
      <w:r w:rsidR="005F2EE8">
        <w:rPr>
          <w:rFonts w:ascii="Times New Roman" w:eastAsia="Times New Roman" w:hAnsi="Times New Roman" w:cs="Times New Roman"/>
          <w:sz w:val="24"/>
          <w:szCs w:val="20"/>
        </w:rPr>
        <w:t xml:space="preserve"> </w:t>
      </w:r>
      <w:r w:rsidR="00DE1920">
        <w:rPr>
          <w:rFonts w:ascii="Times New Roman" w:eastAsia="Times New Roman" w:hAnsi="Times New Roman" w:cs="Times New Roman"/>
          <w:sz w:val="24"/>
          <w:szCs w:val="20"/>
        </w:rPr>
        <w:t xml:space="preserve"> </w:t>
      </w:r>
      <w:r w:rsidR="006511DD">
        <w:rPr>
          <w:rFonts w:ascii="Times New Roman" w:eastAsia="Times New Roman" w:hAnsi="Times New Roman" w:cs="Times New Roman"/>
          <w:i/>
          <w:iCs/>
          <w:sz w:val="24"/>
          <w:szCs w:val="20"/>
        </w:rPr>
        <w:t xml:space="preserve"> </w:t>
      </w:r>
      <w:r w:rsidR="0077049F">
        <w:rPr>
          <w:rFonts w:ascii="Times New Roman" w:eastAsia="Times New Roman" w:hAnsi="Times New Roman" w:cs="Times New Roman"/>
          <w:sz w:val="24"/>
          <w:szCs w:val="20"/>
        </w:rPr>
        <w:t xml:space="preserve">  </w:t>
      </w:r>
      <w:r w:rsidR="00E74664">
        <w:rPr>
          <w:rFonts w:ascii="Times New Roman" w:eastAsia="Times New Roman" w:hAnsi="Times New Roman" w:cs="Times New Roman"/>
          <w:sz w:val="24"/>
          <w:szCs w:val="20"/>
        </w:rPr>
        <w:t xml:space="preserve"> </w:t>
      </w:r>
      <w:r w:rsidR="007B1B2D">
        <w:rPr>
          <w:rFonts w:ascii="Times New Roman" w:eastAsia="Times New Roman" w:hAnsi="Times New Roman" w:cs="Times New Roman"/>
          <w:sz w:val="24"/>
          <w:szCs w:val="20"/>
        </w:rPr>
        <w:t xml:space="preserve"> </w:t>
      </w:r>
      <w:r w:rsidR="008D1AFE">
        <w:rPr>
          <w:rFonts w:ascii="Times New Roman" w:eastAsia="Times New Roman" w:hAnsi="Times New Roman" w:cs="Times New Roman"/>
          <w:sz w:val="24"/>
          <w:szCs w:val="20"/>
        </w:rPr>
        <w:t xml:space="preserve"> </w:t>
      </w:r>
      <w:r w:rsidR="00AA557C">
        <w:rPr>
          <w:rFonts w:ascii="Times New Roman" w:eastAsia="Times New Roman" w:hAnsi="Times New Roman" w:cs="Times New Roman"/>
          <w:sz w:val="24"/>
          <w:szCs w:val="20"/>
        </w:rPr>
        <w:t xml:space="preserve"> </w:t>
      </w:r>
      <w:r w:rsidR="009E53C9">
        <w:rPr>
          <w:rFonts w:ascii="Times New Roman" w:eastAsia="Times New Roman" w:hAnsi="Times New Roman" w:cs="Times New Roman"/>
          <w:sz w:val="24"/>
          <w:szCs w:val="20"/>
        </w:rPr>
        <w:t xml:space="preserve"> </w:t>
      </w:r>
      <w:r w:rsidR="00D433E4">
        <w:rPr>
          <w:rFonts w:ascii="Times New Roman" w:eastAsia="Times New Roman" w:hAnsi="Times New Roman" w:cs="Times New Roman"/>
          <w:sz w:val="24"/>
          <w:szCs w:val="20"/>
        </w:rPr>
        <w:t xml:space="preserve"> </w:t>
      </w:r>
      <w:r w:rsidR="00020532">
        <w:rPr>
          <w:rFonts w:ascii="Times New Roman" w:eastAsia="Times New Roman" w:hAnsi="Times New Roman" w:cs="Times New Roman"/>
          <w:sz w:val="24"/>
          <w:szCs w:val="20"/>
        </w:rPr>
        <w:t xml:space="preserve"> </w:t>
      </w:r>
      <w:r w:rsidR="00FA18C8">
        <w:rPr>
          <w:rFonts w:ascii="Times New Roman" w:eastAsia="Times New Roman" w:hAnsi="Times New Roman" w:cs="Times New Roman"/>
          <w:sz w:val="24"/>
          <w:szCs w:val="20"/>
        </w:rPr>
        <w:t xml:space="preserve"> </w:t>
      </w:r>
      <w:r w:rsidR="005348F3">
        <w:rPr>
          <w:rFonts w:ascii="Times New Roman" w:eastAsia="Times New Roman" w:hAnsi="Times New Roman" w:cs="Times New Roman"/>
          <w:sz w:val="24"/>
          <w:szCs w:val="20"/>
        </w:rPr>
        <w:t xml:space="preserve"> </w:t>
      </w:r>
      <w:r w:rsidR="00E40A21">
        <w:rPr>
          <w:rFonts w:ascii="Times New Roman" w:eastAsia="Times New Roman" w:hAnsi="Times New Roman" w:cs="Times New Roman"/>
          <w:sz w:val="24"/>
          <w:szCs w:val="20"/>
        </w:rPr>
        <w:t xml:space="preserve"> </w:t>
      </w:r>
      <w:r w:rsidR="00A62991">
        <w:rPr>
          <w:rFonts w:ascii="Times New Roman" w:eastAsia="Times New Roman" w:hAnsi="Times New Roman" w:cs="Times New Roman"/>
          <w:sz w:val="24"/>
          <w:szCs w:val="20"/>
        </w:rPr>
        <w:t xml:space="preserve"> </w:t>
      </w:r>
    </w:p>
    <w:p w14:paraId="7399B575" w14:textId="5E545B76" w:rsidR="00A62991" w:rsidRDefault="00D84283" w:rsidP="00D84283">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F73BEF">
        <w:rPr>
          <w:rFonts w:ascii="Times New Roman" w:eastAsia="Times New Roman" w:hAnsi="Times New Roman" w:cs="Times New Roman"/>
          <w:sz w:val="24"/>
          <w:szCs w:val="20"/>
        </w:rPr>
        <w:t xml:space="preserve">2, 6, 15, 41, 48, </w:t>
      </w:r>
      <w:r w:rsidR="00C36292">
        <w:rPr>
          <w:rFonts w:ascii="Times New Roman" w:eastAsia="Times New Roman" w:hAnsi="Times New Roman" w:cs="Times New Roman"/>
          <w:sz w:val="24"/>
          <w:szCs w:val="20"/>
        </w:rPr>
        <w:t>57.</w:t>
      </w:r>
    </w:p>
    <w:p w14:paraId="6545B6CD" w14:textId="3E82B6C2" w:rsidR="00BF11ED" w:rsidRDefault="00BF11ED" w:rsidP="00D84283">
      <w:pPr>
        <w:spacing w:after="0" w:line="360" w:lineRule="auto"/>
        <w:rPr>
          <w:rFonts w:ascii="Times New Roman" w:eastAsia="Times New Roman" w:hAnsi="Times New Roman" w:cs="Times New Roman"/>
          <w:sz w:val="24"/>
          <w:szCs w:val="20"/>
        </w:rPr>
      </w:pPr>
    </w:p>
    <w:p w14:paraId="37A9F39D" w14:textId="5CB2FD10" w:rsidR="00BF11ED" w:rsidRDefault="00BF11ED" w:rsidP="00D84283">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331B00">
        <w:rPr>
          <w:rFonts w:ascii="Times New Roman" w:eastAsia="Times New Roman" w:hAnsi="Times New Roman" w:cs="Times New Roman"/>
          <w:sz w:val="24"/>
          <w:szCs w:val="20"/>
        </w:rPr>
        <w:t xml:space="preserve">Finally, the Hartmans argue that, if any of </w:t>
      </w:r>
      <w:r w:rsidR="004C4A70">
        <w:rPr>
          <w:rFonts w:ascii="Times New Roman" w:eastAsia="Times New Roman" w:hAnsi="Times New Roman" w:cs="Times New Roman"/>
          <w:sz w:val="24"/>
          <w:szCs w:val="20"/>
        </w:rPr>
        <w:t>their</w:t>
      </w:r>
      <w:r w:rsidR="00331B00">
        <w:rPr>
          <w:rFonts w:ascii="Times New Roman" w:eastAsia="Times New Roman" w:hAnsi="Times New Roman" w:cs="Times New Roman"/>
          <w:sz w:val="24"/>
          <w:szCs w:val="20"/>
        </w:rPr>
        <w:t xml:space="preserve"> testimony or exhibits are excluded on hearsay grounds, then </w:t>
      </w:r>
      <w:r w:rsidR="008646A4">
        <w:rPr>
          <w:rFonts w:ascii="Times New Roman" w:eastAsia="Times New Roman" w:hAnsi="Times New Roman" w:cs="Times New Roman"/>
          <w:sz w:val="24"/>
          <w:szCs w:val="20"/>
        </w:rPr>
        <w:t xml:space="preserve">all of PPL’s rebuttal testimony should likewise be stricken on hearsay grounds.  They argue, for example, that </w:t>
      </w:r>
      <w:r w:rsidR="006F1732">
        <w:rPr>
          <w:rFonts w:ascii="Times New Roman" w:eastAsia="Times New Roman" w:hAnsi="Times New Roman" w:cs="Times New Roman"/>
          <w:sz w:val="24"/>
          <w:szCs w:val="20"/>
        </w:rPr>
        <w:t>no PPL witnesses observed their property pre-construction</w:t>
      </w:r>
      <w:r w:rsidR="0039570F">
        <w:rPr>
          <w:rFonts w:ascii="Times New Roman" w:eastAsia="Times New Roman" w:hAnsi="Times New Roman" w:cs="Times New Roman"/>
          <w:sz w:val="24"/>
          <w:szCs w:val="20"/>
        </w:rPr>
        <w:t xml:space="preserve">, and </w:t>
      </w:r>
      <w:r w:rsidR="00005D41">
        <w:rPr>
          <w:rFonts w:ascii="Times New Roman" w:eastAsia="Times New Roman" w:hAnsi="Times New Roman" w:cs="Times New Roman"/>
          <w:sz w:val="24"/>
          <w:szCs w:val="20"/>
        </w:rPr>
        <w:t xml:space="preserve">they were not present to personally observe some of the construction and vegetation management activities that are at issue in this proceeding.  </w:t>
      </w:r>
      <w:r w:rsidR="00055C3C">
        <w:rPr>
          <w:rFonts w:ascii="Times New Roman" w:eastAsia="Times New Roman" w:hAnsi="Times New Roman" w:cs="Times New Roman"/>
          <w:sz w:val="24"/>
          <w:szCs w:val="20"/>
        </w:rPr>
        <w:t xml:space="preserve">Even if </w:t>
      </w:r>
      <w:r w:rsidR="00C87579">
        <w:rPr>
          <w:rFonts w:ascii="Times New Roman" w:eastAsia="Times New Roman" w:hAnsi="Times New Roman" w:cs="Times New Roman"/>
          <w:sz w:val="24"/>
          <w:szCs w:val="20"/>
        </w:rPr>
        <w:t xml:space="preserve">some of </w:t>
      </w:r>
      <w:r w:rsidR="00055C3C">
        <w:rPr>
          <w:rFonts w:ascii="Times New Roman" w:eastAsia="Times New Roman" w:hAnsi="Times New Roman" w:cs="Times New Roman"/>
          <w:sz w:val="24"/>
          <w:szCs w:val="20"/>
        </w:rPr>
        <w:t xml:space="preserve">PPL’s evidence is arguably inadmissible, </w:t>
      </w:r>
      <w:r w:rsidR="00431E0A">
        <w:rPr>
          <w:rFonts w:ascii="Times New Roman" w:eastAsia="Times New Roman" w:hAnsi="Times New Roman" w:cs="Times New Roman"/>
          <w:sz w:val="24"/>
          <w:szCs w:val="20"/>
        </w:rPr>
        <w:t>specific objections to such evidence wer</w:t>
      </w:r>
      <w:r w:rsidR="00D5655A">
        <w:rPr>
          <w:rFonts w:ascii="Times New Roman" w:eastAsia="Times New Roman" w:hAnsi="Times New Roman" w:cs="Times New Roman"/>
          <w:sz w:val="24"/>
          <w:szCs w:val="20"/>
        </w:rPr>
        <w:t>e</w:t>
      </w:r>
      <w:r w:rsidR="00431E0A">
        <w:rPr>
          <w:rFonts w:ascii="Times New Roman" w:eastAsia="Times New Roman" w:hAnsi="Times New Roman" w:cs="Times New Roman"/>
          <w:sz w:val="24"/>
          <w:szCs w:val="20"/>
        </w:rPr>
        <w:t xml:space="preserve"> not</w:t>
      </w:r>
      <w:r w:rsidR="00D5655A">
        <w:rPr>
          <w:rFonts w:ascii="Times New Roman" w:eastAsia="Times New Roman" w:hAnsi="Times New Roman" w:cs="Times New Roman"/>
          <w:sz w:val="24"/>
          <w:szCs w:val="20"/>
        </w:rPr>
        <w:t xml:space="preserve"> raised during the hearings and, consequently, PPL did not have an opportunity to </w:t>
      </w:r>
      <w:r w:rsidR="00655F53">
        <w:rPr>
          <w:rFonts w:ascii="Times New Roman" w:eastAsia="Times New Roman" w:hAnsi="Times New Roman" w:cs="Times New Roman"/>
          <w:sz w:val="24"/>
          <w:szCs w:val="20"/>
        </w:rPr>
        <w:t>respond and argue against any objections.  Accordingly, I will not strike any PPL evidence</w:t>
      </w:r>
      <w:r w:rsidR="007A3489">
        <w:rPr>
          <w:rFonts w:ascii="Times New Roman" w:eastAsia="Times New Roman" w:hAnsi="Times New Roman" w:cs="Times New Roman"/>
          <w:sz w:val="24"/>
          <w:szCs w:val="20"/>
        </w:rPr>
        <w:t xml:space="preserve"> here</w:t>
      </w:r>
      <w:r w:rsidR="00655F53">
        <w:rPr>
          <w:rFonts w:ascii="Times New Roman" w:eastAsia="Times New Roman" w:hAnsi="Times New Roman" w:cs="Times New Roman"/>
          <w:sz w:val="24"/>
          <w:szCs w:val="20"/>
        </w:rPr>
        <w:t xml:space="preserve">.  I </w:t>
      </w:r>
      <w:r w:rsidR="005D6E62">
        <w:rPr>
          <w:rFonts w:ascii="Times New Roman" w:eastAsia="Times New Roman" w:hAnsi="Times New Roman" w:cs="Times New Roman"/>
          <w:sz w:val="24"/>
          <w:szCs w:val="20"/>
        </w:rPr>
        <w:t xml:space="preserve">emphasize here, </w:t>
      </w:r>
      <w:r w:rsidR="00655F53">
        <w:rPr>
          <w:rFonts w:ascii="Times New Roman" w:eastAsia="Times New Roman" w:hAnsi="Times New Roman" w:cs="Times New Roman"/>
          <w:sz w:val="24"/>
          <w:szCs w:val="20"/>
        </w:rPr>
        <w:t xml:space="preserve">however, </w:t>
      </w:r>
      <w:r w:rsidR="00F15020">
        <w:rPr>
          <w:rFonts w:ascii="Times New Roman" w:eastAsia="Times New Roman" w:hAnsi="Times New Roman" w:cs="Times New Roman"/>
          <w:sz w:val="24"/>
          <w:szCs w:val="20"/>
        </w:rPr>
        <w:t xml:space="preserve">that the weight, if any, that I give to </w:t>
      </w:r>
      <w:r w:rsidR="00992820">
        <w:rPr>
          <w:rFonts w:ascii="Times New Roman" w:eastAsia="Times New Roman" w:hAnsi="Times New Roman" w:cs="Times New Roman"/>
          <w:sz w:val="24"/>
          <w:szCs w:val="20"/>
        </w:rPr>
        <w:t xml:space="preserve">such </w:t>
      </w:r>
      <w:r w:rsidR="00F15020">
        <w:rPr>
          <w:rFonts w:ascii="Times New Roman" w:eastAsia="Times New Roman" w:hAnsi="Times New Roman" w:cs="Times New Roman"/>
          <w:sz w:val="24"/>
          <w:szCs w:val="20"/>
        </w:rPr>
        <w:t>evidence</w:t>
      </w:r>
      <w:r w:rsidR="00992820">
        <w:rPr>
          <w:rFonts w:ascii="Times New Roman" w:eastAsia="Times New Roman" w:hAnsi="Times New Roman" w:cs="Times New Roman"/>
          <w:sz w:val="24"/>
          <w:szCs w:val="20"/>
        </w:rPr>
        <w:t xml:space="preserve"> will be determined by its reliability </w:t>
      </w:r>
      <w:r w:rsidR="00FD2726">
        <w:rPr>
          <w:rFonts w:ascii="Times New Roman" w:eastAsia="Times New Roman" w:hAnsi="Times New Roman" w:cs="Times New Roman"/>
          <w:sz w:val="24"/>
          <w:szCs w:val="20"/>
        </w:rPr>
        <w:t>as</w:t>
      </w:r>
      <w:r w:rsidR="00814E98">
        <w:rPr>
          <w:rFonts w:ascii="Times New Roman" w:eastAsia="Times New Roman" w:hAnsi="Times New Roman" w:cs="Times New Roman"/>
          <w:sz w:val="24"/>
          <w:szCs w:val="20"/>
        </w:rPr>
        <w:t xml:space="preserve"> support</w:t>
      </w:r>
      <w:r w:rsidR="00820DB0">
        <w:rPr>
          <w:rFonts w:ascii="Times New Roman" w:eastAsia="Times New Roman" w:hAnsi="Times New Roman" w:cs="Times New Roman"/>
          <w:sz w:val="24"/>
          <w:szCs w:val="20"/>
        </w:rPr>
        <w:t xml:space="preserve"> for PPL’s positions on </w:t>
      </w:r>
      <w:r w:rsidR="00814E98">
        <w:rPr>
          <w:rFonts w:ascii="Times New Roman" w:eastAsia="Times New Roman" w:hAnsi="Times New Roman" w:cs="Times New Roman"/>
          <w:sz w:val="24"/>
          <w:szCs w:val="20"/>
        </w:rPr>
        <w:t xml:space="preserve">the subjects at issue.  For example, if a PPL witness </w:t>
      </w:r>
      <w:r w:rsidR="008C65C0">
        <w:rPr>
          <w:rFonts w:ascii="Times New Roman" w:eastAsia="Times New Roman" w:hAnsi="Times New Roman" w:cs="Times New Roman"/>
          <w:sz w:val="24"/>
          <w:szCs w:val="20"/>
        </w:rPr>
        <w:t>provide</w:t>
      </w:r>
      <w:r w:rsidR="00924A79">
        <w:rPr>
          <w:rFonts w:ascii="Times New Roman" w:eastAsia="Times New Roman" w:hAnsi="Times New Roman" w:cs="Times New Roman"/>
          <w:sz w:val="24"/>
          <w:szCs w:val="20"/>
        </w:rPr>
        <w:t>d</w:t>
      </w:r>
      <w:r w:rsidR="008C65C0">
        <w:rPr>
          <w:rFonts w:ascii="Times New Roman" w:eastAsia="Times New Roman" w:hAnsi="Times New Roman" w:cs="Times New Roman"/>
          <w:sz w:val="24"/>
          <w:szCs w:val="20"/>
        </w:rPr>
        <w:t xml:space="preserve"> testimony about the proper wa</w:t>
      </w:r>
      <w:r w:rsidR="004C3D1F">
        <w:rPr>
          <w:rFonts w:ascii="Times New Roman" w:eastAsia="Times New Roman" w:hAnsi="Times New Roman" w:cs="Times New Roman"/>
          <w:sz w:val="24"/>
          <w:szCs w:val="20"/>
        </w:rPr>
        <w:t>y</w:t>
      </w:r>
      <w:r w:rsidR="008C65C0">
        <w:rPr>
          <w:rFonts w:ascii="Times New Roman" w:eastAsia="Times New Roman" w:hAnsi="Times New Roman" w:cs="Times New Roman"/>
          <w:sz w:val="24"/>
          <w:szCs w:val="20"/>
        </w:rPr>
        <w:t xml:space="preserve"> to spray or treat </w:t>
      </w:r>
      <w:r w:rsidR="005A1DD7">
        <w:rPr>
          <w:rFonts w:ascii="Times New Roman" w:eastAsia="Times New Roman" w:hAnsi="Times New Roman" w:cs="Times New Roman"/>
          <w:sz w:val="24"/>
          <w:szCs w:val="20"/>
        </w:rPr>
        <w:t xml:space="preserve">areas similar to the Hartmans’ </w:t>
      </w:r>
      <w:r w:rsidR="001C2941">
        <w:rPr>
          <w:rFonts w:ascii="Times New Roman" w:eastAsia="Times New Roman" w:hAnsi="Times New Roman" w:cs="Times New Roman"/>
          <w:sz w:val="24"/>
          <w:szCs w:val="20"/>
        </w:rPr>
        <w:t>property but</w:t>
      </w:r>
      <w:r w:rsidR="005A1DD7">
        <w:rPr>
          <w:rFonts w:ascii="Times New Roman" w:eastAsia="Times New Roman" w:hAnsi="Times New Roman" w:cs="Times New Roman"/>
          <w:sz w:val="24"/>
          <w:szCs w:val="20"/>
        </w:rPr>
        <w:t xml:space="preserve"> did not personally observe or witness the </w:t>
      </w:r>
      <w:r w:rsidR="002F7110">
        <w:rPr>
          <w:rFonts w:ascii="Times New Roman" w:eastAsia="Times New Roman" w:hAnsi="Times New Roman" w:cs="Times New Roman"/>
          <w:sz w:val="24"/>
          <w:szCs w:val="20"/>
        </w:rPr>
        <w:t>spraying or treatment of the Hartman’s property</w:t>
      </w:r>
      <w:r w:rsidR="00DE62A5">
        <w:rPr>
          <w:rFonts w:ascii="Times New Roman" w:eastAsia="Times New Roman" w:hAnsi="Times New Roman" w:cs="Times New Roman"/>
          <w:sz w:val="24"/>
          <w:szCs w:val="20"/>
        </w:rPr>
        <w:t xml:space="preserve">, I will give very little weight, if any, to that testimony </w:t>
      </w:r>
      <w:r w:rsidR="00171DF9">
        <w:rPr>
          <w:rFonts w:ascii="Times New Roman" w:eastAsia="Times New Roman" w:hAnsi="Times New Roman" w:cs="Times New Roman"/>
          <w:sz w:val="24"/>
          <w:szCs w:val="20"/>
        </w:rPr>
        <w:t>in support of PPL’s position that the spraying or treatment performed on the Hartmans’ property was</w:t>
      </w:r>
      <w:r w:rsidR="00891C04">
        <w:rPr>
          <w:rFonts w:ascii="Times New Roman" w:eastAsia="Times New Roman" w:hAnsi="Times New Roman" w:cs="Times New Roman"/>
          <w:sz w:val="24"/>
          <w:szCs w:val="20"/>
        </w:rPr>
        <w:t>, in fact,</w:t>
      </w:r>
      <w:r w:rsidR="00171DF9">
        <w:rPr>
          <w:rFonts w:ascii="Times New Roman" w:eastAsia="Times New Roman" w:hAnsi="Times New Roman" w:cs="Times New Roman"/>
          <w:sz w:val="24"/>
          <w:szCs w:val="20"/>
        </w:rPr>
        <w:t xml:space="preserve"> done properly.</w:t>
      </w:r>
      <w:r w:rsidR="002F7110">
        <w:rPr>
          <w:rFonts w:ascii="Times New Roman" w:eastAsia="Times New Roman" w:hAnsi="Times New Roman" w:cs="Times New Roman"/>
          <w:sz w:val="24"/>
          <w:szCs w:val="20"/>
        </w:rPr>
        <w:t xml:space="preserve">  </w:t>
      </w:r>
      <w:r w:rsidR="00992820">
        <w:rPr>
          <w:rFonts w:ascii="Times New Roman" w:eastAsia="Times New Roman" w:hAnsi="Times New Roman" w:cs="Times New Roman"/>
          <w:sz w:val="24"/>
          <w:szCs w:val="20"/>
        </w:rPr>
        <w:t xml:space="preserve"> </w:t>
      </w:r>
      <w:r w:rsidR="00F15020">
        <w:rPr>
          <w:rFonts w:ascii="Times New Roman" w:eastAsia="Times New Roman" w:hAnsi="Times New Roman" w:cs="Times New Roman"/>
          <w:sz w:val="24"/>
          <w:szCs w:val="20"/>
        </w:rPr>
        <w:t xml:space="preserve"> </w:t>
      </w:r>
      <w:r w:rsidR="00655F53">
        <w:rPr>
          <w:rFonts w:ascii="Times New Roman" w:eastAsia="Times New Roman" w:hAnsi="Times New Roman" w:cs="Times New Roman"/>
          <w:sz w:val="24"/>
          <w:szCs w:val="20"/>
        </w:rPr>
        <w:t xml:space="preserve">   </w:t>
      </w:r>
      <w:r w:rsidR="00431E0A">
        <w:rPr>
          <w:rFonts w:ascii="Times New Roman" w:eastAsia="Times New Roman" w:hAnsi="Times New Roman" w:cs="Times New Roman"/>
          <w:sz w:val="24"/>
          <w:szCs w:val="20"/>
        </w:rPr>
        <w:t xml:space="preserve">   </w:t>
      </w:r>
      <w:r w:rsidR="000C7A60">
        <w:rPr>
          <w:rFonts w:ascii="Times New Roman" w:eastAsia="Times New Roman" w:hAnsi="Times New Roman" w:cs="Times New Roman"/>
          <w:sz w:val="24"/>
          <w:szCs w:val="20"/>
        </w:rPr>
        <w:t xml:space="preserve"> </w:t>
      </w:r>
      <w:r w:rsidR="004A3D7F">
        <w:rPr>
          <w:rFonts w:ascii="Times New Roman" w:eastAsia="Times New Roman" w:hAnsi="Times New Roman" w:cs="Times New Roman"/>
          <w:sz w:val="24"/>
          <w:szCs w:val="20"/>
        </w:rPr>
        <w:t xml:space="preserve"> </w:t>
      </w:r>
      <w:r w:rsidR="00005D41">
        <w:rPr>
          <w:rFonts w:ascii="Times New Roman" w:eastAsia="Times New Roman" w:hAnsi="Times New Roman" w:cs="Times New Roman"/>
          <w:sz w:val="24"/>
          <w:szCs w:val="20"/>
        </w:rPr>
        <w:t xml:space="preserve"> </w:t>
      </w:r>
      <w:r w:rsidR="00331B00">
        <w:rPr>
          <w:rFonts w:ascii="Times New Roman" w:eastAsia="Times New Roman" w:hAnsi="Times New Roman" w:cs="Times New Roman"/>
          <w:sz w:val="24"/>
          <w:szCs w:val="20"/>
        </w:rPr>
        <w:t xml:space="preserve"> </w:t>
      </w:r>
    </w:p>
    <w:p w14:paraId="560C1E99" w14:textId="45585ABA" w:rsidR="00BF11ED" w:rsidRDefault="00BF11ED" w:rsidP="00D84283">
      <w:pPr>
        <w:spacing w:after="0" w:line="360" w:lineRule="auto"/>
        <w:rPr>
          <w:rFonts w:ascii="Times New Roman" w:eastAsia="Times New Roman" w:hAnsi="Times New Roman" w:cs="Times New Roman"/>
          <w:sz w:val="24"/>
          <w:szCs w:val="20"/>
        </w:rPr>
      </w:pPr>
    </w:p>
    <w:p w14:paraId="699D64BD" w14:textId="562E9853" w:rsidR="006B7F3C" w:rsidRDefault="006B7F3C" w:rsidP="00D84283">
      <w:pPr>
        <w:spacing w:after="0" w:line="360" w:lineRule="auto"/>
        <w:rPr>
          <w:rFonts w:ascii="Times New Roman" w:eastAsia="Times New Roman" w:hAnsi="Times New Roman" w:cs="Times New Roman"/>
          <w:sz w:val="24"/>
          <w:szCs w:val="20"/>
        </w:rPr>
      </w:pPr>
    </w:p>
    <w:p w14:paraId="5496970C" w14:textId="77777777" w:rsidR="006B7F3C" w:rsidRDefault="006B7F3C" w:rsidP="00D84283">
      <w:pPr>
        <w:spacing w:after="0" w:line="360" w:lineRule="auto"/>
        <w:rPr>
          <w:rFonts w:ascii="Times New Roman" w:eastAsia="Times New Roman" w:hAnsi="Times New Roman" w:cs="Times New Roman"/>
          <w:sz w:val="24"/>
          <w:szCs w:val="20"/>
        </w:rPr>
      </w:pPr>
    </w:p>
    <w:p w14:paraId="26FABA6A" w14:textId="4F6E1FE4" w:rsidR="00327EB9" w:rsidRPr="00327EB9" w:rsidRDefault="009269FA" w:rsidP="00327EB9">
      <w:pPr>
        <w:pStyle w:val="ListParagraph"/>
        <w:numPr>
          <w:ilvl w:val="0"/>
          <w:numId w:val="3"/>
        </w:numPr>
        <w:spacing w:after="0" w:line="240" w:lineRule="auto"/>
        <w:ind w:right="1440" w:hanging="720"/>
        <w:rPr>
          <w:rFonts w:ascii="Times New Roman" w:eastAsia="Times New Roman" w:hAnsi="Times New Roman" w:cs="Times New Roman"/>
          <w:sz w:val="24"/>
          <w:szCs w:val="20"/>
        </w:rPr>
      </w:pPr>
      <w:r>
        <w:rPr>
          <w:rFonts w:ascii="Times New Roman" w:eastAsia="Times New Roman" w:hAnsi="Times New Roman" w:cs="Times New Roman"/>
          <w:b/>
          <w:bCs/>
          <w:sz w:val="24"/>
          <w:szCs w:val="20"/>
        </w:rPr>
        <w:lastRenderedPageBreak/>
        <w:t>Statements in Complainants’ testimony and exhibits that are</w:t>
      </w:r>
      <w:r w:rsidR="00327EB9">
        <w:rPr>
          <w:rFonts w:ascii="Times New Roman" w:eastAsia="Times New Roman" w:hAnsi="Times New Roman" w:cs="Times New Roman"/>
          <w:b/>
          <w:bCs/>
          <w:sz w:val="24"/>
          <w:szCs w:val="20"/>
        </w:rPr>
        <w:t xml:space="preserve"> repetitious or cumulative</w:t>
      </w:r>
      <w:r w:rsidR="00304534">
        <w:rPr>
          <w:rFonts w:ascii="Times New Roman" w:eastAsia="Times New Roman" w:hAnsi="Times New Roman" w:cs="Times New Roman"/>
          <w:b/>
          <w:bCs/>
          <w:sz w:val="24"/>
          <w:szCs w:val="20"/>
        </w:rPr>
        <w:t>.</w:t>
      </w:r>
    </w:p>
    <w:p w14:paraId="6D5185E9" w14:textId="48F4957D" w:rsidR="00327EB9" w:rsidRDefault="00327EB9" w:rsidP="006B7F3C">
      <w:pPr>
        <w:spacing w:after="0" w:line="360" w:lineRule="auto"/>
        <w:rPr>
          <w:rFonts w:ascii="Times New Roman" w:eastAsia="Times New Roman" w:hAnsi="Times New Roman" w:cs="Times New Roman"/>
          <w:b/>
          <w:bCs/>
          <w:sz w:val="24"/>
          <w:szCs w:val="20"/>
        </w:rPr>
      </w:pPr>
    </w:p>
    <w:p w14:paraId="47297369" w14:textId="40511FEE" w:rsidR="00A865E4" w:rsidRDefault="00733B97" w:rsidP="006B7F3C">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PPL correctly argues that Section 5.401 of the </w:t>
      </w:r>
      <w:r w:rsidR="00590350">
        <w:rPr>
          <w:rFonts w:ascii="Times New Roman" w:eastAsia="Times New Roman" w:hAnsi="Times New Roman" w:cs="Times New Roman"/>
          <w:sz w:val="24"/>
          <w:szCs w:val="20"/>
        </w:rPr>
        <w:t>C</w:t>
      </w:r>
      <w:r>
        <w:rPr>
          <w:rFonts w:ascii="Times New Roman" w:eastAsia="Times New Roman" w:hAnsi="Times New Roman" w:cs="Times New Roman"/>
          <w:sz w:val="24"/>
          <w:szCs w:val="20"/>
        </w:rPr>
        <w:t>ommission’s regulations provides</w:t>
      </w:r>
      <w:r w:rsidR="00275ABD">
        <w:rPr>
          <w:rFonts w:ascii="Times New Roman" w:eastAsia="Times New Roman" w:hAnsi="Times New Roman" w:cs="Times New Roman"/>
          <w:sz w:val="24"/>
          <w:szCs w:val="20"/>
        </w:rPr>
        <w:t xml:space="preserve"> that evidence will be excluded if </w:t>
      </w:r>
      <w:r w:rsidR="002A02C6">
        <w:rPr>
          <w:rFonts w:ascii="Times New Roman" w:eastAsia="Times New Roman" w:hAnsi="Times New Roman" w:cs="Times New Roman"/>
          <w:sz w:val="24"/>
          <w:szCs w:val="20"/>
        </w:rPr>
        <w:t>it is repetitious or cumulative.  52 Pa. Code §5.</w:t>
      </w:r>
      <w:r w:rsidR="000E268A">
        <w:rPr>
          <w:rFonts w:ascii="Times New Roman" w:eastAsia="Times New Roman" w:hAnsi="Times New Roman" w:cs="Times New Roman"/>
          <w:sz w:val="24"/>
          <w:szCs w:val="20"/>
        </w:rPr>
        <w:t xml:space="preserve">401(b)(1).  The </w:t>
      </w:r>
      <w:r w:rsidR="00081163">
        <w:rPr>
          <w:rFonts w:ascii="Times New Roman" w:eastAsia="Times New Roman" w:hAnsi="Times New Roman" w:cs="Times New Roman"/>
          <w:sz w:val="24"/>
          <w:szCs w:val="20"/>
        </w:rPr>
        <w:t>C</w:t>
      </w:r>
      <w:r w:rsidR="000E268A">
        <w:rPr>
          <w:rFonts w:ascii="Times New Roman" w:eastAsia="Times New Roman" w:hAnsi="Times New Roman" w:cs="Times New Roman"/>
          <w:sz w:val="24"/>
          <w:szCs w:val="20"/>
        </w:rPr>
        <w:t>ommission’s regulations also provide, however, that</w:t>
      </w:r>
      <w:r w:rsidR="00D331FC">
        <w:rPr>
          <w:rFonts w:ascii="Times New Roman" w:eastAsia="Times New Roman" w:hAnsi="Times New Roman" w:cs="Times New Roman"/>
          <w:sz w:val="24"/>
          <w:szCs w:val="20"/>
        </w:rPr>
        <w:t xml:space="preserve"> “[t]he presiding officer shall have all necessary authority to control the receipt of evidence </w:t>
      </w:r>
      <w:proofErr w:type="gramStart"/>
      <w:r w:rsidR="00D331FC">
        <w:rPr>
          <w:rFonts w:ascii="Times New Roman" w:eastAsia="Times New Roman" w:hAnsi="Times New Roman" w:cs="Times New Roman"/>
          <w:sz w:val="24"/>
          <w:szCs w:val="20"/>
        </w:rPr>
        <w:t>. . . .</w:t>
      </w:r>
      <w:proofErr w:type="gramEnd"/>
      <w:r w:rsidR="00D331FC">
        <w:rPr>
          <w:rFonts w:ascii="Times New Roman" w:eastAsia="Times New Roman" w:hAnsi="Times New Roman" w:cs="Times New Roman"/>
          <w:sz w:val="24"/>
          <w:szCs w:val="20"/>
        </w:rPr>
        <w:t>”</w:t>
      </w:r>
      <w:r w:rsidR="00982ACE">
        <w:rPr>
          <w:rFonts w:ascii="Times New Roman" w:eastAsia="Times New Roman" w:hAnsi="Times New Roman" w:cs="Times New Roman"/>
          <w:sz w:val="24"/>
          <w:szCs w:val="20"/>
        </w:rPr>
        <w:t xml:space="preserve">  52 Pa. Code §5.403(a).  </w:t>
      </w:r>
      <w:r w:rsidR="00D231CA">
        <w:rPr>
          <w:rFonts w:ascii="Times New Roman" w:eastAsia="Times New Roman" w:hAnsi="Times New Roman" w:cs="Times New Roman"/>
          <w:sz w:val="24"/>
          <w:szCs w:val="20"/>
        </w:rPr>
        <w:t xml:space="preserve">PPL argues that </w:t>
      </w:r>
      <w:r w:rsidR="00343C18">
        <w:rPr>
          <w:rFonts w:ascii="Times New Roman" w:eastAsia="Times New Roman" w:hAnsi="Times New Roman" w:cs="Times New Roman"/>
          <w:sz w:val="24"/>
          <w:szCs w:val="20"/>
        </w:rPr>
        <w:t>the</w:t>
      </w:r>
      <w:r w:rsidR="00D231CA">
        <w:rPr>
          <w:rFonts w:ascii="Times New Roman" w:eastAsia="Times New Roman" w:hAnsi="Times New Roman" w:cs="Times New Roman"/>
          <w:sz w:val="24"/>
          <w:szCs w:val="20"/>
        </w:rPr>
        <w:t xml:space="preserve"> Hartman exhibits</w:t>
      </w:r>
      <w:r w:rsidR="00343C18">
        <w:rPr>
          <w:rFonts w:ascii="Times New Roman" w:eastAsia="Times New Roman" w:hAnsi="Times New Roman" w:cs="Times New Roman"/>
          <w:sz w:val="24"/>
          <w:szCs w:val="20"/>
        </w:rPr>
        <w:t xml:space="preserve"> listed on pages 15-</w:t>
      </w:r>
      <w:r w:rsidR="00590350">
        <w:rPr>
          <w:rFonts w:ascii="Times New Roman" w:eastAsia="Times New Roman" w:hAnsi="Times New Roman" w:cs="Times New Roman"/>
          <w:sz w:val="24"/>
          <w:szCs w:val="20"/>
        </w:rPr>
        <w:t xml:space="preserve">18 of its Motion should be stricken as being repetitive of </w:t>
      </w:r>
      <w:r w:rsidR="006D166A">
        <w:rPr>
          <w:rFonts w:ascii="Times New Roman" w:eastAsia="Times New Roman" w:hAnsi="Times New Roman" w:cs="Times New Roman"/>
          <w:sz w:val="24"/>
          <w:szCs w:val="20"/>
        </w:rPr>
        <w:t xml:space="preserve">or cumulative with </w:t>
      </w:r>
      <w:r w:rsidR="00590350">
        <w:rPr>
          <w:rFonts w:ascii="Times New Roman" w:eastAsia="Times New Roman" w:hAnsi="Times New Roman" w:cs="Times New Roman"/>
          <w:sz w:val="24"/>
          <w:szCs w:val="20"/>
        </w:rPr>
        <w:t>other evidence already in the record.</w:t>
      </w:r>
      <w:r w:rsidR="00C641C4">
        <w:rPr>
          <w:rFonts w:ascii="Times New Roman" w:eastAsia="Times New Roman" w:hAnsi="Times New Roman" w:cs="Times New Roman"/>
          <w:sz w:val="24"/>
          <w:szCs w:val="20"/>
        </w:rPr>
        <w:t xml:space="preserve">  </w:t>
      </w:r>
      <w:proofErr w:type="gramStart"/>
      <w:r w:rsidR="00C641C4">
        <w:rPr>
          <w:rFonts w:ascii="Times New Roman" w:eastAsia="Times New Roman" w:hAnsi="Times New Roman" w:cs="Times New Roman"/>
          <w:sz w:val="24"/>
          <w:szCs w:val="20"/>
        </w:rPr>
        <w:t>All of</w:t>
      </w:r>
      <w:proofErr w:type="gramEnd"/>
      <w:r w:rsidR="00C641C4">
        <w:rPr>
          <w:rFonts w:ascii="Times New Roman" w:eastAsia="Times New Roman" w:hAnsi="Times New Roman" w:cs="Times New Roman"/>
          <w:sz w:val="24"/>
          <w:szCs w:val="20"/>
        </w:rPr>
        <w:t xml:space="preserve"> the challenged exhibits are included either in whole or in part </w:t>
      </w:r>
      <w:r w:rsidR="00B37CA4">
        <w:rPr>
          <w:rFonts w:ascii="Times New Roman" w:eastAsia="Times New Roman" w:hAnsi="Times New Roman" w:cs="Times New Roman"/>
          <w:sz w:val="24"/>
          <w:szCs w:val="20"/>
        </w:rPr>
        <w:t>in other record evidence</w:t>
      </w:r>
      <w:r w:rsidR="00C641C4">
        <w:rPr>
          <w:rFonts w:ascii="Times New Roman" w:eastAsia="Times New Roman" w:hAnsi="Times New Roman" w:cs="Times New Roman"/>
          <w:sz w:val="24"/>
          <w:szCs w:val="20"/>
        </w:rPr>
        <w:t xml:space="preserve"> </w:t>
      </w:r>
      <w:r w:rsidR="00B37CA4">
        <w:rPr>
          <w:rFonts w:ascii="Times New Roman" w:eastAsia="Times New Roman" w:hAnsi="Times New Roman" w:cs="Times New Roman"/>
          <w:sz w:val="24"/>
          <w:szCs w:val="20"/>
        </w:rPr>
        <w:t>that has been admitted in this proceeding.</w:t>
      </w:r>
    </w:p>
    <w:p w14:paraId="478512FA" w14:textId="177E8AA8" w:rsidR="004B0D06" w:rsidRDefault="004B0D06" w:rsidP="006B7F3C">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 have reviewed </w:t>
      </w:r>
      <w:r w:rsidR="007230D1">
        <w:rPr>
          <w:rFonts w:ascii="Times New Roman" w:eastAsia="Times New Roman" w:hAnsi="Times New Roman" w:cs="Times New Roman"/>
          <w:sz w:val="24"/>
          <w:szCs w:val="20"/>
        </w:rPr>
        <w:t>t</w:t>
      </w:r>
      <w:r>
        <w:rPr>
          <w:rFonts w:ascii="Times New Roman" w:eastAsia="Times New Roman" w:hAnsi="Times New Roman" w:cs="Times New Roman"/>
          <w:sz w:val="24"/>
          <w:szCs w:val="20"/>
        </w:rPr>
        <w:t xml:space="preserve">he challenged </w:t>
      </w:r>
      <w:r w:rsidR="00A446D7">
        <w:rPr>
          <w:rFonts w:ascii="Times New Roman" w:eastAsia="Times New Roman" w:hAnsi="Times New Roman" w:cs="Times New Roman"/>
          <w:sz w:val="24"/>
          <w:szCs w:val="20"/>
        </w:rPr>
        <w:t>exhibits and</w:t>
      </w:r>
      <w:r w:rsidR="007230D1">
        <w:rPr>
          <w:rFonts w:ascii="Times New Roman" w:eastAsia="Times New Roman" w:hAnsi="Times New Roman" w:cs="Times New Roman"/>
          <w:sz w:val="24"/>
          <w:szCs w:val="20"/>
        </w:rPr>
        <w:t xml:space="preserve"> conclude that it is not necessary to </w:t>
      </w:r>
      <w:r w:rsidR="00136D2C">
        <w:rPr>
          <w:rFonts w:ascii="Times New Roman" w:eastAsia="Times New Roman" w:hAnsi="Times New Roman" w:cs="Times New Roman"/>
          <w:sz w:val="24"/>
          <w:szCs w:val="20"/>
        </w:rPr>
        <w:t xml:space="preserve">strike them from the record.  </w:t>
      </w:r>
      <w:r w:rsidR="00D3207D">
        <w:rPr>
          <w:rFonts w:ascii="Times New Roman" w:eastAsia="Times New Roman" w:hAnsi="Times New Roman" w:cs="Times New Roman"/>
          <w:sz w:val="24"/>
          <w:szCs w:val="20"/>
        </w:rPr>
        <w:t>C</w:t>
      </w:r>
      <w:r w:rsidR="0042184F">
        <w:rPr>
          <w:rFonts w:ascii="Times New Roman" w:eastAsia="Times New Roman" w:hAnsi="Times New Roman" w:cs="Times New Roman"/>
          <w:sz w:val="24"/>
          <w:szCs w:val="20"/>
        </w:rPr>
        <w:t xml:space="preserve">ertain evidence </w:t>
      </w:r>
      <w:r w:rsidR="00136D2C">
        <w:rPr>
          <w:rFonts w:ascii="Times New Roman" w:eastAsia="Times New Roman" w:hAnsi="Times New Roman" w:cs="Times New Roman"/>
          <w:sz w:val="24"/>
          <w:szCs w:val="20"/>
        </w:rPr>
        <w:t xml:space="preserve">will </w:t>
      </w:r>
      <w:r w:rsidR="00D3207D">
        <w:rPr>
          <w:rFonts w:ascii="Times New Roman" w:eastAsia="Times New Roman" w:hAnsi="Times New Roman" w:cs="Times New Roman"/>
          <w:sz w:val="24"/>
          <w:szCs w:val="20"/>
        </w:rPr>
        <w:t xml:space="preserve">simply </w:t>
      </w:r>
      <w:r w:rsidR="00136D2C">
        <w:rPr>
          <w:rFonts w:ascii="Times New Roman" w:eastAsia="Times New Roman" w:hAnsi="Times New Roman" w:cs="Times New Roman"/>
          <w:sz w:val="24"/>
          <w:szCs w:val="20"/>
        </w:rPr>
        <w:t>be</w:t>
      </w:r>
      <w:r w:rsidR="00647391">
        <w:rPr>
          <w:rFonts w:ascii="Times New Roman" w:eastAsia="Times New Roman" w:hAnsi="Times New Roman" w:cs="Times New Roman"/>
          <w:sz w:val="24"/>
          <w:szCs w:val="20"/>
        </w:rPr>
        <w:t xml:space="preserve"> include</w:t>
      </w:r>
      <w:r w:rsidR="00D3207D">
        <w:rPr>
          <w:rFonts w:ascii="Times New Roman" w:eastAsia="Times New Roman" w:hAnsi="Times New Roman" w:cs="Times New Roman"/>
          <w:sz w:val="24"/>
          <w:szCs w:val="20"/>
        </w:rPr>
        <w:t>d</w:t>
      </w:r>
      <w:r w:rsidR="00647391">
        <w:rPr>
          <w:rFonts w:ascii="Times New Roman" w:eastAsia="Times New Roman" w:hAnsi="Times New Roman" w:cs="Times New Roman"/>
          <w:sz w:val="24"/>
          <w:szCs w:val="20"/>
        </w:rPr>
        <w:t xml:space="preserve"> twice in the record.</w:t>
      </w:r>
      <w:r w:rsidR="00D3207D">
        <w:rPr>
          <w:rFonts w:ascii="Times New Roman" w:eastAsia="Times New Roman" w:hAnsi="Times New Roman" w:cs="Times New Roman"/>
          <w:sz w:val="24"/>
          <w:szCs w:val="20"/>
        </w:rPr>
        <w:t xml:space="preserve">  To the extent that </w:t>
      </w:r>
      <w:r w:rsidR="004C6028">
        <w:rPr>
          <w:rFonts w:ascii="Times New Roman" w:eastAsia="Times New Roman" w:hAnsi="Times New Roman" w:cs="Times New Roman"/>
          <w:sz w:val="24"/>
          <w:szCs w:val="20"/>
        </w:rPr>
        <w:t xml:space="preserve">certain of the challenged exhibits constitute only a portion of </w:t>
      </w:r>
      <w:r w:rsidR="00FE67A3">
        <w:rPr>
          <w:rFonts w:ascii="Times New Roman" w:eastAsia="Times New Roman" w:hAnsi="Times New Roman" w:cs="Times New Roman"/>
          <w:sz w:val="24"/>
          <w:szCs w:val="20"/>
        </w:rPr>
        <w:t xml:space="preserve">a document that has been included in full </w:t>
      </w:r>
      <w:r w:rsidR="006C623D">
        <w:rPr>
          <w:rFonts w:ascii="Times New Roman" w:eastAsia="Times New Roman" w:hAnsi="Times New Roman" w:cs="Times New Roman"/>
          <w:sz w:val="24"/>
          <w:szCs w:val="20"/>
        </w:rPr>
        <w:t>elsewhere in the record</w:t>
      </w:r>
      <w:r w:rsidR="00154582">
        <w:rPr>
          <w:rFonts w:ascii="Times New Roman" w:eastAsia="Times New Roman" w:hAnsi="Times New Roman" w:cs="Times New Roman"/>
          <w:sz w:val="24"/>
          <w:szCs w:val="20"/>
        </w:rPr>
        <w:t>, and it is relevant to a finding or determination</w:t>
      </w:r>
      <w:r w:rsidR="00B425CB">
        <w:rPr>
          <w:rFonts w:ascii="Times New Roman" w:eastAsia="Times New Roman" w:hAnsi="Times New Roman" w:cs="Times New Roman"/>
          <w:sz w:val="24"/>
          <w:szCs w:val="20"/>
        </w:rPr>
        <w:t xml:space="preserve"> in this proceeding</w:t>
      </w:r>
      <w:r w:rsidR="00154582">
        <w:rPr>
          <w:rFonts w:ascii="Times New Roman" w:eastAsia="Times New Roman" w:hAnsi="Times New Roman" w:cs="Times New Roman"/>
          <w:sz w:val="24"/>
          <w:szCs w:val="20"/>
        </w:rPr>
        <w:t xml:space="preserve">, </w:t>
      </w:r>
      <w:r w:rsidR="00AB5E9D">
        <w:rPr>
          <w:rFonts w:ascii="Times New Roman" w:eastAsia="Times New Roman" w:hAnsi="Times New Roman" w:cs="Times New Roman"/>
          <w:sz w:val="24"/>
          <w:szCs w:val="20"/>
        </w:rPr>
        <w:t xml:space="preserve">the </w:t>
      </w:r>
      <w:r w:rsidR="0048527B">
        <w:rPr>
          <w:rFonts w:ascii="Times New Roman" w:eastAsia="Times New Roman" w:hAnsi="Times New Roman" w:cs="Times New Roman"/>
          <w:sz w:val="24"/>
          <w:szCs w:val="20"/>
        </w:rPr>
        <w:t>parties</w:t>
      </w:r>
      <w:r w:rsidR="00154582">
        <w:rPr>
          <w:rFonts w:ascii="Times New Roman" w:eastAsia="Times New Roman" w:hAnsi="Times New Roman" w:cs="Times New Roman"/>
          <w:sz w:val="24"/>
          <w:szCs w:val="20"/>
        </w:rPr>
        <w:t xml:space="preserve"> may simply refer </w:t>
      </w:r>
      <w:r w:rsidR="009F6940">
        <w:rPr>
          <w:rFonts w:ascii="Times New Roman" w:eastAsia="Times New Roman" w:hAnsi="Times New Roman" w:cs="Times New Roman"/>
          <w:sz w:val="24"/>
          <w:szCs w:val="20"/>
        </w:rPr>
        <w:t xml:space="preserve">to </w:t>
      </w:r>
      <w:r w:rsidR="00154582">
        <w:rPr>
          <w:rFonts w:ascii="Times New Roman" w:eastAsia="Times New Roman" w:hAnsi="Times New Roman" w:cs="Times New Roman"/>
          <w:sz w:val="24"/>
          <w:szCs w:val="20"/>
        </w:rPr>
        <w:t>the complete version of the evidence</w:t>
      </w:r>
      <w:r w:rsidR="006C25F1">
        <w:rPr>
          <w:rFonts w:ascii="Times New Roman" w:eastAsia="Times New Roman" w:hAnsi="Times New Roman" w:cs="Times New Roman"/>
          <w:sz w:val="24"/>
          <w:szCs w:val="20"/>
        </w:rPr>
        <w:t xml:space="preserve"> and disregard </w:t>
      </w:r>
      <w:r w:rsidR="00C70128">
        <w:rPr>
          <w:rFonts w:ascii="Times New Roman" w:eastAsia="Times New Roman" w:hAnsi="Times New Roman" w:cs="Times New Roman"/>
          <w:sz w:val="24"/>
          <w:szCs w:val="20"/>
        </w:rPr>
        <w:t>th</w:t>
      </w:r>
      <w:r w:rsidR="00A1761C">
        <w:rPr>
          <w:rFonts w:ascii="Times New Roman" w:eastAsia="Times New Roman" w:hAnsi="Times New Roman" w:cs="Times New Roman"/>
          <w:sz w:val="24"/>
          <w:szCs w:val="20"/>
        </w:rPr>
        <w:t>e same evidence</w:t>
      </w:r>
      <w:r w:rsidR="00C70128">
        <w:rPr>
          <w:rFonts w:ascii="Times New Roman" w:eastAsia="Times New Roman" w:hAnsi="Times New Roman" w:cs="Times New Roman"/>
          <w:sz w:val="24"/>
          <w:szCs w:val="20"/>
        </w:rPr>
        <w:t xml:space="preserve"> elsewhere.  I see no harm or prejudice in </w:t>
      </w:r>
      <w:r w:rsidR="004B4A63">
        <w:rPr>
          <w:rFonts w:ascii="Times New Roman" w:eastAsia="Times New Roman" w:hAnsi="Times New Roman" w:cs="Times New Roman"/>
          <w:sz w:val="24"/>
          <w:szCs w:val="20"/>
        </w:rPr>
        <w:t>allowing in the record the challenged exhibits.  Accordingly, unless stri</w:t>
      </w:r>
      <w:r w:rsidR="00B747CB">
        <w:rPr>
          <w:rFonts w:ascii="Times New Roman" w:eastAsia="Times New Roman" w:hAnsi="Times New Roman" w:cs="Times New Roman"/>
          <w:sz w:val="24"/>
          <w:szCs w:val="20"/>
        </w:rPr>
        <w:t xml:space="preserve">cken on other grounds </w:t>
      </w:r>
      <w:r w:rsidR="00440941">
        <w:rPr>
          <w:rFonts w:ascii="Times New Roman" w:eastAsia="Times New Roman" w:hAnsi="Times New Roman" w:cs="Times New Roman"/>
          <w:sz w:val="24"/>
          <w:szCs w:val="20"/>
        </w:rPr>
        <w:t xml:space="preserve">elsewhere </w:t>
      </w:r>
      <w:r w:rsidR="00B747CB">
        <w:rPr>
          <w:rFonts w:ascii="Times New Roman" w:eastAsia="Times New Roman" w:hAnsi="Times New Roman" w:cs="Times New Roman"/>
          <w:sz w:val="24"/>
          <w:szCs w:val="20"/>
        </w:rPr>
        <w:t xml:space="preserve">in this Order, PPL’s Motion to strike </w:t>
      </w:r>
      <w:r w:rsidR="00A55B89">
        <w:rPr>
          <w:rFonts w:ascii="Times New Roman" w:eastAsia="Times New Roman" w:hAnsi="Times New Roman" w:cs="Times New Roman"/>
          <w:sz w:val="24"/>
          <w:szCs w:val="20"/>
        </w:rPr>
        <w:t xml:space="preserve">certain Hartman exhibits </w:t>
      </w:r>
      <w:proofErr w:type="gramStart"/>
      <w:r w:rsidR="00A55B89">
        <w:rPr>
          <w:rFonts w:ascii="Times New Roman" w:eastAsia="Times New Roman" w:hAnsi="Times New Roman" w:cs="Times New Roman"/>
          <w:sz w:val="24"/>
          <w:szCs w:val="20"/>
        </w:rPr>
        <w:t>on the basis of</w:t>
      </w:r>
      <w:proofErr w:type="gramEnd"/>
      <w:r w:rsidR="00A55B89">
        <w:rPr>
          <w:rFonts w:ascii="Times New Roman" w:eastAsia="Times New Roman" w:hAnsi="Times New Roman" w:cs="Times New Roman"/>
          <w:sz w:val="24"/>
          <w:szCs w:val="20"/>
        </w:rPr>
        <w:t xml:space="preserve"> being repetitive or cumulative is denied.</w:t>
      </w:r>
      <w:r w:rsidR="00A1761C">
        <w:rPr>
          <w:rFonts w:ascii="Times New Roman" w:eastAsia="Times New Roman" w:hAnsi="Times New Roman" w:cs="Times New Roman"/>
          <w:sz w:val="24"/>
          <w:szCs w:val="20"/>
        </w:rPr>
        <w:t xml:space="preserve"> </w:t>
      </w:r>
      <w:r w:rsidR="00154582">
        <w:rPr>
          <w:rFonts w:ascii="Times New Roman" w:eastAsia="Times New Roman" w:hAnsi="Times New Roman" w:cs="Times New Roman"/>
          <w:sz w:val="24"/>
          <w:szCs w:val="20"/>
        </w:rPr>
        <w:t xml:space="preserve"> </w:t>
      </w:r>
      <w:r w:rsidR="00D3207D">
        <w:rPr>
          <w:rFonts w:ascii="Times New Roman" w:eastAsia="Times New Roman" w:hAnsi="Times New Roman" w:cs="Times New Roman"/>
          <w:sz w:val="24"/>
          <w:szCs w:val="20"/>
        </w:rPr>
        <w:t xml:space="preserve"> </w:t>
      </w:r>
      <w:r w:rsidR="00647391">
        <w:rPr>
          <w:rFonts w:ascii="Times New Roman" w:eastAsia="Times New Roman" w:hAnsi="Times New Roman" w:cs="Times New Roman"/>
          <w:sz w:val="24"/>
          <w:szCs w:val="20"/>
        </w:rPr>
        <w:t xml:space="preserve">  </w:t>
      </w:r>
      <w:r w:rsidR="00136D2C">
        <w:rPr>
          <w:rFonts w:ascii="Times New Roman" w:eastAsia="Times New Roman" w:hAnsi="Times New Roman" w:cs="Times New Roman"/>
          <w:sz w:val="24"/>
          <w:szCs w:val="20"/>
        </w:rPr>
        <w:t xml:space="preserve">  </w:t>
      </w:r>
      <w:r w:rsidR="00A446D7">
        <w:rPr>
          <w:rFonts w:ascii="Times New Roman" w:eastAsia="Times New Roman" w:hAnsi="Times New Roman" w:cs="Times New Roman"/>
          <w:sz w:val="24"/>
          <w:szCs w:val="20"/>
        </w:rPr>
        <w:t xml:space="preserve"> </w:t>
      </w:r>
    </w:p>
    <w:p w14:paraId="428E042F" w14:textId="2AD49DFA" w:rsidR="00202E2B" w:rsidRDefault="00202E2B" w:rsidP="006B7F3C">
      <w:pPr>
        <w:spacing w:after="0" w:line="360" w:lineRule="auto"/>
        <w:rPr>
          <w:rFonts w:ascii="Times New Roman" w:eastAsia="Times New Roman" w:hAnsi="Times New Roman" w:cs="Times New Roman"/>
          <w:sz w:val="24"/>
          <w:szCs w:val="20"/>
        </w:rPr>
      </w:pPr>
    </w:p>
    <w:p w14:paraId="39BD3B77" w14:textId="752960A9" w:rsidR="00202E2B" w:rsidRDefault="00D32A6D" w:rsidP="00E66236">
      <w:pPr>
        <w:pStyle w:val="ListParagraph"/>
        <w:numPr>
          <w:ilvl w:val="0"/>
          <w:numId w:val="3"/>
        </w:numPr>
        <w:spacing w:after="0" w:line="360" w:lineRule="auto"/>
        <w:ind w:hanging="720"/>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Irrelevant statements in Complainants’ testimony and exhibits</w:t>
      </w:r>
      <w:r w:rsidR="00304534">
        <w:rPr>
          <w:rFonts w:ascii="Times New Roman" w:eastAsia="Times New Roman" w:hAnsi="Times New Roman" w:cs="Times New Roman"/>
          <w:b/>
          <w:bCs/>
          <w:sz w:val="24"/>
          <w:szCs w:val="20"/>
        </w:rPr>
        <w:t>.</w:t>
      </w:r>
    </w:p>
    <w:p w14:paraId="37668EA4" w14:textId="147781FA" w:rsidR="00E66236" w:rsidRDefault="00E66236" w:rsidP="00E66236">
      <w:pPr>
        <w:spacing w:after="0" w:line="360" w:lineRule="auto"/>
        <w:rPr>
          <w:rFonts w:ascii="Times New Roman" w:eastAsia="Times New Roman" w:hAnsi="Times New Roman" w:cs="Times New Roman"/>
          <w:b/>
          <w:bCs/>
          <w:sz w:val="24"/>
          <w:szCs w:val="20"/>
        </w:rPr>
      </w:pPr>
    </w:p>
    <w:p w14:paraId="6400CA37" w14:textId="77777777" w:rsidR="008E2374" w:rsidRDefault="00022EDC" w:rsidP="009F106D">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PPL challenges the admission of Hartman Exhibit Nos. </w:t>
      </w:r>
      <w:r w:rsidR="009F106D">
        <w:rPr>
          <w:rFonts w:ascii="Times New Roman" w:eastAsia="Times New Roman" w:hAnsi="Times New Roman" w:cs="Times New Roman"/>
          <w:sz w:val="24"/>
          <w:szCs w:val="20"/>
        </w:rPr>
        <w:t xml:space="preserve">11, 38, 39 and 40-44 on the ground that they are not relevant to </w:t>
      </w:r>
      <w:r w:rsidR="00F15189">
        <w:rPr>
          <w:rFonts w:ascii="Times New Roman" w:eastAsia="Times New Roman" w:hAnsi="Times New Roman" w:cs="Times New Roman"/>
          <w:sz w:val="24"/>
          <w:szCs w:val="20"/>
        </w:rPr>
        <w:t xml:space="preserve">or probative of </w:t>
      </w:r>
      <w:r w:rsidR="009F106D">
        <w:rPr>
          <w:rFonts w:ascii="Times New Roman" w:eastAsia="Times New Roman" w:hAnsi="Times New Roman" w:cs="Times New Roman"/>
          <w:sz w:val="24"/>
          <w:szCs w:val="20"/>
        </w:rPr>
        <w:t>any</w:t>
      </w:r>
      <w:r w:rsidR="00F15189">
        <w:rPr>
          <w:rFonts w:ascii="Times New Roman" w:eastAsia="Times New Roman" w:hAnsi="Times New Roman" w:cs="Times New Roman"/>
          <w:sz w:val="24"/>
          <w:szCs w:val="20"/>
        </w:rPr>
        <w:t xml:space="preserve"> issues to be decided in this proceeding.  </w:t>
      </w:r>
    </w:p>
    <w:p w14:paraId="6589E1BB" w14:textId="77777777" w:rsidR="008E2374" w:rsidRDefault="008E2374" w:rsidP="009F106D">
      <w:pPr>
        <w:spacing w:after="0" w:line="360" w:lineRule="auto"/>
        <w:ind w:firstLine="1440"/>
        <w:rPr>
          <w:rFonts w:ascii="Times New Roman" w:eastAsia="Times New Roman" w:hAnsi="Times New Roman" w:cs="Times New Roman"/>
          <w:sz w:val="24"/>
          <w:szCs w:val="20"/>
        </w:rPr>
      </w:pPr>
    </w:p>
    <w:p w14:paraId="3A3AB98B" w14:textId="4110B8C7" w:rsidR="00F9638C" w:rsidRDefault="00F606DC" w:rsidP="009F106D">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With respect to Hartman Ex</w:t>
      </w:r>
      <w:r w:rsidR="004150F3">
        <w:rPr>
          <w:rFonts w:ascii="Times New Roman" w:eastAsia="Times New Roman" w:hAnsi="Times New Roman" w:cs="Times New Roman"/>
          <w:sz w:val="24"/>
          <w:szCs w:val="20"/>
        </w:rPr>
        <w:t>hibit</w:t>
      </w:r>
      <w:r>
        <w:rPr>
          <w:rFonts w:ascii="Times New Roman" w:eastAsia="Times New Roman" w:hAnsi="Times New Roman" w:cs="Times New Roman"/>
          <w:sz w:val="24"/>
          <w:szCs w:val="20"/>
        </w:rPr>
        <w:t xml:space="preserve"> 11, PPL argues that</w:t>
      </w:r>
      <w:r w:rsidR="00904ABD">
        <w:rPr>
          <w:rFonts w:ascii="Times New Roman" w:eastAsia="Times New Roman" w:hAnsi="Times New Roman" w:cs="Times New Roman"/>
          <w:sz w:val="24"/>
          <w:szCs w:val="20"/>
        </w:rPr>
        <w:t xml:space="preserve"> the development plan </w:t>
      </w:r>
      <w:r w:rsidR="003D7926">
        <w:rPr>
          <w:rFonts w:ascii="Times New Roman" w:eastAsia="Times New Roman" w:hAnsi="Times New Roman" w:cs="Times New Roman"/>
          <w:sz w:val="24"/>
          <w:szCs w:val="20"/>
        </w:rPr>
        <w:t>of</w:t>
      </w:r>
      <w:r w:rsidR="00904ABD">
        <w:rPr>
          <w:rFonts w:ascii="Times New Roman" w:eastAsia="Times New Roman" w:hAnsi="Times New Roman" w:cs="Times New Roman"/>
          <w:sz w:val="24"/>
          <w:szCs w:val="20"/>
        </w:rPr>
        <w:t xml:space="preserve"> a nearby </w:t>
      </w:r>
      <w:r w:rsidR="003D7926">
        <w:rPr>
          <w:rFonts w:ascii="Times New Roman" w:eastAsia="Times New Roman" w:hAnsi="Times New Roman" w:cs="Times New Roman"/>
          <w:sz w:val="24"/>
          <w:szCs w:val="20"/>
        </w:rPr>
        <w:t>subdivision</w:t>
      </w:r>
      <w:r w:rsidR="00904ABD">
        <w:rPr>
          <w:rFonts w:ascii="Times New Roman" w:eastAsia="Times New Roman" w:hAnsi="Times New Roman" w:cs="Times New Roman"/>
          <w:sz w:val="24"/>
          <w:szCs w:val="20"/>
        </w:rPr>
        <w:t xml:space="preserve"> </w:t>
      </w:r>
      <w:r w:rsidR="00AC0243">
        <w:rPr>
          <w:rFonts w:ascii="Times New Roman" w:eastAsia="Times New Roman" w:hAnsi="Times New Roman" w:cs="Times New Roman"/>
          <w:sz w:val="24"/>
          <w:szCs w:val="20"/>
        </w:rPr>
        <w:t>is not relevant to the issue of the reasonableness of PPL’s actions on the Hartman property</w:t>
      </w:r>
      <w:r w:rsidR="00910D30">
        <w:rPr>
          <w:rFonts w:ascii="Times New Roman" w:eastAsia="Times New Roman" w:hAnsi="Times New Roman" w:cs="Times New Roman"/>
          <w:sz w:val="24"/>
          <w:szCs w:val="20"/>
        </w:rPr>
        <w:t>.  The Hartmans argue</w:t>
      </w:r>
      <w:r w:rsidR="008136CD">
        <w:rPr>
          <w:rFonts w:ascii="Times New Roman" w:eastAsia="Times New Roman" w:hAnsi="Times New Roman" w:cs="Times New Roman"/>
          <w:sz w:val="24"/>
          <w:szCs w:val="20"/>
        </w:rPr>
        <w:t xml:space="preserve"> it is relevant to the issue of whether </w:t>
      </w:r>
      <w:r w:rsidR="00087000">
        <w:rPr>
          <w:rFonts w:ascii="Times New Roman" w:eastAsia="Times New Roman" w:hAnsi="Times New Roman" w:cs="Times New Roman"/>
          <w:sz w:val="24"/>
          <w:szCs w:val="20"/>
        </w:rPr>
        <w:t>PPL’s veg</w:t>
      </w:r>
      <w:r w:rsidR="00B96C10">
        <w:rPr>
          <w:rFonts w:ascii="Times New Roman" w:eastAsia="Times New Roman" w:hAnsi="Times New Roman" w:cs="Times New Roman"/>
          <w:sz w:val="24"/>
          <w:szCs w:val="20"/>
        </w:rPr>
        <w:t>e</w:t>
      </w:r>
      <w:r w:rsidR="00087000">
        <w:rPr>
          <w:rFonts w:ascii="Times New Roman" w:eastAsia="Times New Roman" w:hAnsi="Times New Roman" w:cs="Times New Roman"/>
          <w:sz w:val="24"/>
          <w:szCs w:val="20"/>
        </w:rPr>
        <w:t>ta</w:t>
      </w:r>
      <w:r w:rsidR="00B96C10">
        <w:rPr>
          <w:rFonts w:ascii="Times New Roman" w:eastAsia="Times New Roman" w:hAnsi="Times New Roman" w:cs="Times New Roman"/>
          <w:sz w:val="24"/>
          <w:szCs w:val="20"/>
        </w:rPr>
        <w:t>t</w:t>
      </w:r>
      <w:r w:rsidR="00087000">
        <w:rPr>
          <w:rFonts w:ascii="Times New Roman" w:eastAsia="Times New Roman" w:hAnsi="Times New Roman" w:cs="Times New Roman"/>
          <w:sz w:val="24"/>
          <w:szCs w:val="20"/>
        </w:rPr>
        <w:t>ion management</w:t>
      </w:r>
      <w:r w:rsidR="00B96C10">
        <w:rPr>
          <w:rFonts w:ascii="Times New Roman" w:eastAsia="Times New Roman" w:hAnsi="Times New Roman" w:cs="Times New Roman"/>
          <w:sz w:val="24"/>
          <w:szCs w:val="20"/>
        </w:rPr>
        <w:t xml:space="preserve"> </w:t>
      </w:r>
      <w:r w:rsidR="00824604">
        <w:rPr>
          <w:rFonts w:ascii="Times New Roman" w:eastAsia="Times New Roman" w:hAnsi="Times New Roman" w:cs="Times New Roman"/>
          <w:sz w:val="24"/>
          <w:szCs w:val="20"/>
        </w:rPr>
        <w:t xml:space="preserve">activities on the Hartman property </w:t>
      </w:r>
      <w:r w:rsidR="00B96C10">
        <w:rPr>
          <w:rFonts w:ascii="Times New Roman" w:eastAsia="Times New Roman" w:hAnsi="Times New Roman" w:cs="Times New Roman"/>
          <w:sz w:val="24"/>
          <w:szCs w:val="20"/>
        </w:rPr>
        <w:t xml:space="preserve">were applied equally to </w:t>
      </w:r>
      <w:r w:rsidR="00824604">
        <w:rPr>
          <w:rFonts w:ascii="Times New Roman" w:eastAsia="Times New Roman" w:hAnsi="Times New Roman" w:cs="Times New Roman"/>
          <w:sz w:val="24"/>
          <w:szCs w:val="20"/>
        </w:rPr>
        <w:t>similarly situated</w:t>
      </w:r>
      <w:r w:rsidR="00B96C10">
        <w:rPr>
          <w:rFonts w:ascii="Times New Roman" w:eastAsia="Times New Roman" w:hAnsi="Times New Roman" w:cs="Times New Roman"/>
          <w:sz w:val="24"/>
          <w:szCs w:val="20"/>
        </w:rPr>
        <w:t xml:space="preserve"> </w:t>
      </w:r>
      <w:r w:rsidR="0076551D">
        <w:rPr>
          <w:rFonts w:ascii="Times New Roman" w:eastAsia="Times New Roman" w:hAnsi="Times New Roman" w:cs="Times New Roman"/>
          <w:sz w:val="24"/>
          <w:szCs w:val="20"/>
        </w:rPr>
        <w:t>properties near the Hartman propert</w:t>
      </w:r>
      <w:r w:rsidR="00F9638C">
        <w:rPr>
          <w:rFonts w:ascii="Times New Roman" w:eastAsia="Times New Roman" w:hAnsi="Times New Roman" w:cs="Times New Roman"/>
          <w:sz w:val="24"/>
          <w:szCs w:val="20"/>
        </w:rPr>
        <w:t xml:space="preserve">y.  </w:t>
      </w:r>
    </w:p>
    <w:p w14:paraId="5C2BE8EE" w14:textId="1DDFAAC6" w:rsidR="003B1BAE" w:rsidRDefault="00F9638C" w:rsidP="009F106D">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With respect to Hartman Ex</w:t>
      </w:r>
      <w:r w:rsidR="004150F3">
        <w:rPr>
          <w:rFonts w:ascii="Times New Roman" w:eastAsia="Times New Roman" w:hAnsi="Times New Roman" w:cs="Times New Roman"/>
          <w:sz w:val="24"/>
          <w:szCs w:val="20"/>
        </w:rPr>
        <w:t>hibit</w:t>
      </w:r>
      <w:r w:rsidR="00E320E1">
        <w:rPr>
          <w:rFonts w:ascii="Times New Roman" w:eastAsia="Times New Roman" w:hAnsi="Times New Roman" w:cs="Times New Roman"/>
          <w:sz w:val="24"/>
          <w:szCs w:val="20"/>
        </w:rPr>
        <w:t xml:space="preserve"> 38, </w:t>
      </w:r>
      <w:r w:rsidR="00047D14">
        <w:rPr>
          <w:rFonts w:ascii="Times New Roman" w:eastAsia="Times New Roman" w:hAnsi="Times New Roman" w:cs="Times New Roman"/>
          <w:sz w:val="24"/>
          <w:szCs w:val="20"/>
        </w:rPr>
        <w:t>an e-mail from PPL counsel</w:t>
      </w:r>
      <w:r w:rsidR="00533B01">
        <w:rPr>
          <w:rFonts w:ascii="Times New Roman" w:eastAsia="Times New Roman" w:hAnsi="Times New Roman" w:cs="Times New Roman"/>
          <w:sz w:val="24"/>
          <w:szCs w:val="20"/>
        </w:rPr>
        <w:t xml:space="preserve"> to </w:t>
      </w:r>
      <w:r w:rsidR="007D3433">
        <w:rPr>
          <w:rFonts w:ascii="Times New Roman" w:eastAsia="Times New Roman" w:hAnsi="Times New Roman" w:cs="Times New Roman"/>
          <w:sz w:val="24"/>
          <w:szCs w:val="20"/>
        </w:rPr>
        <w:t>Complainants’ then attorney</w:t>
      </w:r>
      <w:r w:rsidR="00047D14">
        <w:rPr>
          <w:rFonts w:ascii="Times New Roman" w:eastAsia="Times New Roman" w:hAnsi="Times New Roman" w:cs="Times New Roman"/>
          <w:sz w:val="24"/>
          <w:szCs w:val="20"/>
        </w:rPr>
        <w:t>,</w:t>
      </w:r>
      <w:r w:rsidR="00824604">
        <w:rPr>
          <w:rFonts w:ascii="Times New Roman" w:eastAsia="Times New Roman" w:hAnsi="Times New Roman" w:cs="Times New Roman"/>
          <w:sz w:val="24"/>
          <w:szCs w:val="20"/>
        </w:rPr>
        <w:t xml:space="preserve"> </w:t>
      </w:r>
      <w:r w:rsidR="002259A0">
        <w:rPr>
          <w:rFonts w:ascii="Times New Roman" w:eastAsia="Times New Roman" w:hAnsi="Times New Roman" w:cs="Times New Roman"/>
          <w:sz w:val="24"/>
          <w:szCs w:val="20"/>
        </w:rPr>
        <w:t>PPL argues that</w:t>
      </w:r>
      <w:r w:rsidR="007D3433">
        <w:rPr>
          <w:rFonts w:ascii="Times New Roman" w:eastAsia="Times New Roman" w:hAnsi="Times New Roman" w:cs="Times New Roman"/>
          <w:sz w:val="24"/>
          <w:szCs w:val="20"/>
        </w:rPr>
        <w:t xml:space="preserve"> it is not relevant to </w:t>
      </w:r>
      <w:r w:rsidR="00C5455D">
        <w:rPr>
          <w:rFonts w:ascii="Times New Roman" w:eastAsia="Times New Roman" w:hAnsi="Times New Roman" w:cs="Times New Roman"/>
          <w:sz w:val="24"/>
          <w:szCs w:val="20"/>
        </w:rPr>
        <w:t xml:space="preserve">an issue to be decided in this proceeding.  </w:t>
      </w:r>
      <w:r w:rsidR="00FE3E6A">
        <w:rPr>
          <w:rFonts w:ascii="Times New Roman" w:eastAsia="Times New Roman" w:hAnsi="Times New Roman" w:cs="Times New Roman"/>
          <w:sz w:val="24"/>
          <w:szCs w:val="20"/>
        </w:rPr>
        <w:t xml:space="preserve">The Hartmans argue that it corroborates their assertion that </w:t>
      </w:r>
      <w:r w:rsidR="00C34650">
        <w:rPr>
          <w:rFonts w:ascii="Times New Roman" w:eastAsia="Times New Roman" w:hAnsi="Times New Roman" w:cs="Times New Roman"/>
          <w:sz w:val="24"/>
          <w:szCs w:val="20"/>
        </w:rPr>
        <w:t xml:space="preserve">certain people were instructed by PPL to not speak </w:t>
      </w:r>
      <w:r w:rsidR="00AC0AB8">
        <w:rPr>
          <w:rFonts w:ascii="Times New Roman" w:eastAsia="Times New Roman" w:hAnsi="Times New Roman" w:cs="Times New Roman"/>
          <w:sz w:val="24"/>
          <w:szCs w:val="20"/>
        </w:rPr>
        <w:t xml:space="preserve">to or cooperate </w:t>
      </w:r>
      <w:r w:rsidR="00C34650">
        <w:rPr>
          <w:rFonts w:ascii="Times New Roman" w:eastAsia="Times New Roman" w:hAnsi="Times New Roman" w:cs="Times New Roman"/>
          <w:sz w:val="24"/>
          <w:szCs w:val="20"/>
        </w:rPr>
        <w:t>with the Complainants.</w:t>
      </w:r>
    </w:p>
    <w:p w14:paraId="1241FE6E" w14:textId="77777777" w:rsidR="003B1BAE" w:rsidRDefault="003B1BAE" w:rsidP="009F106D">
      <w:pPr>
        <w:spacing w:after="0" w:line="360" w:lineRule="auto"/>
        <w:ind w:firstLine="1440"/>
        <w:rPr>
          <w:rFonts w:ascii="Times New Roman" w:eastAsia="Times New Roman" w:hAnsi="Times New Roman" w:cs="Times New Roman"/>
          <w:sz w:val="24"/>
          <w:szCs w:val="20"/>
        </w:rPr>
      </w:pPr>
    </w:p>
    <w:p w14:paraId="114EF216" w14:textId="1A245568" w:rsidR="009519A5" w:rsidRDefault="003B1BAE" w:rsidP="009519A5">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With respect to Hartman Ex</w:t>
      </w:r>
      <w:r w:rsidR="004150F3">
        <w:rPr>
          <w:rFonts w:ascii="Times New Roman" w:eastAsia="Times New Roman" w:hAnsi="Times New Roman" w:cs="Times New Roman"/>
          <w:sz w:val="24"/>
          <w:szCs w:val="20"/>
        </w:rPr>
        <w:t>hibits</w:t>
      </w:r>
      <w:r>
        <w:rPr>
          <w:rFonts w:ascii="Times New Roman" w:eastAsia="Times New Roman" w:hAnsi="Times New Roman" w:cs="Times New Roman"/>
          <w:sz w:val="24"/>
          <w:szCs w:val="20"/>
        </w:rPr>
        <w:t xml:space="preserve"> 39-</w:t>
      </w:r>
      <w:r w:rsidR="00022AB0">
        <w:rPr>
          <w:rFonts w:ascii="Times New Roman" w:eastAsia="Times New Roman" w:hAnsi="Times New Roman" w:cs="Times New Roman"/>
          <w:sz w:val="24"/>
          <w:szCs w:val="20"/>
        </w:rPr>
        <w:t xml:space="preserve">44, PPL argues that they are </w:t>
      </w:r>
      <w:r w:rsidR="008673FB">
        <w:rPr>
          <w:rFonts w:ascii="Times New Roman" w:eastAsia="Times New Roman" w:hAnsi="Times New Roman" w:cs="Times New Roman"/>
          <w:sz w:val="24"/>
          <w:szCs w:val="20"/>
        </w:rPr>
        <w:t xml:space="preserve">collections of e-mails between Mr. Hartman and various other individuals who </w:t>
      </w:r>
      <w:r w:rsidR="00A20BCE">
        <w:rPr>
          <w:rFonts w:ascii="Times New Roman" w:eastAsia="Times New Roman" w:hAnsi="Times New Roman" w:cs="Times New Roman"/>
          <w:sz w:val="24"/>
          <w:szCs w:val="20"/>
        </w:rPr>
        <w:t xml:space="preserve">are not parties </w:t>
      </w:r>
      <w:r w:rsidR="00686A6C">
        <w:rPr>
          <w:rFonts w:ascii="Times New Roman" w:eastAsia="Times New Roman" w:hAnsi="Times New Roman" w:cs="Times New Roman"/>
          <w:sz w:val="24"/>
          <w:szCs w:val="20"/>
        </w:rPr>
        <w:t xml:space="preserve">to this proceeding and who </w:t>
      </w:r>
      <w:r w:rsidR="006D5091">
        <w:rPr>
          <w:rFonts w:ascii="Times New Roman" w:eastAsia="Times New Roman" w:hAnsi="Times New Roman" w:cs="Times New Roman"/>
          <w:sz w:val="24"/>
          <w:szCs w:val="20"/>
        </w:rPr>
        <w:t xml:space="preserve">were not presented as witnesses </w:t>
      </w:r>
      <w:r w:rsidR="00686A6C">
        <w:rPr>
          <w:rFonts w:ascii="Times New Roman" w:eastAsia="Times New Roman" w:hAnsi="Times New Roman" w:cs="Times New Roman"/>
          <w:sz w:val="24"/>
          <w:szCs w:val="20"/>
        </w:rPr>
        <w:t xml:space="preserve">at the hearings.  </w:t>
      </w:r>
      <w:r w:rsidR="00EA539C">
        <w:rPr>
          <w:rFonts w:ascii="Times New Roman" w:eastAsia="Times New Roman" w:hAnsi="Times New Roman" w:cs="Times New Roman"/>
          <w:sz w:val="24"/>
          <w:szCs w:val="20"/>
        </w:rPr>
        <w:t xml:space="preserve">PPL argues that Complainants, through these exhibits, </w:t>
      </w:r>
      <w:r w:rsidR="009E55DB">
        <w:rPr>
          <w:rFonts w:ascii="Times New Roman" w:eastAsia="Times New Roman" w:hAnsi="Times New Roman" w:cs="Times New Roman"/>
          <w:sz w:val="24"/>
          <w:szCs w:val="20"/>
        </w:rPr>
        <w:t xml:space="preserve">are attempting to secure </w:t>
      </w:r>
      <w:r w:rsidR="00713625">
        <w:rPr>
          <w:rFonts w:ascii="Times New Roman" w:eastAsia="Times New Roman" w:hAnsi="Times New Roman" w:cs="Times New Roman"/>
          <w:sz w:val="24"/>
          <w:szCs w:val="20"/>
        </w:rPr>
        <w:t xml:space="preserve">testimony and documents from non-parties who did not testify at the hearings.  PPL argues that </w:t>
      </w:r>
      <w:r w:rsidR="000B76D8">
        <w:rPr>
          <w:rFonts w:ascii="Times New Roman" w:eastAsia="Times New Roman" w:hAnsi="Times New Roman" w:cs="Times New Roman"/>
          <w:sz w:val="24"/>
          <w:szCs w:val="20"/>
        </w:rPr>
        <w:t xml:space="preserve">Complainants did not properly apply for subpoenas for </w:t>
      </w:r>
      <w:r w:rsidR="00A20BCE">
        <w:rPr>
          <w:rFonts w:ascii="Times New Roman" w:eastAsia="Times New Roman" w:hAnsi="Times New Roman" w:cs="Times New Roman"/>
          <w:sz w:val="24"/>
          <w:szCs w:val="20"/>
        </w:rPr>
        <w:t>any non-parties</w:t>
      </w:r>
      <w:r w:rsidR="009E55DB">
        <w:rPr>
          <w:rFonts w:ascii="Times New Roman" w:eastAsia="Times New Roman" w:hAnsi="Times New Roman" w:cs="Times New Roman"/>
          <w:sz w:val="24"/>
          <w:szCs w:val="20"/>
        </w:rPr>
        <w:t xml:space="preserve"> </w:t>
      </w:r>
      <w:r w:rsidR="00AF33D2">
        <w:rPr>
          <w:rFonts w:ascii="Times New Roman" w:eastAsia="Times New Roman" w:hAnsi="Times New Roman" w:cs="Times New Roman"/>
          <w:sz w:val="24"/>
          <w:szCs w:val="20"/>
        </w:rPr>
        <w:t xml:space="preserve">and their attempts to </w:t>
      </w:r>
      <w:r w:rsidR="008131B4">
        <w:rPr>
          <w:rFonts w:ascii="Times New Roman" w:eastAsia="Times New Roman" w:hAnsi="Times New Roman" w:cs="Times New Roman"/>
          <w:sz w:val="24"/>
          <w:szCs w:val="20"/>
        </w:rPr>
        <w:t xml:space="preserve">introduce information and documents from </w:t>
      </w:r>
      <w:r w:rsidR="00EC6545">
        <w:rPr>
          <w:rFonts w:ascii="Times New Roman" w:eastAsia="Times New Roman" w:hAnsi="Times New Roman" w:cs="Times New Roman"/>
          <w:sz w:val="24"/>
          <w:szCs w:val="20"/>
        </w:rPr>
        <w:t xml:space="preserve">such persons are improper.  </w:t>
      </w:r>
      <w:r w:rsidR="009519A5">
        <w:rPr>
          <w:rFonts w:ascii="Times New Roman" w:eastAsia="Times New Roman" w:hAnsi="Times New Roman" w:cs="Times New Roman"/>
          <w:sz w:val="24"/>
          <w:szCs w:val="20"/>
        </w:rPr>
        <w:t xml:space="preserve">The Hartmans again argue that </w:t>
      </w:r>
      <w:r w:rsidR="006F4655">
        <w:rPr>
          <w:rFonts w:ascii="Times New Roman" w:eastAsia="Times New Roman" w:hAnsi="Times New Roman" w:cs="Times New Roman"/>
          <w:sz w:val="24"/>
          <w:szCs w:val="20"/>
        </w:rPr>
        <w:t xml:space="preserve">the challenged exhibits </w:t>
      </w:r>
      <w:r w:rsidR="009519A5">
        <w:rPr>
          <w:rFonts w:ascii="Times New Roman" w:eastAsia="Times New Roman" w:hAnsi="Times New Roman" w:cs="Times New Roman"/>
          <w:sz w:val="24"/>
          <w:szCs w:val="20"/>
        </w:rPr>
        <w:t xml:space="preserve">corroborate their assertion that certain people were instructed by PPL to not speak </w:t>
      </w:r>
      <w:r w:rsidR="00AC0AB8">
        <w:rPr>
          <w:rFonts w:ascii="Times New Roman" w:eastAsia="Times New Roman" w:hAnsi="Times New Roman" w:cs="Times New Roman"/>
          <w:sz w:val="24"/>
          <w:szCs w:val="20"/>
        </w:rPr>
        <w:t xml:space="preserve">to or cooperated </w:t>
      </w:r>
      <w:r w:rsidR="009519A5">
        <w:rPr>
          <w:rFonts w:ascii="Times New Roman" w:eastAsia="Times New Roman" w:hAnsi="Times New Roman" w:cs="Times New Roman"/>
          <w:sz w:val="24"/>
          <w:szCs w:val="20"/>
        </w:rPr>
        <w:t>with the Complainants.</w:t>
      </w:r>
    </w:p>
    <w:p w14:paraId="47C1FEE7" w14:textId="1CA9F41C" w:rsidR="00E66236" w:rsidRPr="00022EDC" w:rsidRDefault="008673FB" w:rsidP="009F106D">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2259A0">
        <w:rPr>
          <w:rFonts w:ascii="Times New Roman" w:eastAsia="Times New Roman" w:hAnsi="Times New Roman" w:cs="Times New Roman"/>
          <w:sz w:val="24"/>
          <w:szCs w:val="20"/>
        </w:rPr>
        <w:t xml:space="preserve"> </w:t>
      </w:r>
      <w:r w:rsidR="00047D14">
        <w:rPr>
          <w:rFonts w:ascii="Times New Roman" w:eastAsia="Times New Roman" w:hAnsi="Times New Roman" w:cs="Times New Roman"/>
          <w:sz w:val="24"/>
          <w:szCs w:val="20"/>
        </w:rPr>
        <w:t xml:space="preserve">  </w:t>
      </w:r>
      <w:r w:rsidR="00087000">
        <w:rPr>
          <w:rFonts w:ascii="Times New Roman" w:eastAsia="Times New Roman" w:hAnsi="Times New Roman" w:cs="Times New Roman"/>
          <w:sz w:val="24"/>
          <w:szCs w:val="20"/>
        </w:rPr>
        <w:t xml:space="preserve"> </w:t>
      </w:r>
      <w:r w:rsidR="00AC0243">
        <w:rPr>
          <w:rFonts w:ascii="Times New Roman" w:eastAsia="Times New Roman" w:hAnsi="Times New Roman" w:cs="Times New Roman"/>
          <w:sz w:val="24"/>
          <w:szCs w:val="20"/>
        </w:rPr>
        <w:t xml:space="preserve"> </w:t>
      </w:r>
      <w:r w:rsidR="00F15189">
        <w:rPr>
          <w:rFonts w:ascii="Times New Roman" w:eastAsia="Times New Roman" w:hAnsi="Times New Roman" w:cs="Times New Roman"/>
          <w:sz w:val="24"/>
          <w:szCs w:val="20"/>
        </w:rPr>
        <w:t xml:space="preserve"> </w:t>
      </w:r>
      <w:r w:rsidR="009F106D">
        <w:rPr>
          <w:rFonts w:ascii="Times New Roman" w:eastAsia="Times New Roman" w:hAnsi="Times New Roman" w:cs="Times New Roman"/>
          <w:sz w:val="24"/>
          <w:szCs w:val="20"/>
        </w:rPr>
        <w:t xml:space="preserve"> </w:t>
      </w:r>
    </w:p>
    <w:p w14:paraId="3433BCCF" w14:textId="50E103FD" w:rsidR="00140174" w:rsidRDefault="00FA3ECF" w:rsidP="008F78ED">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b/>
          <w:bCs/>
          <w:sz w:val="24"/>
          <w:szCs w:val="20"/>
        </w:rPr>
        <w:tab/>
      </w:r>
      <w:r>
        <w:rPr>
          <w:rFonts w:ascii="Times New Roman" w:eastAsia="Times New Roman" w:hAnsi="Times New Roman" w:cs="Times New Roman"/>
          <w:b/>
          <w:bCs/>
          <w:sz w:val="24"/>
          <w:szCs w:val="20"/>
        </w:rPr>
        <w:tab/>
      </w:r>
      <w:r w:rsidR="00E64D8C" w:rsidRPr="00E64D8C">
        <w:rPr>
          <w:rFonts w:ascii="Times New Roman" w:eastAsia="Times New Roman" w:hAnsi="Times New Roman" w:cs="Times New Roman"/>
          <w:sz w:val="24"/>
          <w:szCs w:val="20"/>
        </w:rPr>
        <w:t>PPL correctly notes in its Motion</w:t>
      </w:r>
      <w:r w:rsidR="00E64D8C">
        <w:rPr>
          <w:rFonts w:ascii="Times New Roman" w:eastAsia="Times New Roman" w:hAnsi="Times New Roman" w:cs="Times New Roman"/>
          <w:sz w:val="24"/>
          <w:szCs w:val="20"/>
        </w:rPr>
        <w:t xml:space="preserve"> that</w:t>
      </w:r>
      <w:r w:rsidR="000B5610">
        <w:rPr>
          <w:rFonts w:ascii="Times New Roman" w:eastAsia="Times New Roman" w:hAnsi="Times New Roman" w:cs="Times New Roman"/>
          <w:sz w:val="24"/>
          <w:szCs w:val="20"/>
        </w:rPr>
        <w:t>,</w:t>
      </w:r>
      <w:r w:rsidR="00E64D8C">
        <w:rPr>
          <w:rFonts w:ascii="Times New Roman" w:eastAsia="Times New Roman" w:hAnsi="Times New Roman" w:cs="Times New Roman"/>
          <w:sz w:val="24"/>
          <w:szCs w:val="20"/>
        </w:rPr>
        <w:t xml:space="preserve"> </w:t>
      </w:r>
      <w:r w:rsidR="00A84F62">
        <w:rPr>
          <w:rFonts w:ascii="Times New Roman" w:eastAsia="Times New Roman" w:hAnsi="Times New Roman" w:cs="Times New Roman"/>
          <w:sz w:val="24"/>
          <w:szCs w:val="20"/>
        </w:rPr>
        <w:t xml:space="preserve">under Section of </w:t>
      </w:r>
      <w:r w:rsidR="004239B6">
        <w:rPr>
          <w:rFonts w:ascii="Times New Roman" w:eastAsia="Times New Roman" w:hAnsi="Times New Roman" w:cs="Times New Roman"/>
          <w:sz w:val="24"/>
          <w:szCs w:val="20"/>
        </w:rPr>
        <w:t xml:space="preserve">5.401 of the Commission’s regulations, </w:t>
      </w:r>
      <w:r w:rsidR="005B5CE7">
        <w:rPr>
          <w:rFonts w:ascii="Times New Roman" w:eastAsia="Times New Roman" w:hAnsi="Times New Roman" w:cs="Times New Roman"/>
          <w:sz w:val="24"/>
          <w:szCs w:val="20"/>
        </w:rPr>
        <w:t xml:space="preserve">evidence must be relevant to issues in the proceeding to be admissible.  </w:t>
      </w:r>
      <w:r w:rsidR="000B5610">
        <w:rPr>
          <w:rFonts w:ascii="Times New Roman" w:eastAsia="Times New Roman" w:hAnsi="Times New Roman" w:cs="Times New Roman"/>
          <w:sz w:val="24"/>
          <w:szCs w:val="20"/>
        </w:rPr>
        <w:t>E</w:t>
      </w:r>
      <w:r w:rsidR="00C624B3">
        <w:rPr>
          <w:rFonts w:ascii="Times New Roman" w:eastAsia="Times New Roman" w:hAnsi="Times New Roman" w:cs="Times New Roman"/>
          <w:sz w:val="24"/>
          <w:szCs w:val="20"/>
        </w:rPr>
        <w:t>vidence is relevant if</w:t>
      </w:r>
      <w:r w:rsidR="0002772F">
        <w:rPr>
          <w:rFonts w:ascii="Times New Roman" w:eastAsia="Times New Roman" w:hAnsi="Times New Roman" w:cs="Times New Roman"/>
          <w:sz w:val="24"/>
          <w:szCs w:val="20"/>
        </w:rPr>
        <w:t xml:space="preserve"> it has a tendency to make a fact more or less probable than it would be withou</w:t>
      </w:r>
      <w:r w:rsidR="00927768">
        <w:rPr>
          <w:rFonts w:ascii="Times New Roman" w:eastAsia="Times New Roman" w:hAnsi="Times New Roman" w:cs="Times New Roman"/>
          <w:sz w:val="24"/>
          <w:szCs w:val="20"/>
        </w:rPr>
        <w:t xml:space="preserve">t the evidence, and the fact is of consequence in determining the action.  </w:t>
      </w:r>
      <w:r w:rsidR="00B40C62">
        <w:rPr>
          <w:rFonts w:ascii="Times New Roman" w:eastAsia="Times New Roman" w:hAnsi="Times New Roman" w:cs="Times New Roman"/>
          <w:sz w:val="24"/>
          <w:szCs w:val="20"/>
        </w:rPr>
        <w:t>52 Pa. Code §§401</w:t>
      </w:r>
      <w:r w:rsidR="00E17A03">
        <w:rPr>
          <w:rFonts w:ascii="Times New Roman" w:eastAsia="Times New Roman" w:hAnsi="Times New Roman" w:cs="Times New Roman"/>
          <w:sz w:val="24"/>
          <w:szCs w:val="20"/>
        </w:rPr>
        <w:t xml:space="preserve">(a)(b).  </w:t>
      </w:r>
      <w:r w:rsidR="00927768">
        <w:rPr>
          <w:rFonts w:ascii="Times New Roman" w:eastAsia="Times New Roman" w:hAnsi="Times New Roman" w:cs="Times New Roman"/>
          <w:sz w:val="24"/>
          <w:szCs w:val="20"/>
        </w:rPr>
        <w:t xml:space="preserve"> </w:t>
      </w:r>
      <w:r w:rsidR="005B5CE7">
        <w:rPr>
          <w:rFonts w:ascii="Times New Roman" w:eastAsia="Times New Roman" w:hAnsi="Times New Roman" w:cs="Times New Roman"/>
          <w:sz w:val="24"/>
          <w:szCs w:val="20"/>
        </w:rPr>
        <w:t xml:space="preserve"> </w:t>
      </w:r>
      <w:r w:rsidR="004239B6">
        <w:rPr>
          <w:rFonts w:ascii="Times New Roman" w:eastAsia="Times New Roman" w:hAnsi="Times New Roman" w:cs="Times New Roman"/>
          <w:sz w:val="24"/>
          <w:szCs w:val="20"/>
        </w:rPr>
        <w:t xml:space="preserve"> </w:t>
      </w:r>
      <w:r w:rsidR="00E64D8C" w:rsidRPr="00E64D8C">
        <w:rPr>
          <w:rFonts w:ascii="Times New Roman" w:eastAsia="Times New Roman" w:hAnsi="Times New Roman" w:cs="Times New Roman"/>
          <w:sz w:val="24"/>
          <w:szCs w:val="20"/>
        </w:rPr>
        <w:t xml:space="preserve"> </w:t>
      </w:r>
    </w:p>
    <w:p w14:paraId="6362DDAB" w14:textId="4EE1B942" w:rsidR="008F78ED" w:rsidRDefault="008F78ED" w:rsidP="008F78ED">
      <w:pPr>
        <w:spacing w:after="0" w:line="360" w:lineRule="auto"/>
        <w:rPr>
          <w:rFonts w:ascii="Times New Roman" w:eastAsia="Times New Roman" w:hAnsi="Times New Roman" w:cs="Times New Roman"/>
          <w:sz w:val="24"/>
          <w:szCs w:val="20"/>
        </w:rPr>
      </w:pPr>
    </w:p>
    <w:p w14:paraId="448CF4D7" w14:textId="79796E79" w:rsidR="008F78ED" w:rsidRDefault="008F78ED" w:rsidP="008F78ED">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With respect to </w:t>
      </w:r>
      <w:r w:rsidR="00345725">
        <w:rPr>
          <w:rFonts w:ascii="Times New Roman" w:eastAsia="Times New Roman" w:hAnsi="Times New Roman" w:cs="Times New Roman"/>
          <w:sz w:val="24"/>
          <w:szCs w:val="20"/>
        </w:rPr>
        <w:t>Hartman Ex</w:t>
      </w:r>
      <w:r w:rsidR="005D79CA">
        <w:rPr>
          <w:rFonts w:ascii="Times New Roman" w:eastAsia="Times New Roman" w:hAnsi="Times New Roman" w:cs="Times New Roman"/>
          <w:sz w:val="24"/>
          <w:szCs w:val="20"/>
        </w:rPr>
        <w:t>hibit</w:t>
      </w:r>
      <w:r w:rsidR="00345725">
        <w:rPr>
          <w:rFonts w:ascii="Times New Roman" w:eastAsia="Times New Roman" w:hAnsi="Times New Roman" w:cs="Times New Roman"/>
          <w:sz w:val="24"/>
          <w:szCs w:val="20"/>
        </w:rPr>
        <w:t xml:space="preserve"> 11, I agree with the Hartmans that the exhibit is arguably relevant on the issue of the </w:t>
      </w:r>
      <w:r w:rsidR="00436E25">
        <w:rPr>
          <w:rFonts w:ascii="Times New Roman" w:eastAsia="Times New Roman" w:hAnsi="Times New Roman" w:cs="Times New Roman"/>
          <w:sz w:val="24"/>
          <w:szCs w:val="20"/>
        </w:rPr>
        <w:t xml:space="preserve">reasonableness of PPL’s vegetation management activities on the Hartman property and whether the Hartmans were treated differently </w:t>
      </w:r>
      <w:r w:rsidR="00BD711E">
        <w:rPr>
          <w:rFonts w:ascii="Times New Roman" w:eastAsia="Times New Roman" w:hAnsi="Times New Roman" w:cs="Times New Roman"/>
          <w:sz w:val="24"/>
          <w:szCs w:val="20"/>
        </w:rPr>
        <w:t>in such activities than other nearby</w:t>
      </w:r>
      <w:r w:rsidR="00402913">
        <w:rPr>
          <w:rFonts w:ascii="Times New Roman" w:eastAsia="Times New Roman" w:hAnsi="Times New Roman" w:cs="Times New Roman"/>
          <w:sz w:val="24"/>
          <w:szCs w:val="20"/>
        </w:rPr>
        <w:t>,</w:t>
      </w:r>
      <w:r w:rsidR="005D4881">
        <w:rPr>
          <w:rFonts w:ascii="Times New Roman" w:eastAsia="Times New Roman" w:hAnsi="Times New Roman" w:cs="Times New Roman"/>
          <w:sz w:val="24"/>
          <w:szCs w:val="20"/>
        </w:rPr>
        <w:t xml:space="preserve"> </w:t>
      </w:r>
      <w:r w:rsidR="00402913">
        <w:rPr>
          <w:rFonts w:ascii="Times New Roman" w:eastAsia="Times New Roman" w:hAnsi="Times New Roman" w:cs="Times New Roman"/>
          <w:sz w:val="24"/>
          <w:szCs w:val="20"/>
        </w:rPr>
        <w:t>similarly situated</w:t>
      </w:r>
      <w:r w:rsidR="00BD711E">
        <w:rPr>
          <w:rFonts w:ascii="Times New Roman" w:eastAsia="Times New Roman" w:hAnsi="Times New Roman" w:cs="Times New Roman"/>
          <w:sz w:val="24"/>
          <w:szCs w:val="20"/>
        </w:rPr>
        <w:t xml:space="preserve"> property owners.  </w:t>
      </w:r>
      <w:r w:rsidR="007A37F9">
        <w:rPr>
          <w:rFonts w:ascii="Times New Roman" w:eastAsia="Times New Roman" w:hAnsi="Times New Roman" w:cs="Times New Roman"/>
          <w:sz w:val="24"/>
          <w:szCs w:val="20"/>
        </w:rPr>
        <w:t xml:space="preserve">Accordingly, I will deny </w:t>
      </w:r>
      <w:r w:rsidR="0092380C">
        <w:rPr>
          <w:rFonts w:ascii="Times New Roman" w:eastAsia="Times New Roman" w:hAnsi="Times New Roman" w:cs="Times New Roman"/>
          <w:sz w:val="24"/>
          <w:szCs w:val="20"/>
        </w:rPr>
        <w:t>PPL’s Motion requesting to strike Hartman Ex</w:t>
      </w:r>
      <w:r w:rsidR="00687F1D">
        <w:rPr>
          <w:rFonts w:ascii="Times New Roman" w:eastAsia="Times New Roman" w:hAnsi="Times New Roman" w:cs="Times New Roman"/>
          <w:sz w:val="24"/>
          <w:szCs w:val="20"/>
        </w:rPr>
        <w:t>hibit</w:t>
      </w:r>
      <w:r w:rsidR="0092380C">
        <w:rPr>
          <w:rFonts w:ascii="Times New Roman" w:eastAsia="Times New Roman" w:hAnsi="Times New Roman" w:cs="Times New Roman"/>
          <w:sz w:val="24"/>
          <w:szCs w:val="20"/>
        </w:rPr>
        <w:t xml:space="preserve"> 11.</w:t>
      </w:r>
    </w:p>
    <w:p w14:paraId="1BD6CA7E" w14:textId="1A22FD2C" w:rsidR="0092380C" w:rsidRDefault="0092380C" w:rsidP="008F78ED">
      <w:pPr>
        <w:spacing w:after="0" w:line="360" w:lineRule="auto"/>
        <w:rPr>
          <w:rFonts w:ascii="Times New Roman" w:eastAsia="Times New Roman" w:hAnsi="Times New Roman" w:cs="Times New Roman"/>
          <w:sz w:val="24"/>
          <w:szCs w:val="20"/>
        </w:rPr>
      </w:pPr>
    </w:p>
    <w:p w14:paraId="0BBF72D7" w14:textId="03F328DF" w:rsidR="000B0572" w:rsidRDefault="0092380C" w:rsidP="008F78ED">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With respect to Hartman Ex</w:t>
      </w:r>
      <w:r w:rsidR="00687F1D">
        <w:rPr>
          <w:rFonts w:ascii="Times New Roman" w:eastAsia="Times New Roman" w:hAnsi="Times New Roman" w:cs="Times New Roman"/>
          <w:sz w:val="24"/>
          <w:szCs w:val="20"/>
        </w:rPr>
        <w:t>hibits</w:t>
      </w:r>
      <w:r>
        <w:rPr>
          <w:rFonts w:ascii="Times New Roman" w:eastAsia="Times New Roman" w:hAnsi="Times New Roman" w:cs="Times New Roman"/>
          <w:sz w:val="24"/>
          <w:szCs w:val="20"/>
        </w:rPr>
        <w:t xml:space="preserve"> </w:t>
      </w:r>
      <w:r w:rsidR="00437D1A">
        <w:rPr>
          <w:rFonts w:ascii="Times New Roman" w:eastAsia="Times New Roman" w:hAnsi="Times New Roman" w:cs="Times New Roman"/>
          <w:sz w:val="24"/>
          <w:szCs w:val="20"/>
        </w:rPr>
        <w:t xml:space="preserve">38-44, </w:t>
      </w:r>
      <w:r w:rsidR="00230D3A">
        <w:rPr>
          <w:rFonts w:ascii="Times New Roman" w:eastAsia="Times New Roman" w:hAnsi="Times New Roman" w:cs="Times New Roman"/>
          <w:sz w:val="24"/>
          <w:szCs w:val="20"/>
        </w:rPr>
        <w:t>I agree with PPL that the challenged e-mail exchanges</w:t>
      </w:r>
      <w:r w:rsidR="007D1091">
        <w:rPr>
          <w:rFonts w:ascii="Times New Roman" w:eastAsia="Times New Roman" w:hAnsi="Times New Roman" w:cs="Times New Roman"/>
          <w:sz w:val="24"/>
          <w:szCs w:val="20"/>
        </w:rPr>
        <w:t xml:space="preserve"> involve disputes between the parties that are not probative of the limited set of issues </w:t>
      </w:r>
      <w:r w:rsidR="007066BA">
        <w:rPr>
          <w:rFonts w:ascii="Times New Roman" w:eastAsia="Times New Roman" w:hAnsi="Times New Roman" w:cs="Times New Roman"/>
          <w:sz w:val="24"/>
          <w:szCs w:val="20"/>
        </w:rPr>
        <w:t>identified by the Commission in the April 2020 Order to be decided in this proceeding.</w:t>
      </w:r>
      <w:r w:rsidR="00C229B6">
        <w:rPr>
          <w:rFonts w:ascii="Times New Roman" w:eastAsia="Times New Roman" w:hAnsi="Times New Roman" w:cs="Times New Roman"/>
          <w:sz w:val="24"/>
          <w:szCs w:val="20"/>
        </w:rPr>
        <w:t xml:space="preserve">  </w:t>
      </w:r>
      <w:r w:rsidR="004956C8">
        <w:rPr>
          <w:rFonts w:ascii="Times New Roman" w:eastAsia="Times New Roman" w:hAnsi="Times New Roman" w:cs="Times New Roman"/>
          <w:sz w:val="24"/>
          <w:szCs w:val="20"/>
        </w:rPr>
        <w:t xml:space="preserve">The Hartmans argue </w:t>
      </w:r>
      <w:r w:rsidR="00E0411E">
        <w:rPr>
          <w:rFonts w:ascii="Times New Roman" w:eastAsia="Times New Roman" w:hAnsi="Times New Roman" w:cs="Times New Roman"/>
          <w:sz w:val="24"/>
          <w:szCs w:val="20"/>
        </w:rPr>
        <w:t xml:space="preserve">the exhibits are intended to show </w:t>
      </w:r>
      <w:r w:rsidR="00200239">
        <w:rPr>
          <w:rFonts w:ascii="Times New Roman" w:eastAsia="Times New Roman" w:hAnsi="Times New Roman" w:cs="Times New Roman"/>
          <w:sz w:val="24"/>
          <w:szCs w:val="20"/>
        </w:rPr>
        <w:t>that certain non-party individuals were prevented by PPL from speaking to or cooperating with</w:t>
      </w:r>
      <w:r w:rsidR="00E447A9">
        <w:rPr>
          <w:rFonts w:ascii="Times New Roman" w:eastAsia="Times New Roman" w:hAnsi="Times New Roman" w:cs="Times New Roman"/>
          <w:sz w:val="24"/>
          <w:szCs w:val="20"/>
        </w:rPr>
        <w:t xml:space="preserve"> Complainants</w:t>
      </w:r>
      <w:r w:rsidR="00B30D64">
        <w:rPr>
          <w:rFonts w:ascii="Times New Roman" w:eastAsia="Times New Roman" w:hAnsi="Times New Roman" w:cs="Times New Roman"/>
          <w:sz w:val="24"/>
          <w:szCs w:val="20"/>
        </w:rPr>
        <w:t xml:space="preserve">.  PPL argues that the </w:t>
      </w:r>
      <w:r w:rsidR="00B30D64">
        <w:rPr>
          <w:rFonts w:ascii="Times New Roman" w:eastAsia="Times New Roman" w:hAnsi="Times New Roman" w:cs="Times New Roman"/>
          <w:sz w:val="24"/>
          <w:szCs w:val="20"/>
        </w:rPr>
        <w:lastRenderedPageBreak/>
        <w:t>Hartmans did not properly apply for subpoenas for any of the</w:t>
      </w:r>
      <w:r w:rsidR="009B616A">
        <w:rPr>
          <w:rFonts w:ascii="Times New Roman" w:eastAsia="Times New Roman" w:hAnsi="Times New Roman" w:cs="Times New Roman"/>
          <w:sz w:val="24"/>
          <w:szCs w:val="20"/>
        </w:rPr>
        <w:t>se individuals.</w:t>
      </w:r>
      <w:r w:rsidR="000A541D">
        <w:rPr>
          <w:rFonts w:ascii="Times New Roman" w:eastAsia="Times New Roman" w:hAnsi="Times New Roman" w:cs="Times New Roman"/>
          <w:sz w:val="24"/>
          <w:szCs w:val="20"/>
        </w:rPr>
        <w:t xml:space="preserve">  </w:t>
      </w:r>
      <w:r w:rsidR="000C57F7">
        <w:rPr>
          <w:rFonts w:ascii="Times New Roman" w:eastAsia="Times New Roman" w:hAnsi="Times New Roman" w:cs="Times New Roman"/>
          <w:sz w:val="24"/>
          <w:szCs w:val="20"/>
        </w:rPr>
        <w:t>None of these individuals appeared as witnesses at the hearing.</w:t>
      </w:r>
      <w:r w:rsidR="005D4881">
        <w:rPr>
          <w:rFonts w:ascii="Times New Roman" w:eastAsia="Times New Roman" w:hAnsi="Times New Roman" w:cs="Times New Roman"/>
          <w:sz w:val="24"/>
          <w:szCs w:val="20"/>
        </w:rPr>
        <w:t xml:space="preserve">  </w:t>
      </w:r>
      <w:r w:rsidR="00D85107">
        <w:rPr>
          <w:rFonts w:ascii="Times New Roman" w:eastAsia="Times New Roman" w:hAnsi="Times New Roman" w:cs="Times New Roman"/>
          <w:sz w:val="24"/>
          <w:szCs w:val="20"/>
        </w:rPr>
        <w:t xml:space="preserve">Information </w:t>
      </w:r>
      <w:r w:rsidR="00EA319C">
        <w:rPr>
          <w:rFonts w:ascii="Times New Roman" w:eastAsia="Times New Roman" w:hAnsi="Times New Roman" w:cs="Times New Roman"/>
          <w:sz w:val="24"/>
          <w:szCs w:val="20"/>
        </w:rPr>
        <w:t xml:space="preserve">tending to demonstrate </w:t>
      </w:r>
      <w:r w:rsidR="005563C5">
        <w:rPr>
          <w:rFonts w:ascii="Times New Roman" w:eastAsia="Times New Roman" w:hAnsi="Times New Roman" w:cs="Times New Roman"/>
          <w:sz w:val="24"/>
          <w:szCs w:val="20"/>
        </w:rPr>
        <w:t xml:space="preserve">PPL’s </w:t>
      </w:r>
      <w:r w:rsidR="007C3026">
        <w:rPr>
          <w:rFonts w:ascii="Times New Roman" w:eastAsia="Times New Roman" w:hAnsi="Times New Roman" w:cs="Times New Roman"/>
          <w:sz w:val="24"/>
          <w:szCs w:val="20"/>
        </w:rPr>
        <w:t>procedural or tactical decisions in its interactions with Complainants</w:t>
      </w:r>
      <w:r w:rsidR="00FB588A">
        <w:rPr>
          <w:rFonts w:ascii="Times New Roman" w:eastAsia="Times New Roman" w:hAnsi="Times New Roman" w:cs="Times New Roman"/>
          <w:sz w:val="24"/>
          <w:szCs w:val="20"/>
        </w:rPr>
        <w:t xml:space="preserve"> are not relevant </w:t>
      </w:r>
      <w:r w:rsidR="00C7033C">
        <w:rPr>
          <w:rFonts w:ascii="Times New Roman" w:eastAsia="Times New Roman" w:hAnsi="Times New Roman" w:cs="Times New Roman"/>
          <w:sz w:val="24"/>
          <w:szCs w:val="20"/>
        </w:rPr>
        <w:t xml:space="preserve">to the specific topics at issue in this proceeding.  </w:t>
      </w:r>
      <w:r w:rsidR="00106805">
        <w:rPr>
          <w:rFonts w:ascii="Times New Roman" w:eastAsia="Times New Roman" w:hAnsi="Times New Roman" w:cs="Times New Roman"/>
          <w:sz w:val="24"/>
          <w:szCs w:val="20"/>
        </w:rPr>
        <w:t>W</w:t>
      </w:r>
      <w:r w:rsidR="008C1E04">
        <w:rPr>
          <w:rFonts w:ascii="Times New Roman" w:eastAsia="Times New Roman" w:hAnsi="Times New Roman" w:cs="Times New Roman"/>
          <w:sz w:val="24"/>
          <w:szCs w:val="20"/>
        </w:rPr>
        <w:t>ith respect to Hartman Ex</w:t>
      </w:r>
      <w:r w:rsidR="00106805">
        <w:rPr>
          <w:rFonts w:ascii="Times New Roman" w:eastAsia="Times New Roman" w:hAnsi="Times New Roman" w:cs="Times New Roman"/>
          <w:sz w:val="24"/>
          <w:szCs w:val="20"/>
        </w:rPr>
        <w:t xml:space="preserve">hibits </w:t>
      </w:r>
      <w:r w:rsidR="00756194">
        <w:rPr>
          <w:rFonts w:ascii="Times New Roman" w:eastAsia="Times New Roman" w:hAnsi="Times New Roman" w:cs="Times New Roman"/>
          <w:sz w:val="24"/>
          <w:szCs w:val="20"/>
        </w:rPr>
        <w:t xml:space="preserve">38-44, </w:t>
      </w:r>
      <w:r w:rsidR="008C1E04">
        <w:rPr>
          <w:rFonts w:ascii="Times New Roman" w:eastAsia="Times New Roman" w:hAnsi="Times New Roman" w:cs="Times New Roman"/>
          <w:sz w:val="24"/>
          <w:szCs w:val="20"/>
        </w:rPr>
        <w:t>I agree with PPL</w:t>
      </w:r>
      <w:r w:rsidR="00756194">
        <w:rPr>
          <w:rFonts w:ascii="Times New Roman" w:eastAsia="Times New Roman" w:hAnsi="Times New Roman" w:cs="Times New Roman"/>
          <w:sz w:val="24"/>
          <w:szCs w:val="20"/>
        </w:rPr>
        <w:t xml:space="preserve"> and will strike these exhibits from the record.</w:t>
      </w:r>
    </w:p>
    <w:p w14:paraId="433E6D66" w14:textId="77777777" w:rsidR="000B0572" w:rsidRDefault="000B0572" w:rsidP="008F78ED">
      <w:pPr>
        <w:spacing w:after="0" w:line="360" w:lineRule="auto"/>
        <w:rPr>
          <w:rFonts w:ascii="Times New Roman" w:eastAsia="Times New Roman" w:hAnsi="Times New Roman" w:cs="Times New Roman"/>
          <w:sz w:val="24"/>
          <w:szCs w:val="20"/>
        </w:rPr>
      </w:pPr>
    </w:p>
    <w:p w14:paraId="5B1BDF3E" w14:textId="1EE93F2D" w:rsidR="008A5A40" w:rsidRDefault="000B0572" w:rsidP="00087F8F">
      <w:pPr>
        <w:pStyle w:val="ListParagraph"/>
        <w:numPr>
          <w:ilvl w:val="0"/>
          <w:numId w:val="3"/>
        </w:numPr>
        <w:spacing w:after="0" w:line="240" w:lineRule="auto"/>
        <w:ind w:right="1440" w:hanging="720"/>
        <w:rPr>
          <w:rFonts w:ascii="Times New Roman" w:eastAsia="Times New Roman" w:hAnsi="Times New Roman" w:cs="Times New Roman"/>
          <w:sz w:val="24"/>
          <w:szCs w:val="20"/>
        </w:rPr>
      </w:pPr>
      <w:r>
        <w:rPr>
          <w:rFonts w:ascii="Times New Roman" w:eastAsia="Times New Roman" w:hAnsi="Times New Roman" w:cs="Times New Roman"/>
          <w:b/>
          <w:bCs/>
          <w:sz w:val="24"/>
          <w:szCs w:val="20"/>
        </w:rPr>
        <w:t xml:space="preserve">Statements in Complainants’ </w:t>
      </w:r>
      <w:r w:rsidR="00087F8F">
        <w:rPr>
          <w:rFonts w:ascii="Times New Roman" w:eastAsia="Times New Roman" w:hAnsi="Times New Roman" w:cs="Times New Roman"/>
          <w:b/>
          <w:bCs/>
          <w:sz w:val="24"/>
          <w:szCs w:val="20"/>
        </w:rPr>
        <w:t xml:space="preserve">testimony and exhibits that are inherently unreliable </w:t>
      </w:r>
      <w:r w:rsidR="008A5A40">
        <w:rPr>
          <w:rFonts w:ascii="Times New Roman" w:eastAsia="Times New Roman" w:hAnsi="Times New Roman" w:cs="Times New Roman"/>
          <w:b/>
          <w:bCs/>
          <w:sz w:val="24"/>
          <w:szCs w:val="20"/>
        </w:rPr>
        <w:t>and not provided in original form</w:t>
      </w:r>
      <w:r w:rsidR="00304534">
        <w:rPr>
          <w:rFonts w:ascii="Times New Roman" w:eastAsia="Times New Roman" w:hAnsi="Times New Roman" w:cs="Times New Roman"/>
          <w:b/>
          <w:bCs/>
          <w:sz w:val="24"/>
          <w:szCs w:val="20"/>
        </w:rPr>
        <w:t>.</w:t>
      </w:r>
      <w:r w:rsidR="00087F8F">
        <w:rPr>
          <w:rFonts w:ascii="Times New Roman" w:eastAsia="Times New Roman" w:hAnsi="Times New Roman" w:cs="Times New Roman"/>
          <w:b/>
          <w:bCs/>
          <w:sz w:val="24"/>
          <w:szCs w:val="20"/>
        </w:rPr>
        <w:t xml:space="preserve"> </w:t>
      </w:r>
      <w:r w:rsidR="001B3BF7" w:rsidRPr="000B0572">
        <w:rPr>
          <w:rFonts w:ascii="Times New Roman" w:eastAsia="Times New Roman" w:hAnsi="Times New Roman" w:cs="Times New Roman"/>
          <w:sz w:val="24"/>
          <w:szCs w:val="20"/>
        </w:rPr>
        <w:t xml:space="preserve"> </w:t>
      </w:r>
      <w:r w:rsidR="003644E1" w:rsidRPr="000B0572">
        <w:rPr>
          <w:rFonts w:ascii="Times New Roman" w:eastAsia="Times New Roman" w:hAnsi="Times New Roman" w:cs="Times New Roman"/>
          <w:sz w:val="24"/>
          <w:szCs w:val="20"/>
        </w:rPr>
        <w:t xml:space="preserve">   </w:t>
      </w:r>
      <w:r w:rsidR="00167607" w:rsidRPr="000B0572">
        <w:rPr>
          <w:rFonts w:ascii="Times New Roman" w:eastAsia="Times New Roman" w:hAnsi="Times New Roman" w:cs="Times New Roman"/>
          <w:sz w:val="24"/>
          <w:szCs w:val="20"/>
        </w:rPr>
        <w:t xml:space="preserve"> </w:t>
      </w:r>
    </w:p>
    <w:p w14:paraId="2B93BDDA" w14:textId="77777777" w:rsidR="008A5A40" w:rsidRDefault="008A5A40" w:rsidP="008A5A40">
      <w:pPr>
        <w:spacing w:after="0" w:line="240" w:lineRule="auto"/>
        <w:ind w:right="1440"/>
        <w:rPr>
          <w:rFonts w:ascii="Times New Roman" w:eastAsia="Times New Roman" w:hAnsi="Times New Roman" w:cs="Times New Roman"/>
          <w:sz w:val="24"/>
          <w:szCs w:val="20"/>
        </w:rPr>
      </w:pPr>
    </w:p>
    <w:p w14:paraId="117B90FF" w14:textId="524C9672" w:rsidR="00153006" w:rsidRDefault="00B53648" w:rsidP="00A47BA6">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PPL </w:t>
      </w:r>
      <w:r w:rsidR="00811EE6">
        <w:rPr>
          <w:rFonts w:ascii="Times New Roman" w:eastAsia="Times New Roman" w:hAnsi="Times New Roman" w:cs="Times New Roman"/>
          <w:sz w:val="24"/>
          <w:szCs w:val="20"/>
        </w:rPr>
        <w:t>requests that Hartman Ex</w:t>
      </w:r>
      <w:r w:rsidR="0073759E">
        <w:rPr>
          <w:rFonts w:ascii="Times New Roman" w:eastAsia="Times New Roman" w:hAnsi="Times New Roman" w:cs="Times New Roman"/>
          <w:sz w:val="24"/>
          <w:szCs w:val="20"/>
        </w:rPr>
        <w:t>hibits</w:t>
      </w:r>
      <w:r w:rsidR="00811EE6">
        <w:rPr>
          <w:rFonts w:ascii="Times New Roman" w:eastAsia="Times New Roman" w:hAnsi="Times New Roman" w:cs="Times New Roman"/>
          <w:sz w:val="24"/>
          <w:szCs w:val="20"/>
        </w:rPr>
        <w:t xml:space="preserve"> 14, 33 and 37 be stricken as b</w:t>
      </w:r>
      <w:r w:rsidR="00A47BA6">
        <w:rPr>
          <w:rFonts w:ascii="Times New Roman" w:eastAsia="Times New Roman" w:hAnsi="Times New Roman" w:cs="Times New Roman"/>
          <w:sz w:val="24"/>
          <w:szCs w:val="20"/>
        </w:rPr>
        <w:t>e</w:t>
      </w:r>
      <w:r w:rsidR="00811EE6">
        <w:rPr>
          <w:rFonts w:ascii="Times New Roman" w:eastAsia="Times New Roman" w:hAnsi="Times New Roman" w:cs="Times New Roman"/>
          <w:sz w:val="24"/>
          <w:szCs w:val="20"/>
        </w:rPr>
        <w:t xml:space="preserve">ing </w:t>
      </w:r>
      <w:r w:rsidR="00A47BA6">
        <w:rPr>
          <w:rFonts w:ascii="Times New Roman" w:eastAsia="Times New Roman" w:hAnsi="Times New Roman" w:cs="Times New Roman"/>
          <w:sz w:val="24"/>
          <w:szCs w:val="20"/>
        </w:rPr>
        <w:t>unreliable.  It argues that Ex</w:t>
      </w:r>
      <w:r w:rsidR="0073759E">
        <w:rPr>
          <w:rFonts w:ascii="Times New Roman" w:eastAsia="Times New Roman" w:hAnsi="Times New Roman" w:cs="Times New Roman"/>
          <w:sz w:val="24"/>
          <w:szCs w:val="20"/>
        </w:rPr>
        <w:t>hibit</w:t>
      </w:r>
      <w:r w:rsidR="00A47BA6">
        <w:rPr>
          <w:rFonts w:ascii="Times New Roman" w:eastAsia="Times New Roman" w:hAnsi="Times New Roman" w:cs="Times New Roman"/>
          <w:sz w:val="24"/>
          <w:szCs w:val="20"/>
        </w:rPr>
        <w:t xml:space="preserve"> 14</w:t>
      </w:r>
      <w:r w:rsidR="00534BAD">
        <w:rPr>
          <w:rFonts w:ascii="Times New Roman" w:eastAsia="Times New Roman" w:hAnsi="Times New Roman" w:cs="Times New Roman"/>
          <w:sz w:val="24"/>
          <w:szCs w:val="20"/>
        </w:rPr>
        <w:t xml:space="preserve"> is an excerpt from PPL’s E&amp;S plan</w:t>
      </w:r>
      <w:r w:rsidR="00451A68">
        <w:rPr>
          <w:rFonts w:ascii="Times New Roman" w:eastAsia="Times New Roman" w:hAnsi="Times New Roman" w:cs="Times New Roman"/>
          <w:sz w:val="24"/>
          <w:szCs w:val="20"/>
        </w:rPr>
        <w:t xml:space="preserve"> that it cut and pasted</w:t>
      </w:r>
      <w:r w:rsidR="00020DC5">
        <w:rPr>
          <w:rFonts w:ascii="Times New Roman" w:eastAsia="Times New Roman" w:hAnsi="Times New Roman" w:cs="Times New Roman"/>
          <w:sz w:val="24"/>
          <w:szCs w:val="20"/>
        </w:rPr>
        <w:t>.  It states it has provided the plan in its entirety as PPL Electric Exhibit TE-1</w:t>
      </w:r>
      <w:r w:rsidR="00EB753F">
        <w:rPr>
          <w:rFonts w:ascii="Times New Roman" w:eastAsia="Times New Roman" w:hAnsi="Times New Roman" w:cs="Times New Roman"/>
          <w:sz w:val="24"/>
          <w:szCs w:val="20"/>
        </w:rPr>
        <w:t>.  PPL argues that Ex</w:t>
      </w:r>
      <w:r w:rsidR="009723FD">
        <w:rPr>
          <w:rFonts w:ascii="Times New Roman" w:eastAsia="Times New Roman" w:hAnsi="Times New Roman" w:cs="Times New Roman"/>
          <w:sz w:val="24"/>
          <w:szCs w:val="20"/>
        </w:rPr>
        <w:t>hibit</w:t>
      </w:r>
      <w:r w:rsidR="00EB753F">
        <w:rPr>
          <w:rFonts w:ascii="Times New Roman" w:eastAsia="Times New Roman" w:hAnsi="Times New Roman" w:cs="Times New Roman"/>
          <w:sz w:val="24"/>
          <w:szCs w:val="20"/>
        </w:rPr>
        <w:t xml:space="preserve"> 33</w:t>
      </w:r>
      <w:r w:rsidR="00F70F60">
        <w:rPr>
          <w:rFonts w:ascii="Times New Roman" w:eastAsia="Times New Roman" w:hAnsi="Times New Roman" w:cs="Times New Roman"/>
          <w:sz w:val="24"/>
          <w:szCs w:val="20"/>
        </w:rPr>
        <w:t xml:space="preserve"> is a blog post describing Mile-a-Minute vegetation for which there </w:t>
      </w:r>
      <w:r w:rsidR="008713D9">
        <w:rPr>
          <w:rFonts w:ascii="Times New Roman" w:eastAsia="Times New Roman" w:hAnsi="Times New Roman" w:cs="Times New Roman"/>
          <w:sz w:val="24"/>
          <w:szCs w:val="20"/>
        </w:rPr>
        <w:t xml:space="preserve">is no authenticating testimony.  PPL </w:t>
      </w:r>
      <w:r w:rsidR="006A4635">
        <w:rPr>
          <w:rFonts w:ascii="Times New Roman" w:eastAsia="Times New Roman" w:hAnsi="Times New Roman" w:cs="Times New Roman"/>
          <w:sz w:val="24"/>
          <w:szCs w:val="20"/>
        </w:rPr>
        <w:t>further argues that Ex</w:t>
      </w:r>
      <w:r w:rsidR="005F3C8B">
        <w:rPr>
          <w:rFonts w:ascii="Times New Roman" w:eastAsia="Times New Roman" w:hAnsi="Times New Roman" w:cs="Times New Roman"/>
          <w:sz w:val="24"/>
          <w:szCs w:val="20"/>
        </w:rPr>
        <w:t>hibit</w:t>
      </w:r>
      <w:r w:rsidR="006A4635">
        <w:rPr>
          <w:rFonts w:ascii="Times New Roman" w:eastAsia="Times New Roman" w:hAnsi="Times New Roman" w:cs="Times New Roman"/>
          <w:sz w:val="24"/>
          <w:szCs w:val="20"/>
        </w:rPr>
        <w:t xml:space="preserve"> 37 is evidence describing “rip-rap” </w:t>
      </w:r>
      <w:r w:rsidR="000413AA">
        <w:rPr>
          <w:rFonts w:ascii="Times New Roman" w:eastAsia="Times New Roman" w:hAnsi="Times New Roman" w:cs="Times New Roman"/>
          <w:sz w:val="24"/>
          <w:szCs w:val="20"/>
        </w:rPr>
        <w:t xml:space="preserve">taken from several sources that appears to </w:t>
      </w:r>
      <w:r w:rsidR="009B7C52">
        <w:rPr>
          <w:rFonts w:ascii="Times New Roman" w:eastAsia="Times New Roman" w:hAnsi="Times New Roman" w:cs="Times New Roman"/>
          <w:sz w:val="24"/>
          <w:szCs w:val="20"/>
        </w:rPr>
        <w:t>have been altered from its original state.</w:t>
      </w:r>
      <w:r w:rsidR="00D7605B">
        <w:rPr>
          <w:rFonts w:ascii="Times New Roman" w:eastAsia="Times New Roman" w:hAnsi="Times New Roman" w:cs="Times New Roman"/>
          <w:sz w:val="24"/>
          <w:szCs w:val="20"/>
        </w:rPr>
        <w:t xml:space="preserve">  The Hartmans argue that </w:t>
      </w:r>
      <w:r w:rsidR="00CE5D17">
        <w:rPr>
          <w:rFonts w:ascii="Times New Roman" w:eastAsia="Times New Roman" w:hAnsi="Times New Roman" w:cs="Times New Roman"/>
          <w:sz w:val="24"/>
          <w:szCs w:val="20"/>
        </w:rPr>
        <w:t>Ex</w:t>
      </w:r>
      <w:r w:rsidR="005F3C8B">
        <w:rPr>
          <w:rFonts w:ascii="Times New Roman" w:eastAsia="Times New Roman" w:hAnsi="Times New Roman" w:cs="Times New Roman"/>
          <w:sz w:val="24"/>
          <w:szCs w:val="20"/>
        </w:rPr>
        <w:t>hibit</w:t>
      </w:r>
      <w:r w:rsidR="00CE5D17">
        <w:rPr>
          <w:rFonts w:ascii="Times New Roman" w:eastAsia="Times New Roman" w:hAnsi="Times New Roman" w:cs="Times New Roman"/>
          <w:sz w:val="24"/>
          <w:szCs w:val="20"/>
        </w:rPr>
        <w:t xml:space="preserve"> 14 was taken from the company’s E&amp;S plan, the original of which is in fine print that is </w:t>
      </w:r>
      <w:r w:rsidR="006276AB">
        <w:rPr>
          <w:rFonts w:ascii="Times New Roman" w:eastAsia="Times New Roman" w:hAnsi="Times New Roman" w:cs="Times New Roman"/>
          <w:sz w:val="24"/>
          <w:szCs w:val="20"/>
        </w:rPr>
        <w:t>difficult to read.  They argue that Ex</w:t>
      </w:r>
      <w:r w:rsidR="005F3C8B">
        <w:rPr>
          <w:rFonts w:ascii="Times New Roman" w:eastAsia="Times New Roman" w:hAnsi="Times New Roman" w:cs="Times New Roman"/>
          <w:sz w:val="24"/>
          <w:szCs w:val="20"/>
        </w:rPr>
        <w:t>hibits</w:t>
      </w:r>
      <w:r w:rsidR="006276AB">
        <w:rPr>
          <w:rFonts w:ascii="Times New Roman" w:eastAsia="Times New Roman" w:hAnsi="Times New Roman" w:cs="Times New Roman"/>
          <w:sz w:val="24"/>
          <w:szCs w:val="20"/>
        </w:rPr>
        <w:t xml:space="preserve"> 33 and 37</w:t>
      </w:r>
      <w:r w:rsidR="00BA5A6B">
        <w:rPr>
          <w:rFonts w:ascii="Times New Roman" w:eastAsia="Times New Roman" w:hAnsi="Times New Roman" w:cs="Times New Roman"/>
          <w:sz w:val="24"/>
          <w:szCs w:val="20"/>
        </w:rPr>
        <w:t xml:space="preserve"> were reviewed with three PPL witnesses</w:t>
      </w:r>
      <w:r w:rsidR="00153006">
        <w:rPr>
          <w:rFonts w:ascii="Times New Roman" w:eastAsia="Times New Roman" w:hAnsi="Times New Roman" w:cs="Times New Roman"/>
          <w:sz w:val="24"/>
          <w:szCs w:val="20"/>
        </w:rPr>
        <w:t xml:space="preserve"> and corroborated by other testimony and exhibits.</w:t>
      </w:r>
    </w:p>
    <w:p w14:paraId="6D4A2B98" w14:textId="77777777" w:rsidR="00153006" w:rsidRDefault="00153006" w:rsidP="00A47BA6">
      <w:pPr>
        <w:spacing w:after="0" w:line="360" w:lineRule="auto"/>
        <w:ind w:firstLine="1440"/>
        <w:rPr>
          <w:rFonts w:ascii="Times New Roman" w:eastAsia="Times New Roman" w:hAnsi="Times New Roman" w:cs="Times New Roman"/>
          <w:sz w:val="24"/>
          <w:szCs w:val="20"/>
        </w:rPr>
      </w:pPr>
    </w:p>
    <w:p w14:paraId="20DAA659" w14:textId="2D268E5C" w:rsidR="00BA50A4" w:rsidRDefault="001C0B5F" w:rsidP="00BA50A4">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 </w:t>
      </w:r>
      <w:r w:rsidR="00223696">
        <w:rPr>
          <w:rFonts w:ascii="Times New Roman" w:eastAsia="Times New Roman" w:hAnsi="Times New Roman" w:cs="Times New Roman"/>
          <w:sz w:val="24"/>
          <w:szCs w:val="20"/>
        </w:rPr>
        <w:t xml:space="preserve">note that </w:t>
      </w:r>
      <w:r w:rsidR="001E139C">
        <w:rPr>
          <w:rFonts w:ascii="Times New Roman" w:eastAsia="Times New Roman" w:hAnsi="Times New Roman" w:cs="Times New Roman"/>
          <w:sz w:val="24"/>
          <w:szCs w:val="20"/>
        </w:rPr>
        <w:t xml:space="preserve">Ex. 14 was stricken above on other grounds.  </w:t>
      </w:r>
      <w:r w:rsidR="004F198C">
        <w:rPr>
          <w:rFonts w:ascii="Times New Roman" w:eastAsia="Times New Roman" w:hAnsi="Times New Roman" w:cs="Times New Roman"/>
          <w:sz w:val="24"/>
          <w:szCs w:val="20"/>
        </w:rPr>
        <w:t>I</w:t>
      </w:r>
      <w:r w:rsidR="001E139C">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will deny PPL’s Motion to strike </w:t>
      </w:r>
      <w:r w:rsidR="00453C1B">
        <w:rPr>
          <w:rFonts w:ascii="Times New Roman" w:eastAsia="Times New Roman" w:hAnsi="Times New Roman" w:cs="Times New Roman"/>
          <w:sz w:val="24"/>
          <w:szCs w:val="20"/>
        </w:rPr>
        <w:t xml:space="preserve">Hartman </w:t>
      </w:r>
      <w:r w:rsidR="004F198C">
        <w:rPr>
          <w:rFonts w:ascii="Times New Roman" w:eastAsia="Times New Roman" w:hAnsi="Times New Roman" w:cs="Times New Roman"/>
          <w:sz w:val="24"/>
          <w:szCs w:val="20"/>
        </w:rPr>
        <w:t>Ex</w:t>
      </w:r>
      <w:r w:rsidR="00453C1B">
        <w:rPr>
          <w:rFonts w:ascii="Times New Roman" w:eastAsia="Times New Roman" w:hAnsi="Times New Roman" w:cs="Times New Roman"/>
          <w:sz w:val="24"/>
          <w:szCs w:val="20"/>
        </w:rPr>
        <w:t>hibits</w:t>
      </w:r>
      <w:r w:rsidR="004F198C">
        <w:rPr>
          <w:rFonts w:ascii="Times New Roman" w:eastAsia="Times New Roman" w:hAnsi="Times New Roman" w:cs="Times New Roman"/>
          <w:sz w:val="24"/>
          <w:szCs w:val="20"/>
        </w:rPr>
        <w:t xml:space="preserve"> 33 and 37.  </w:t>
      </w:r>
      <w:r>
        <w:rPr>
          <w:rFonts w:ascii="Times New Roman" w:eastAsia="Times New Roman" w:hAnsi="Times New Roman" w:cs="Times New Roman"/>
          <w:sz w:val="24"/>
          <w:szCs w:val="20"/>
        </w:rPr>
        <w:t xml:space="preserve">To the extent that information from </w:t>
      </w:r>
      <w:r w:rsidR="00AD46C8">
        <w:rPr>
          <w:rFonts w:ascii="Times New Roman" w:eastAsia="Times New Roman" w:hAnsi="Times New Roman" w:cs="Times New Roman"/>
          <w:sz w:val="24"/>
          <w:szCs w:val="20"/>
        </w:rPr>
        <w:t xml:space="preserve">PPL’s E&amp;S plan is useful in determining any of the issues to be decided in this case, the parties and I can refer to the full plan </w:t>
      </w:r>
      <w:r w:rsidR="005574B4">
        <w:rPr>
          <w:rFonts w:ascii="Times New Roman" w:eastAsia="Times New Roman" w:hAnsi="Times New Roman" w:cs="Times New Roman"/>
          <w:sz w:val="24"/>
          <w:szCs w:val="20"/>
        </w:rPr>
        <w:t xml:space="preserve">included as part of PPL’s evidence.  </w:t>
      </w:r>
      <w:r w:rsidR="00073AD8">
        <w:rPr>
          <w:rFonts w:ascii="Times New Roman" w:eastAsia="Times New Roman" w:hAnsi="Times New Roman" w:cs="Times New Roman"/>
          <w:sz w:val="24"/>
          <w:szCs w:val="20"/>
        </w:rPr>
        <w:t>As noted above, general i</w:t>
      </w:r>
      <w:r w:rsidR="00AA23EF">
        <w:rPr>
          <w:rFonts w:ascii="Times New Roman" w:eastAsia="Times New Roman" w:hAnsi="Times New Roman" w:cs="Times New Roman"/>
          <w:sz w:val="24"/>
          <w:szCs w:val="20"/>
        </w:rPr>
        <w:t xml:space="preserve">nformation about Mile-a-Minute and “rip-rap” </w:t>
      </w:r>
      <w:r w:rsidR="002761B9">
        <w:rPr>
          <w:rFonts w:ascii="Times New Roman" w:eastAsia="Times New Roman" w:hAnsi="Times New Roman" w:cs="Times New Roman"/>
          <w:sz w:val="24"/>
          <w:szCs w:val="20"/>
        </w:rPr>
        <w:t>may be helpful to me in</w:t>
      </w:r>
      <w:r w:rsidR="00073AD8">
        <w:rPr>
          <w:rFonts w:ascii="Times New Roman" w:eastAsia="Times New Roman" w:hAnsi="Times New Roman" w:cs="Times New Roman"/>
          <w:sz w:val="24"/>
          <w:szCs w:val="20"/>
        </w:rPr>
        <w:t xml:space="preserve"> having a basic and general understanding </w:t>
      </w:r>
      <w:r w:rsidR="00FB328C">
        <w:rPr>
          <w:rFonts w:ascii="Times New Roman" w:eastAsia="Times New Roman" w:hAnsi="Times New Roman" w:cs="Times New Roman"/>
          <w:sz w:val="24"/>
          <w:szCs w:val="20"/>
        </w:rPr>
        <w:t xml:space="preserve">about these items as I address the parties’ arguments.  They will be admitted and used </w:t>
      </w:r>
      <w:r w:rsidR="00BA50A4">
        <w:rPr>
          <w:rFonts w:ascii="Times New Roman" w:eastAsia="Times New Roman" w:hAnsi="Times New Roman" w:cs="Times New Roman"/>
          <w:sz w:val="24"/>
          <w:szCs w:val="20"/>
        </w:rPr>
        <w:t>by me for no other purpose.</w:t>
      </w:r>
      <w:r w:rsidR="00210FAD">
        <w:rPr>
          <w:rFonts w:ascii="Times New Roman" w:eastAsia="Times New Roman" w:hAnsi="Times New Roman" w:cs="Times New Roman"/>
          <w:sz w:val="24"/>
          <w:szCs w:val="20"/>
        </w:rPr>
        <w:t xml:space="preserve">  </w:t>
      </w:r>
      <w:r w:rsidR="00795B58">
        <w:rPr>
          <w:rFonts w:ascii="Times New Roman" w:eastAsia="Times New Roman" w:hAnsi="Times New Roman" w:cs="Times New Roman"/>
          <w:sz w:val="24"/>
          <w:szCs w:val="20"/>
        </w:rPr>
        <w:t>The degree to which I determine the level of reliability o</w:t>
      </w:r>
      <w:r w:rsidR="0001314B">
        <w:rPr>
          <w:rFonts w:ascii="Times New Roman" w:eastAsia="Times New Roman" w:hAnsi="Times New Roman" w:cs="Times New Roman"/>
          <w:sz w:val="24"/>
          <w:szCs w:val="20"/>
        </w:rPr>
        <w:t xml:space="preserve">f the challenged exhibits will dictate the weight given to them preparing a decision. </w:t>
      </w:r>
      <w:r w:rsidR="00BA50A4">
        <w:rPr>
          <w:rFonts w:ascii="Times New Roman" w:eastAsia="Times New Roman" w:hAnsi="Times New Roman" w:cs="Times New Roman"/>
          <w:sz w:val="24"/>
          <w:szCs w:val="20"/>
        </w:rPr>
        <w:t xml:space="preserve">  </w:t>
      </w:r>
      <w:r w:rsidR="00FB328C">
        <w:rPr>
          <w:rFonts w:ascii="Times New Roman" w:eastAsia="Times New Roman" w:hAnsi="Times New Roman" w:cs="Times New Roman"/>
          <w:sz w:val="24"/>
          <w:szCs w:val="20"/>
        </w:rPr>
        <w:t xml:space="preserve"> </w:t>
      </w:r>
      <w:r w:rsidR="002761B9">
        <w:rPr>
          <w:rFonts w:ascii="Times New Roman" w:eastAsia="Times New Roman" w:hAnsi="Times New Roman" w:cs="Times New Roman"/>
          <w:sz w:val="24"/>
          <w:szCs w:val="20"/>
        </w:rPr>
        <w:t xml:space="preserve"> </w:t>
      </w:r>
    </w:p>
    <w:p w14:paraId="651A1BE2" w14:textId="77777777" w:rsidR="00BA50A4" w:rsidRDefault="00BA50A4" w:rsidP="00BA50A4">
      <w:pPr>
        <w:spacing w:after="0" w:line="360" w:lineRule="auto"/>
        <w:ind w:firstLine="1440"/>
        <w:rPr>
          <w:rFonts w:ascii="Times New Roman" w:eastAsia="Times New Roman" w:hAnsi="Times New Roman" w:cs="Times New Roman"/>
          <w:sz w:val="24"/>
          <w:szCs w:val="20"/>
        </w:rPr>
      </w:pPr>
    </w:p>
    <w:p w14:paraId="35ACA2D1" w14:textId="5D5F705D" w:rsidR="00BA50A4" w:rsidRDefault="00BA50A4" w:rsidP="0039465B">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Accordingly, I will deny PPL’s Motion requesting to strike Hartman Ex</w:t>
      </w:r>
      <w:r w:rsidR="00A2362E">
        <w:rPr>
          <w:rFonts w:ascii="Times New Roman" w:eastAsia="Times New Roman" w:hAnsi="Times New Roman" w:cs="Times New Roman"/>
          <w:sz w:val="24"/>
          <w:szCs w:val="20"/>
        </w:rPr>
        <w:t>hibits</w:t>
      </w:r>
      <w:r>
        <w:rPr>
          <w:rFonts w:ascii="Times New Roman" w:eastAsia="Times New Roman" w:hAnsi="Times New Roman" w:cs="Times New Roman"/>
          <w:sz w:val="24"/>
          <w:szCs w:val="20"/>
        </w:rPr>
        <w:t xml:space="preserve"> </w:t>
      </w:r>
      <w:r w:rsidR="0039465B">
        <w:rPr>
          <w:rFonts w:ascii="Times New Roman" w:eastAsia="Times New Roman" w:hAnsi="Times New Roman" w:cs="Times New Roman"/>
          <w:sz w:val="24"/>
          <w:szCs w:val="20"/>
        </w:rPr>
        <w:t>33 and 37.</w:t>
      </w:r>
    </w:p>
    <w:p w14:paraId="5FD289FA" w14:textId="44D54C39" w:rsidR="0039465B" w:rsidRDefault="0039465B" w:rsidP="0039465B">
      <w:pPr>
        <w:spacing w:after="0" w:line="360" w:lineRule="auto"/>
        <w:ind w:firstLine="1440"/>
        <w:rPr>
          <w:rFonts w:ascii="Times New Roman" w:eastAsia="Times New Roman" w:hAnsi="Times New Roman" w:cs="Times New Roman"/>
          <w:sz w:val="24"/>
          <w:szCs w:val="20"/>
        </w:rPr>
      </w:pPr>
    </w:p>
    <w:p w14:paraId="45D9F7B4" w14:textId="77777777" w:rsidR="006B7F3C" w:rsidRDefault="006B7F3C" w:rsidP="0039465B">
      <w:pPr>
        <w:spacing w:after="0" w:line="360" w:lineRule="auto"/>
        <w:ind w:firstLine="1440"/>
        <w:rPr>
          <w:rFonts w:ascii="Times New Roman" w:eastAsia="Times New Roman" w:hAnsi="Times New Roman" w:cs="Times New Roman"/>
          <w:sz w:val="24"/>
          <w:szCs w:val="20"/>
        </w:rPr>
      </w:pPr>
    </w:p>
    <w:p w14:paraId="70068F01" w14:textId="40DAA498" w:rsidR="008C19C9" w:rsidRDefault="00386BF1" w:rsidP="00386BF1">
      <w:pPr>
        <w:pStyle w:val="ListParagraph"/>
        <w:numPr>
          <w:ilvl w:val="0"/>
          <w:numId w:val="3"/>
        </w:numPr>
        <w:spacing w:after="0" w:line="240" w:lineRule="auto"/>
        <w:ind w:right="1440" w:hanging="720"/>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lastRenderedPageBreak/>
        <w:t>Hartman Exhibits 7A through 53 were not properly included in</w:t>
      </w:r>
      <w:r w:rsidR="00262C68">
        <w:rPr>
          <w:rFonts w:ascii="Times New Roman" w:eastAsia="Times New Roman" w:hAnsi="Times New Roman" w:cs="Times New Roman"/>
          <w:b/>
          <w:bCs/>
          <w:sz w:val="24"/>
          <w:szCs w:val="20"/>
        </w:rPr>
        <w:t xml:space="preserve"> Complainant’s case-in-chief or in surrebuttal testimony</w:t>
      </w:r>
      <w:r w:rsidR="00304534">
        <w:rPr>
          <w:rFonts w:ascii="Times New Roman" w:eastAsia="Times New Roman" w:hAnsi="Times New Roman" w:cs="Times New Roman"/>
          <w:b/>
          <w:bCs/>
          <w:sz w:val="24"/>
          <w:szCs w:val="20"/>
        </w:rPr>
        <w:t>.</w:t>
      </w:r>
    </w:p>
    <w:p w14:paraId="3B68A11C" w14:textId="77777777" w:rsidR="008C19C9" w:rsidRDefault="008C19C9" w:rsidP="006B7F3C">
      <w:pPr>
        <w:spacing w:after="0" w:line="360" w:lineRule="auto"/>
        <w:ind w:right="1440"/>
        <w:rPr>
          <w:rFonts w:ascii="Times New Roman" w:eastAsia="Times New Roman" w:hAnsi="Times New Roman" w:cs="Times New Roman"/>
          <w:b/>
          <w:bCs/>
          <w:sz w:val="24"/>
          <w:szCs w:val="20"/>
        </w:rPr>
      </w:pPr>
    </w:p>
    <w:p w14:paraId="75A390CA" w14:textId="29F94B99" w:rsidR="002C62FA" w:rsidRDefault="00EC655E" w:rsidP="0055140F">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PPL notes that the Hartmans submitted their </w:t>
      </w:r>
      <w:r w:rsidR="0055140F">
        <w:rPr>
          <w:rFonts w:ascii="Times New Roman" w:eastAsia="Times New Roman" w:hAnsi="Times New Roman" w:cs="Times New Roman"/>
          <w:sz w:val="24"/>
          <w:szCs w:val="20"/>
        </w:rPr>
        <w:t>direct testimony and exhibits on May 27, 2022</w:t>
      </w:r>
      <w:r w:rsidR="00DA303D">
        <w:rPr>
          <w:rFonts w:ascii="Times New Roman" w:eastAsia="Times New Roman" w:hAnsi="Times New Roman" w:cs="Times New Roman"/>
          <w:sz w:val="24"/>
          <w:szCs w:val="20"/>
        </w:rPr>
        <w:t xml:space="preserve">, in accordance with the schedule established and agreed upon by the parties.  </w:t>
      </w:r>
      <w:r w:rsidR="00D35804">
        <w:rPr>
          <w:rFonts w:ascii="Times New Roman" w:eastAsia="Times New Roman" w:hAnsi="Times New Roman" w:cs="Times New Roman"/>
          <w:sz w:val="24"/>
          <w:szCs w:val="20"/>
        </w:rPr>
        <w:t xml:space="preserve">The Hartmans </w:t>
      </w:r>
      <w:r w:rsidR="003E1D38">
        <w:rPr>
          <w:rFonts w:ascii="Times New Roman" w:eastAsia="Times New Roman" w:hAnsi="Times New Roman" w:cs="Times New Roman"/>
          <w:sz w:val="24"/>
          <w:szCs w:val="20"/>
        </w:rPr>
        <w:t>did not submit surrebuttal testimony.</w:t>
      </w:r>
      <w:r w:rsidR="001C5D62">
        <w:rPr>
          <w:rFonts w:ascii="Times New Roman" w:eastAsia="Times New Roman" w:hAnsi="Times New Roman" w:cs="Times New Roman"/>
          <w:sz w:val="24"/>
          <w:szCs w:val="20"/>
        </w:rPr>
        <w:t xml:space="preserve">  </w:t>
      </w:r>
      <w:r w:rsidR="00263AE8">
        <w:rPr>
          <w:rFonts w:ascii="Times New Roman" w:eastAsia="Times New Roman" w:hAnsi="Times New Roman" w:cs="Times New Roman"/>
          <w:sz w:val="24"/>
          <w:szCs w:val="20"/>
        </w:rPr>
        <w:t>S</w:t>
      </w:r>
      <w:r w:rsidR="001C5D62">
        <w:rPr>
          <w:rFonts w:ascii="Times New Roman" w:eastAsia="Times New Roman" w:hAnsi="Times New Roman" w:cs="Times New Roman"/>
          <w:sz w:val="24"/>
          <w:szCs w:val="20"/>
        </w:rPr>
        <w:t>ubsequently</w:t>
      </w:r>
      <w:r w:rsidR="00263AE8">
        <w:rPr>
          <w:rFonts w:ascii="Times New Roman" w:eastAsia="Times New Roman" w:hAnsi="Times New Roman" w:cs="Times New Roman"/>
          <w:sz w:val="24"/>
          <w:szCs w:val="20"/>
        </w:rPr>
        <w:t>, on August 11, 2022, th</w:t>
      </w:r>
      <w:r w:rsidR="00B014FF">
        <w:rPr>
          <w:rFonts w:ascii="Times New Roman" w:eastAsia="Times New Roman" w:hAnsi="Times New Roman" w:cs="Times New Roman"/>
          <w:sz w:val="24"/>
          <w:szCs w:val="20"/>
        </w:rPr>
        <w:t>e Hartmans</w:t>
      </w:r>
      <w:r w:rsidR="001C5D62">
        <w:rPr>
          <w:rFonts w:ascii="Times New Roman" w:eastAsia="Times New Roman" w:hAnsi="Times New Roman" w:cs="Times New Roman"/>
          <w:sz w:val="24"/>
          <w:szCs w:val="20"/>
        </w:rPr>
        <w:t xml:space="preserve"> submitted </w:t>
      </w:r>
      <w:r w:rsidR="004D343E">
        <w:rPr>
          <w:rFonts w:ascii="Times New Roman" w:eastAsia="Times New Roman" w:hAnsi="Times New Roman" w:cs="Times New Roman"/>
          <w:sz w:val="24"/>
          <w:szCs w:val="20"/>
        </w:rPr>
        <w:t>E</w:t>
      </w:r>
      <w:r w:rsidR="00B014FF">
        <w:rPr>
          <w:rFonts w:ascii="Times New Roman" w:eastAsia="Times New Roman" w:hAnsi="Times New Roman" w:cs="Times New Roman"/>
          <w:sz w:val="24"/>
          <w:szCs w:val="20"/>
        </w:rPr>
        <w:t xml:space="preserve">xhibit </w:t>
      </w:r>
      <w:r w:rsidR="004D343E">
        <w:rPr>
          <w:rFonts w:ascii="Times New Roman" w:eastAsia="Times New Roman" w:hAnsi="Times New Roman" w:cs="Times New Roman"/>
          <w:sz w:val="24"/>
          <w:szCs w:val="20"/>
        </w:rPr>
        <w:t>N</w:t>
      </w:r>
      <w:r w:rsidR="00B014FF">
        <w:rPr>
          <w:rFonts w:ascii="Times New Roman" w:eastAsia="Times New Roman" w:hAnsi="Times New Roman" w:cs="Times New Roman"/>
          <w:sz w:val="24"/>
          <w:szCs w:val="20"/>
        </w:rPr>
        <w:t>os. 7A th</w:t>
      </w:r>
      <w:r w:rsidR="00875928">
        <w:rPr>
          <w:rFonts w:ascii="Times New Roman" w:eastAsia="Times New Roman" w:hAnsi="Times New Roman" w:cs="Times New Roman"/>
          <w:sz w:val="24"/>
          <w:szCs w:val="20"/>
        </w:rPr>
        <w:t>r</w:t>
      </w:r>
      <w:r w:rsidR="00B014FF">
        <w:rPr>
          <w:rFonts w:ascii="Times New Roman" w:eastAsia="Times New Roman" w:hAnsi="Times New Roman" w:cs="Times New Roman"/>
          <w:sz w:val="24"/>
          <w:szCs w:val="20"/>
        </w:rPr>
        <w:t>ough</w:t>
      </w:r>
      <w:r w:rsidR="00875928">
        <w:rPr>
          <w:rFonts w:ascii="Times New Roman" w:eastAsia="Times New Roman" w:hAnsi="Times New Roman" w:cs="Times New Roman"/>
          <w:sz w:val="24"/>
          <w:szCs w:val="20"/>
        </w:rPr>
        <w:t xml:space="preserve"> </w:t>
      </w:r>
      <w:r w:rsidR="00B014FF">
        <w:rPr>
          <w:rFonts w:ascii="Times New Roman" w:eastAsia="Times New Roman" w:hAnsi="Times New Roman" w:cs="Times New Roman"/>
          <w:sz w:val="24"/>
          <w:szCs w:val="20"/>
        </w:rPr>
        <w:t>52</w:t>
      </w:r>
      <w:r w:rsidR="00875928">
        <w:rPr>
          <w:rFonts w:ascii="Times New Roman" w:eastAsia="Times New Roman" w:hAnsi="Times New Roman" w:cs="Times New Roman"/>
          <w:sz w:val="24"/>
          <w:szCs w:val="20"/>
        </w:rPr>
        <w:t>.  On August 12, 2022, they submitted</w:t>
      </w:r>
      <w:r w:rsidR="00A10AD9">
        <w:rPr>
          <w:rFonts w:ascii="Times New Roman" w:eastAsia="Times New Roman" w:hAnsi="Times New Roman" w:cs="Times New Roman"/>
          <w:sz w:val="24"/>
          <w:szCs w:val="20"/>
        </w:rPr>
        <w:t xml:space="preserve"> exhibit 53.  PPL argues that </w:t>
      </w:r>
      <w:r w:rsidR="009133D7">
        <w:rPr>
          <w:rFonts w:ascii="Times New Roman" w:eastAsia="Times New Roman" w:hAnsi="Times New Roman" w:cs="Times New Roman"/>
          <w:sz w:val="24"/>
          <w:szCs w:val="20"/>
        </w:rPr>
        <w:t>these exhibits should have been submitted as part of their case in chief</w:t>
      </w:r>
      <w:r w:rsidR="007F6DB5">
        <w:rPr>
          <w:rFonts w:ascii="Times New Roman" w:eastAsia="Times New Roman" w:hAnsi="Times New Roman" w:cs="Times New Roman"/>
          <w:sz w:val="24"/>
          <w:szCs w:val="20"/>
        </w:rPr>
        <w:t xml:space="preserve">, either with their direct testimony or as part of surrebuttal testimony.  Since the challenged exhibits </w:t>
      </w:r>
      <w:r w:rsidR="005F0DC8">
        <w:rPr>
          <w:rFonts w:ascii="Times New Roman" w:eastAsia="Times New Roman" w:hAnsi="Times New Roman" w:cs="Times New Roman"/>
          <w:sz w:val="24"/>
          <w:szCs w:val="20"/>
        </w:rPr>
        <w:t xml:space="preserve">were included with neither, PPL argues </w:t>
      </w:r>
      <w:r w:rsidR="007D01DD">
        <w:rPr>
          <w:rFonts w:ascii="Times New Roman" w:eastAsia="Times New Roman" w:hAnsi="Times New Roman" w:cs="Times New Roman"/>
          <w:sz w:val="24"/>
          <w:szCs w:val="20"/>
        </w:rPr>
        <w:t>the Hartmans are attempting to shoehorn additional evidence in</w:t>
      </w:r>
      <w:r w:rsidR="009D2B93">
        <w:rPr>
          <w:rFonts w:ascii="Times New Roman" w:eastAsia="Times New Roman" w:hAnsi="Times New Roman" w:cs="Times New Roman"/>
          <w:sz w:val="24"/>
          <w:szCs w:val="20"/>
        </w:rPr>
        <w:t xml:space="preserve">to the record </w:t>
      </w:r>
      <w:r w:rsidR="002C62FA">
        <w:rPr>
          <w:rFonts w:ascii="Times New Roman" w:eastAsia="Times New Roman" w:hAnsi="Times New Roman" w:cs="Times New Roman"/>
          <w:sz w:val="24"/>
          <w:szCs w:val="20"/>
        </w:rPr>
        <w:t>five days before the start of hearings.</w:t>
      </w:r>
      <w:r>
        <w:rPr>
          <w:rFonts w:ascii="Times New Roman" w:eastAsia="Times New Roman" w:hAnsi="Times New Roman" w:cs="Times New Roman"/>
          <w:sz w:val="24"/>
          <w:szCs w:val="20"/>
        </w:rPr>
        <w:t xml:space="preserve"> </w:t>
      </w:r>
      <w:r w:rsidR="002C62FA">
        <w:rPr>
          <w:rFonts w:ascii="Times New Roman" w:eastAsia="Times New Roman" w:hAnsi="Times New Roman" w:cs="Times New Roman"/>
          <w:sz w:val="24"/>
          <w:szCs w:val="20"/>
        </w:rPr>
        <w:t xml:space="preserve"> PPL argues that Hartman Exhibits 7A-53 should be stricken</w:t>
      </w:r>
      <w:r w:rsidR="003D77DD">
        <w:rPr>
          <w:rFonts w:ascii="Times New Roman" w:eastAsia="Times New Roman" w:hAnsi="Times New Roman" w:cs="Times New Roman"/>
          <w:sz w:val="24"/>
          <w:szCs w:val="20"/>
        </w:rPr>
        <w:t xml:space="preserve"> on this basis</w:t>
      </w:r>
      <w:r w:rsidR="002C62FA">
        <w:rPr>
          <w:rFonts w:ascii="Times New Roman" w:eastAsia="Times New Roman" w:hAnsi="Times New Roman" w:cs="Times New Roman"/>
          <w:sz w:val="24"/>
          <w:szCs w:val="20"/>
        </w:rPr>
        <w:t>.</w:t>
      </w:r>
    </w:p>
    <w:p w14:paraId="750EEAA6" w14:textId="77777777" w:rsidR="002C62FA" w:rsidRDefault="002C62FA" w:rsidP="0055140F">
      <w:pPr>
        <w:spacing w:after="0" w:line="360" w:lineRule="auto"/>
        <w:ind w:firstLine="1440"/>
        <w:rPr>
          <w:rFonts w:ascii="Times New Roman" w:eastAsia="Times New Roman" w:hAnsi="Times New Roman" w:cs="Times New Roman"/>
          <w:sz w:val="24"/>
          <w:szCs w:val="20"/>
        </w:rPr>
      </w:pPr>
    </w:p>
    <w:p w14:paraId="5CC4C662" w14:textId="2C8B95F1" w:rsidR="00DE23DD" w:rsidRDefault="002C62FA" w:rsidP="0055140F">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Hartmans </w:t>
      </w:r>
      <w:r w:rsidR="0023777D">
        <w:rPr>
          <w:rFonts w:ascii="Times New Roman" w:eastAsia="Times New Roman" w:hAnsi="Times New Roman" w:cs="Times New Roman"/>
          <w:sz w:val="24"/>
          <w:szCs w:val="20"/>
        </w:rPr>
        <w:t xml:space="preserve">argue that they were under the mistaken belief </w:t>
      </w:r>
      <w:r w:rsidR="00C60273">
        <w:rPr>
          <w:rFonts w:ascii="Times New Roman" w:eastAsia="Times New Roman" w:hAnsi="Times New Roman" w:cs="Times New Roman"/>
          <w:sz w:val="24"/>
          <w:szCs w:val="20"/>
        </w:rPr>
        <w:t>that they would be able to present their case in chief in person during the hearing</w:t>
      </w:r>
      <w:r w:rsidR="00AF5F86">
        <w:rPr>
          <w:rFonts w:ascii="Times New Roman" w:eastAsia="Times New Roman" w:hAnsi="Times New Roman" w:cs="Times New Roman"/>
          <w:sz w:val="24"/>
          <w:szCs w:val="20"/>
        </w:rPr>
        <w:t>s</w:t>
      </w:r>
      <w:r w:rsidR="00C60273">
        <w:rPr>
          <w:rFonts w:ascii="Times New Roman" w:eastAsia="Times New Roman" w:hAnsi="Times New Roman" w:cs="Times New Roman"/>
          <w:sz w:val="24"/>
          <w:szCs w:val="20"/>
        </w:rPr>
        <w:t xml:space="preserve">, rather than having to rely solely </w:t>
      </w:r>
      <w:r w:rsidR="00EB5834">
        <w:rPr>
          <w:rFonts w:ascii="Times New Roman" w:eastAsia="Times New Roman" w:hAnsi="Times New Roman" w:cs="Times New Roman"/>
          <w:sz w:val="24"/>
          <w:szCs w:val="20"/>
        </w:rPr>
        <w:t xml:space="preserve">on their written testimony and exhibits </w:t>
      </w:r>
      <w:r w:rsidR="00AF5F86">
        <w:rPr>
          <w:rFonts w:ascii="Times New Roman" w:eastAsia="Times New Roman" w:hAnsi="Times New Roman" w:cs="Times New Roman"/>
          <w:sz w:val="24"/>
          <w:szCs w:val="20"/>
        </w:rPr>
        <w:t xml:space="preserve">submitted prior to the hearings. </w:t>
      </w:r>
      <w:r w:rsidR="00147C96">
        <w:rPr>
          <w:rFonts w:ascii="Times New Roman" w:eastAsia="Times New Roman" w:hAnsi="Times New Roman" w:cs="Times New Roman"/>
          <w:sz w:val="24"/>
          <w:szCs w:val="20"/>
        </w:rPr>
        <w:t xml:space="preserve"> </w:t>
      </w:r>
      <w:r w:rsidR="00AD1975">
        <w:rPr>
          <w:rFonts w:ascii="Times New Roman" w:eastAsia="Times New Roman" w:hAnsi="Times New Roman" w:cs="Times New Roman"/>
          <w:sz w:val="24"/>
          <w:szCs w:val="20"/>
        </w:rPr>
        <w:t>They argue that the admission of the challenged exhibits will not adversely affect the rights of the parties</w:t>
      </w:r>
      <w:r w:rsidR="00CB310D">
        <w:rPr>
          <w:rFonts w:ascii="Times New Roman" w:eastAsia="Times New Roman" w:hAnsi="Times New Roman" w:cs="Times New Roman"/>
          <w:sz w:val="24"/>
          <w:szCs w:val="20"/>
        </w:rPr>
        <w:t xml:space="preserve"> and that PPL has had sufficient opportunity to </w:t>
      </w:r>
      <w:r w:rsidR="00DE23DD">
        <w:rPr>
          <w:rFonts w:ascii="Times New Roman" w:eastAsia="Times New Roman" w:hAnsi="Times New Roman" w:cs="Times New Roman"/>
          <w:sz w:val="24"/>
          <w:szCs w:val="20"/>
        </w:rPr>
        <w:t xml:space="preserve">address and </w:t>
      </w:r>
      <w:r w:rsidR="00CB310D">
        <w:rPr>
          <w:rFonts w:ascii="Times New Roman" w:eastAsia="Times New Roman" w:hAnsi="Times New Roman" w:cs="Times New Roman"/>
          <w:sz w:val="24"/>
          <w:szCs w:val="20"/>
        </w:rPr>
        <w:t>challenge the exhibits</w:t>
      </w:r>
      <w:r w:rsidR="00DE23DD">
        <w:rPr>
          <w:rFonts w:ascii="Times New Roman" w:eastAsia="Times New Roman" w:hAnsi="Times New Roman" w:cs="Times New Roman"/>
          <w:sz w:val="24"/>
          <w:szCs w:val="20"/>
        </w:rPr>
        <w:t xml:space="preserve"> during the hearings.</w:t>
      </w:r>
      <w:r w:rsidR="00164FBC">
        <w:rPr>
          <w:rFonts w:ascii="Times New Roman" w:eastAsia="Times New Roman" w:hAnsi="Times New Roman" w:cs="Times New Roman"/>
          <w:sz w:val="24"/>
          <w:szCs w:val="20"/>
        </w:rPr>
        <w:t xml:space="preserve">  </w:t>
      </w:r>
      <w:r w:rsidR="00DE23DD">
        <w:rPr>
          <w:rFonts w:ascii="Times New Roman" w:eastAsia="Times New Roman" w:hAnsi="Times New Roman" w:cs="Times New Roman"/>
          <w:sz w:val="24"/>
          <w:szCs w:val="20"/>
        </w:rPr>
        <w:t xml:space="preserve">  </w:t>
      </w:r>
    </w:p>
    <w:p w14:paraId="0FF34490" w14:textId="77777777" w:rsidR="00DE5DAD" w:rsidRDefault="00DE5DAD" w:rsidP="0055140F">
      <w:pPr>
        <w:spacing w:after="0" w:line="360" w:lineRule="auto"/>
        <w:ind w:firstLine="1440"/>
        <w:rPr>
          <w:rFonts w:ascii="Times New Roman" w:eastAsia="Times New Roman" w:hAnsi="Times New Roman" w:cs="Times New Roman"/>
          <w:sz w:val="24"/>
          <w:szCs w:val="20"/>
        </w:rPr>
      </w:pPr>
    </w:p>
    <w:p w14:paraId="4F71DD62" w14:textId="00C1C3BD" w:rsidR="007375C5" w:rsidRDefault="00971C5A" w:rsidP="0055140F">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I note that c</w:t>
      </w:r>
      <w:r w:rsidR="00A139EA">
        <w:rPr>
          <w:rFonts w:ascii="Times New Roman" w:eastAsia="Times New Roman" w:hAnsi="Times New Roman" w:cs="Times New Roman"/>
          <w:sz w:val="24"/>
          <w:szCs w:val="20"/>
        </w:rPr>
        <w:t>ertain of the challenged Hartman exhibits have</w:t>
      </w:r>
      <w:r>
        <w:rPr>
          <w:rFonts w:ascii="Times New Roman" w:eastAsia="Times New Roman" w:hAnsi="Times New Roman" w:cs="Times New Roman"/>
          <w:sz w:val="24"/>
          <w:szCs w:val="20"/>
        </w:rPr>
        <w:t xml:space="preserve"> already</w:t>
      </w:r>
      <w:r w:rsidR="00A139EA">
        <w:rPr>
          <w:rFonts w:ascii="Times New Roman" w:eastAsia="Times New Roman" w:hAnsi="Times New Roman" w:cs="Times New Roman"/>
          <w:sz w:val="24"/>
          <w:szCs w:val="20"/>
        </w:rPr>
        <w:t xml:space="preserve"> been stricken </w:t>
      </w:r>
      <w:r w:rsidR="00930431">
        <w:rPr>
          <w:rFonts w:ascii="Times New Roman" w:eastAsia="Times New Roman" w:hAnsi="Times New Roman" w:cs="Times New Roman"/>
          <w:sz w:val="24"/>
          <w:szCs w:val="20"/>
        </w:rPr>
        <w:t xml:space="preserve">in response to other challenges raised by PPL in its Motion.  </w:t>
      </w:r>
      <w:r w:rsidR="00DE5DAD">
        <w:rPr>
          <w:rFonts w:ascii="Times New Roman" w:eastAsia="Times New Roman" w:hAnsi="Times New Roman" w:cs="Times New Roman"/>
          <w:sz w:val="24"/>
          <w:szCs w:val="20"/>
        </w:rPr>
        <w:t>With respect to</w:t>
      </w:r>
      <w:r w:rsidR="00930431">
        <w:rPr>
          <w:rFonts w:ascii="Times New Roman" w:eastAsia="Times New Roman" w:hAnsi="Times New Roman" w:cs="Times New Roman"/>
          <w:sz w:val="24"/>
          <w:szCs w:val="20"/>
        </w:rPr>
        <w:t xml:space="preserve"> the remaining</w:t>
      </w:r>
      <w:r w:rsidR="00DE5DAD">
        <w:rPr>
          <w:rFonts w:ascii="Times New Roman" w:eastAsia="Times New Roman" w:hAnsi="Times New Roman" w:cs="Times New Roman"/>
          <w:sz w:val="24"/>
          <w:szCs w:val="20"/>
        </w:rPr>
        <w:t xml:space="preserve"> Hartman Exhibits 7A-53, I will deny PPL’s Motion and </w:t>
      </w:r>
      <w:r w:rsidR="00930431">
        <w:rPr>
          <w:rFonts w:ascii="Times New Roman" w:eastAsia="Times New Roman" w:hAnsi="Times New Roman" w:cs="Times New Roman"/>
          <w:sz w:val="24"/>
          <w:szCs w:val="20"/>
        </w:rPr>
        <w:t xml:space="preserve">admit </w:t>
      </w:r>
      <w:r w:rsidR="00582988">
        <w:rPr>
          <w:rFonts w:ascii="Times New Roman" w:eastAsia="Times New Roman" w:hAnsi="Times New Roman" w:cs="Times New Roman"/>
          <w:sz w:val="24"/>
          <w:szCs w:val="20"/>
        </w:rPr>
        <w:t>the exhibits into the record.</w:t>
      </w:r>
      <w:r w:rsidR="00870EE7">
        <w:rPr>
          <w:rFonts w:ascii="Times New Roman" w:eastAsia="Times New Roman" w:hAnsi="Times New Roman" w:cs="Times New Roman"/>
          <w:sz w:val="24"/>
          <w:szCs w:val="20"/>
        </w:rPr>
        <w:t xml:space="preserve">  I</w:t>
      </w:r>
      <w:r w:rsidR="00D72213">
        <w:rPr>
          <w:rFonts w:ascii="Times New Roman" w:eastAsia="Times New Roman" w:hAnsi="Times New Roman" w:cs="Times New Roman"/>
          <w:sz w:val="24"/>
          <w:szCs w:val="20"/>
        </w:rPr>
        <w:t xml:space="preserve"> do not</w:t>
      </w:r>
      <w:r w:rsidR="00870EE7">
        <w:rPr>
          <w:rFonts w:ascii="Times New Roman" w:eastAsia="Times New Roman" w:hAnsi="Times New Roman" w:cs="Times New Roman"/>
          <w:sz w:val="24"/>
          <w:szCs w:val="20"/>
        </w:rPr>
        <w:t xml:space="preserve"> believe</w:t>
      </w:r>
      <w:r w:rsidR="00D72213">
        <w:rPr>
          <w:rFonts w:ascii="Times New Roman" w:eastAsia="Times New Roman" w:hAnsi="Times New Roman" w:cs="Times New Roman"/>
          <w:sz w:val="24"/>
          <w:szCs w:val="20"/>
        </w:rPr>
        <w:t xml:space="preserve"> that</w:t>
      </w:r>
      <w:r w:rsidR="00870EE7">
        <w:rPr>
          <w:rFonts w:ascii="Times New Roman" w:eastAsia="Times New Roman" w:hAnsi="Times New Roman" w:cs="Times New Roman"/>
          <w:sz w:val="24"/>
          <w:szCs w:val="20"/>
        </w:rPr>
        <w:t xml:space="preserve"> PPL</w:t>
      </w:r>
      <w:r w:rsidR="005544B4">
        <w:rPr>
          <w:rFonts w:ascii="Times New Roman" w:eastAsia="Times New Roman" w:hAnsi="Times New Roman" w:cs="Times New Roman"/>
          <w:sz w:val="24"/>
          <w:szCs w:val="20"/>
        </w:rPr>
        <w:t xml:space="preserve"> </w:t>
      </w:r>
      <w:r w:rsidR="00D72213">
        <w:rPr>
          <w:rFonts w:ascii="Times New Roman" w:eastAsia="Times New Roman" w:hAnsi="Times New Roman" w:cs="Times New Roman"/>
          <w:sz w:val="24"/>
          <w:szCs w:val="20"/>
        </w:rPr>
        <w:t xml:space="preserve">will be unduly </w:t>
      </w:r>
      <w:r w:rsidR="00801FF1">
        <w:rPr>
          <w:rFonts w:ascii="Times New Roman" w:eastAsia="Times New Roman" w:hAnsi="Times New Roman" w:cs="Times New Roman"/>
          <w:sz w:val="24"/>
          <w:szCs w:val="20"/>
        </w:rPr>
        <w:t xml:space="preserve">prejudiced by the admission of the remaining challenged exhibits.  </w:t>
      </w:r>
      <w:r w:rsidR="00FD2697">
        <w:rPr>
          <w:rFonts w:ascii="Times New Roman" w:eastAsia="Times New Roman" w:hAnsi="Times New Roman" w:cs="Times New Roman"/>
          <w:sz w:val="24"/>
          <w:szCs w:val="20"/>
        </w:rPr>
        <w:t xml:space="preserve">PPL addresses a number of the topics </w:t>
      </w:r>
      <w:r w:rsidR="000905FD">
        <w:rPr>
          <w:rFonts w:ascii="Times New Roman" w:eastAsia="Times New Roman" w:hAnsi="Times New Roman" w:cs="Times New Roman"/>
          <w:sz w:val="24"/>
          <w:szCs w:val="20"/>
        </w:rPr>
        <w:t xml:space="preserve">in the challenged exhibits in its rebuttal testimony.  Additionally, </w:t>
      </w:r>
      <w:r w:rsidR="00195424">
        <w:rPr>
          <w:rFonts w:ascii="Times New Roman" w:eastAsia="Times New Roman" w:hAnsi="Times New Roman" w:cs="Times New Roman"/>
          <w:sz w:val="24"/>
          <w:szCs w:val="20"/>
        </w:rPr>
        <w:t xml:space="preserve">Mr. Hartman questioned some of PPL’s witnesses extensively during the hearings on </w:t>
      </w:r>
      <w:r w:rsidR="000905FD">
        <w:rPr>
          <w:rFonts w:ascii="Times New Roman" w:eastAsia="Times New Roman" w:hAnsi="Times New Roman" w:cs="Times New Roman"/>
          <w:sz w:val="24"/>
          <w:szCs w:val="20"/>
        </w:rPr>
        <w:t>a number of the</w:t>
      </w:r>
      <w:r w:rsidR="00195424">
        <w:rPr>
          <w:rFonts w:ascii="Times New Roman" w:eastAsia="Times New Roman" w:hAnsi="Times New Roman" w:cs="Times New Roman"/>
          <w:sz w:val="24"/>
          <w:szCs w:val="20"/>
        </w:rPr>
        <w:t xml:space="preserve"> challenged exhibits, so PPL had an opportunity to </w:t>
      </w:r>
      <w:r w:rsidR="002B1194">
        <w:rPr>
          <w:rFonts w:ascii="Times New Roman" w:eastAsia="Times New Roman" w:hAnsi="Times New Roman" w:cs="Times New Roman"/>
          <w:sz w:val="24"/>
          <w:szCs w:val="20"/>
        </w:rPr>
        <w:t>address them and provide whatever explanation</w:t>
      </w:r>
      <w:r w:rsidR="007F7D60">
        <w:rPr>
          <w:rFonts w:ascii="Times New Roman" w:eastAsia="Times New Roman" w:hAnsi="Times New Roman" w:cs="Times New Roman"/>
          <w:sz w:val="24"/>
          <w:szCs w:val="20"/>
        </w:rPr>
        <w:t xml:space="preserve"> </w:t>
      </w:r>
      <w:r w:rsidR="00344D33">
        <w:rPr>
          <w:rFonts w:ascii="Times New Roman" w:eastAsia="Times New Roman" w:hAnsi="Times New Roman" w:cs="Times New Roman"/>
          <w:sz w:val="24"/>
          <w:szCs w:val="20"/>
        </w:rPr>
        <w:t xml:space="preserve">or rebuttal </w:t>
      </w:r>
      <w:r w:rsidR="0050540C">
        <w:rPr>
          <w:rFonts w:ascii="Times New Roman" w:eastAsia="Times New Roman" w:hAnsi="Times New Roman" w:cs="Times New Roman"/>
          <w:sz w:val="24"/>
          <w:szCs w:val="20"/>
        </w:rPr>
        <w:t>it</w:t>
      </w:r>
      <w:r w:rsidR="007F7D60">
        <w:rPr>
          <w:rFonts w:ascii="Times New Roman" w:eastAsia="Times New Roman" w:hAnsi="Times New Roman" w:cs="Times New Roman"/>
          <w:sz w:val="24"/>
          <w:szCs w:val="20"/>
        </w:rPr>
        <w:t xml:space="preserve"> felt necessary.  </w:t>
      </w:r>
      <w:r w:rsidR="007E2F5F">
        <w:rPr>
          <w:rFonts w:ascii="Times New Roman" w:eastAsia="Times New Roman" w:hAnsi="Times New Roman" w:cs="Times New Roman"/>
          <w:sz w:val="24"/>
          <w:szCs w:val="20"/>
        </w:rPr>
        <w:t xml:space="preserve">Accordingly, to the extent not already otherwise stricken in this Order, </w:t>
      </w:r>
      <w:r w:rsidR="00A91AB5">
        <w:rPr>
          <w:rFonts w:ascii="Times New Roman" w:eastAsia="Times New Roman" w:hAnsi="Times New Roman" w:cs="Times New Roman"/>
          <w:sz w:val="24"/>
          <w:szCs w:val="20"/>
        </w:rPr>
        <w:t>PPL’s Motion to Strike Hartman Exhibits 7A-53 is denied.</w:t>
      </w:r>
    </w:p>
    <w:p w14:paraId="5F4E9BD9" w14:textId="15865105" w:rsidR="007375C5" w:rsidRDefault="007375C5" w:rsidP="0055140F">
      <w:pPr>
        <w:spacing w:after="0" w:line="360" w:lineRule="auto"/>
        <w:ind w:firstLine="1440"/>
        <w:rPr>
          <w:rFonts w:ascii="Times New Roman" w:eastAsia="Times New Roman" w:hAnsi="Times New Roman" w:cs="Times New Roman"/>
          <w:sz w:val="24"/>
          <w:szCs w:val="20"/>
        </w:rPr>
      </w:pPr>
    </w:p>
    <w:p w14:paraId="5CDEEF47" w14:textId="6F8E550D" w:rsidR="006B7F3C" w:rsidRDefault="006B7F3C" w:rsidP="0055140F">
      <w:pPr>
        <w:spacing w:after="0" w:line="360" w:lineRule="auto"/>
        <w:ind w:firstLine="1440"/>
        <w:rPr>
          <w:rFonts w:ascii="Times New Roman" w:eastAsia="Times New Roman" w:hAnsi="Times New Roman" w:cs="Times New Roman"/>
          <w:sz w:val="24"/>
          <w:szCs w:val="20"/>
        </w:rPr>
      </w:pPr>
    </w:p>
    <w:p w14:paraId="4261C0E5" w14:textId="77777777" w:rsidR="006B7F3C" w:rsidRDefault="006B7F3C" w:rsidP="0055140F">
      <w:pPr>
        <w:spacing w:after="0" w:line="360" w:lineRule="auto"/>
        <w:ind w:firstLine="1440"/>
        <w:rPr>
          <w:rFonts w:ascii="Times New Roman" w:eastAsia="Times New Roman" w:hAnsi="Times New Roman" w:cs="Times New Roman"/>
          <w:sz w:val="24"/>
          <w:szCs w:val="20"/>
        </w:rPr>
      </w:pPr>
    </w:p>
    <w:p w14:paraId="7FEC3DCA" w14:textId="20964B7C" w:rsidR="00353795" w:rsidRDefault="00353795" w:rsidP="007375C5">
      <w:pPr>
        <w:pStyle w:val="ListParagraph"/>
        <w:numPr>
          <w:ilvl w:val="0"/>
          <w:numId w:val="3"/>
        </w:numPr>
        <w:spacing w:after="0" w:line="240" w:lineRule="auto"/>
        <w:ind w:right="1440" w:hanging="720"/>
        <w:rPr>
          <w:rFonts w:ascii="Times New Roman" w:eastAsia="Times New Roman" w:hAnsi="Times New Roman" w:cs="Times New Roman"/>
          <w:b/>
          <w:bCs/>
          <w:sz w:val="24"/>
          <w:szCs w:val="20"/>
        </w:rPr>
      </w:pPr>
      <w:r w:rsidRPr="00353795">
        <w:rPr>
          <w:rFonts w:ascii="Times New Roman" w:eastAsia="Times New Roman" w:hAnsi="Times New Roman" w:cs="Times New Roman"/>
          <w:b/>
          <w:bCs/>
          <w:sz w:val="24"/>
          <w:szCs w:val="20"/>
        </w:rPr>
        <w:lastRenderedPageBreak/>
        <w:t xml:space="preserve">Exhibits </w:t>
      </w:r>
      <w:r>
        <w:rPr>
          <w:rFonts w:ascii="Times New Roman" w:eastAsia="Times New Roman" w:hAnsi="Times New Roman" w:cs="Times New Roman"/>
          <w:b/>
          <w:bCs/>
          <w:sz w:val="24"/>
          <w:szCs w:val="20"/>
        </w:rPr>
        <w:t>lack authentication and foundation</w:t>
      </w:r>
      <w:r w:rsidR="00304534">
        <w:rPr>
          <w:rFonts w:ascii="Times New Roman" w:eastAsia="Times New Roman" w:hAnsi="Times New Roman" w:cs="Times New Roman"/>
          <w:b/>
          <w:bCs/>
          <w:sz w:val="24"/>
          <w:szCs w:val="20"/>
        </w:rPr>
        <w:t>.</w:t>
      </w:r>
    </w:p>
    <w:p w14:paraId="76B8CE5A" w14:textId="77777777" w:rsidR="00353795" w:rsidRDefault="00353795" w:rsidP="006B7F3C">
      <w:pPr>
        <w:spacing w:after="0" w:line="360" w:lineRule="auto"/>
        <w:ind w:right="1440"/>
        <w:rPr>
          <w:rFonts w:ascii="Times New Roman" w:eastAsia="Times New Roman" w:hAnsi="Times New Roman" w:cs="Times New Roman"/>
          <w:b/>
          <w:bCs/>
          <w:sz w:val="24"/>
          <w:szCs w:val="20"/>
        </w:rPr>
      </w:pPr>
    </w:p>
    <w:p w14:paraId="32504490" w14:textId="7365C2A9" w:rsidR="00AA39B0" w:rsidRDefault="00134B2E" w:rsidP="00305F34">
      <w:pPr>
        <w:spacing w:after="0" w:line="360" w:lineRule="auto"/>
        <w:ind w:firstLine="1440"/>
        <w:rPr>
          <w:rFonts w:ascii="Times New Roman" w:eastAsia="Times New Roman" w:hAnsi="Times New Roman" w:cs="Times New Roman"/>
          <w:sz w:val="24"/>
          <w:szCs w:val="20"/>
        </w:rPr>
      </w:pPr>
      <w:r w:rsidRPr="00134B2E">
        <w:rPr>
          <w:rFonts w:ascii="Times New Roman" w:eastAsia="Times New Roman" w:hAnsi="Times New Roman" w:cs="Times New Roman"/>
          <w:sz w:val="24"/>
          <w:szCs w:val="20"/>
        </w:rPr>
        <w:t xml:space="preserve">PPL argues </w:t>
      </w:r>
      <w:r>
        <w:rPr>
          <w:rFonts w:ascii="Times New Roman" w:eastAsia="Times New Roman" w:hAnsi="Times New Roman" w:cs="Times New Roman"/>
          <w:sz w:val="24"/>
          <w:szCs w:val="20"/>
        </w:rPr>
        <w:t xml:space="preserve">that </w:t>
      </w:r>
      <w:proofErr w:type="gramStart"/>
      <w:r>
        <w:rPr>
          <w:rFonts w:ascii="Times New Roman" w:eastAsia="Times New Roman" w:hAnsi="Times New Roman" w:cs="Times New Roman"/>
          <w:sz w:val="24"/>
          <w:szCs w:val="20"/>
        </w:rPr>
        <w:t>a number of</w:t>
      </w:r>
      <w:proofErr w:type="gramEnd"/>
      <w:r>
        <w:rPr>
          <w:rFonts w:ascii="Times New Roman" w:eastAsia="Times New Roman" w:hAnsi="Times New Roman" w:cs="Times New Roman"/>
          <w:sz w:val="24"/>
          <w:szCs w:val="20"/>
        </w:rPr>
        <w:t xml:space="preserve"> the Hartmans’ proposed exhibits</w:t>
      </w:r>
      <w:r w:rsidR="00D81B72">
        <w:rPr>
          <w:rFonts w:ascii="Times New Roman" w:eastAsia="Times New Roman" w:hAnsi="Times New Roman" w:cs="Times New Roman"/>
          <w:sz w:val="24"/>
          <w:szCs w:val="20"/>
        </w:rPr>
        <w:t xml:space="preserve"> were offered without proper authentication and foundation.</w:t>
      </w:r>
      <w:r w:rsidR="00134468">
        <w:rPr>
          <w:rFonts w:ascii="Times New Roman" w:eastAsia="Times New Roman" w:hAnsi="Times New Roman" w:cs="Times New Roman"/>
          <w:sz w:val="24"/>
          <w:szCs w:val="20"/>
        </w:rPr>
        <w:t xml:space="preserve">  The challenged exhibits include drawings, photographs</w:t>
      </w:r>
      <w:r w:rsidR="005C5E51">
        <w:rPr>
          <w:rFonts w:ascii="Times New Roman" w:eastAsia="Times New Roman" w:hAnsi="Times New Roman" w:cs="Times New Roman"/>
          <w:sz w:val="24"/>
          <w:szCs w:val="20"/>
        </w:rPr>
        <w:t xml:space="preserve">, </w:t>
      </w:r>
      <w:proofErr w:type="gramStart"/>
      <w:r w:rsidR="005C5E51">
        <w:rPr>
          <w:rFonts w:ascii="Times New Roman" w:eastAsia="Times New Roman" w:hAnsi="Times New Roman" w:cs="Times New Roman"/>
          <w:sz w:val="24"/>
          <w:szCs w:val="20"/>
        </w:rPr>
        <w:t>articles</w:t>
      </w:r>
      <w:proofErr w:type="gramEnd"/>
      <w:r w:rsidR="005C5E51">
        <w:rPr>
          <w:rFonts w:ascii="Times New Roman" w:eastAsia="Times New Roman" w:hAnsi="Times New Roman" w:cs="Times New Roman"/>
          <w:sz w:val="24"/>
          <w:szCs w:val="20"/>
        </w:rPr>
        <w:t xml:space="preserve"> and e-mails.  </w:t>
      </w:r>
      <w:r w:rsidR="00DA6103">
        <w:rPr>
          <w:rFonts w:ascii="Times New Roman" w:eastAsia="Times New Roman" w:hAnsi="Times New Roman" w:cs="Times New Roman"/>
          <w:sz w:val="24"/>
          <w:szCs w:val="20"/>
        </w:rPr>
        <w:t xml:space="preserve">PPL </w:t>
      </w:r>
      <w:r w:rsidR="00D259D1">
        <w:rPr>
          <w:rFonts w:ascii="Times New Roman" w:eastAsia="Times New Roman" w:hAnsi="Times New Roman" w:cs="Times New Roman"/>
          <w:sz w:val="24"/>
          <w:szCs w:val="20"/>
        </w:rPr>
        <w:t>requests that Hartman Exhibits 16, 18, 20, 25</w:t>
      </w:r>
      <w:r w:rsidR="00CA1794">
        <w:rPr>
          <w:rFonts w:ascii="Times New Roman" w:eastAsia="Times New Roman" w:hAnsi="Times New Roman" w:cs="Times New Roman"/>
          <w:sz w:val="24"/>
          <w:szCs w:val="20"/>
        </w:rPr>
        <w:t>-33, 35-37</w:t>
      </w:r>
      <w:r w:rsidR="00D259D1">
        <w:rPr>
          <w:rFonts w:ascii="Times New Roman" w:eastAsia="Times New Roman" w:hAnsi="Times New Roman" w:cs="Times New Roman"/>
          <w:sz w:val="24"/>
          <w:szCs w:val="20"/>
        </w:rPr>
        <w:t>,</w:t>
      </w:r>
      <w:r w:rsidR="008F3FD7">
        <w:rPr>
          <w:rFonts w:ascii="Times New Roman" w:eastAsia="Times New Roman" w:hAnsi="Times New Roman" w:cs="Times New Roman"/>
          <w:sz w:val="24"/>
          <w:szCs w:val="20"/>
        </w:rPr>
        <w:t xml:space="preserve"> 39-44, and 47-57</w:t>
      </w:r>
      <w:r w:rsidR="007701A0">
        <w:rPr>
          <w:rFonts w:ascii="Times New Roman" w:eastAsia="Times New Roman" w:hAnsi="Times New Roman" w:cs="Times New Roman"/>
          <w:sz w:val="24"/>
          <w:szCs w:val="20"/>
        </w:rPr>
        <w:t xml:space="preserve"> </w:t>
      </w:r>
      <w:r w:rsidR="008F3FD7">
        <w:rPr>
          <w:rFonts w:ascii="Times New Roman" w:eastAsia="Times New Roman" w:hAnsi="Times New Roman" w:cs="Times New Roman"/>
          <w:sz w:val="24"/>
          <w:szCs w:val="20"/>
        </w:rPr>
        <w:t xml:space="preserve">be stricken from </w:t>
      </w:r>
      <w:r w:rsidR="007701A0">
        <w:rPr>
          <w:rFonts w:ascii="Times New Roman" w:eastAsia="Times New Roman" w:hAnsi="Times New Roman" w:cs="Times New Roman"/>
          <w:sz w:val="24"/>
          <w:szCs w:val="20"/>
        </w:rPr>
        <w:t xml:space="preserve">the record.  </w:t>
      </w:r>
    </w:p>
    <w:p w14:paraId="0D90187B" w14:textId="77777777" w:rsidR="00AA39B0" w:rsidRDefault="00AA39B0" w:rsidP="00305F34">
      <w:pPr>
        <w:spacing w:after="0" w:line="360" w:lineRule="auto"/>
        <w:ind w:firstLine="1440"/>
        <w:rPr>
          <w:rFonts w:ascii="Times New Roman" w:eastAsia="Times New Roman" w:hAnsi="Times New Roman" w:cs="Times New Roman"/>
          <w:sz w:val="24"/>
          <w:szCs w:val="20"/>
        </w:rPr>
      </w:pPr>
    </w:p>
    <w:p w14:paraId="47557E92" w14:textId="4C6303A8" w:rsidR="005D03EB" w:rsidRDefault="00834A5F" w:rsidP="00305F34">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Hartmans generally argue that </w:t>
      </w:r>
      <w:r w:rsidR="00690BEA">
        <w:rPr>
          <w:rFonts w:ascii="Times New Roman" w:eastAsia="Times New Roman" w:hAnsi="Times New Roman" w:cs="Times New Roman"/>
          <w:sz w:val="24"/>
          <w:szCs w:val="20"/>
        </w:rPr>
        <w:t xml:space="preserve">some </w:t>
      </w:r>
      <w:r w:rsidR="000A6D64">
        <w:rPr>
          <w:rFonts w:ascii="Times New Roman" w:eastAsia="Times New Roman" w:hAnsi="Times New Roman" w:cs="Times New Roman"/>
          <w:sz w:val="24"/>
          <w:szCs w:val="20"/>
        </w:rPr>
        <w:t>of the exhi</w:t>
      </w:r>
      <w:r w:rsidR="005D6629">
        <w:rPr>
          <w:rFonts w:ascii="Times New Roman" w:eastAsia="Times New Roman" w:hAnsi="Times New Roman" w:cs="Times New Roman"/>
          <w:sz w:val="24"/>
          <w:szCs w:val="20"/>
        </w:rPr>
        <w:t xml:space="preserve">bits </w:t>
      </w:r>
      <w:r w:rsidR="0011475D">
        <w:rPr>
          <w:rFonts w:ascii="Times New Roman" w:eastAsia="Times New Roman" w:hAnsi="Times New Roman" w:cs="Times New Roman"/>
          <w:sz w:val="24"/>
          <w:szCs w:val="20"/>
        </w:rPr>
        <w:t xml:space="preserve">are </w:t>
      </w:r>
      <w:r w:rsidR="00676F45">
        <w:rPr>
          <w:rFonts w:ascii="Times New Roman" w:eastAsia="Times New Roman" w:hAnsi="Times New Roman" w:cs="Times New Roman"/>
          <w:sz w:val="24"/>
          <w:szCs w:val="20"/>
        </w:rPr>
        <w:t xml:space="preserve">readily </w:t>
      </w:r>
      <w:r w:rsidR="005D6629">
        <w:rPr>
          <w:rFonts w:ascii="Times New Roman" w:eastAsia="Times New Roman" w:hAnsi="Times New Roman" w:cs="Times New Roman"/>
          <w:sz w:val="24"/>
          <w:szCs w:val="20"/>
        </w:rPr>
        <w:t xml:space="preserve">publicly </w:t>
      </w:r>
      <w:r w:rsidR="00676F45">
        <w:rPr>
          <w:rFonts w:ascii="Times New Roman" w:eastAsia="Times New Roman" w:hAnsi="Times New Roman" w:cs="Times New Roman"/>
          <w:sz w:val="24"/>
          <w:szCs w:val="20"/>
        </w:rPr>
        <w:t xml:space="preserve">available and </w:t>
      </w:r>
      <w:r w:rsidR="00D00E7C">
        <w:rPr>
          <w:rFonts w:ascii="Times New Roman" w:eastAsia="Times New Roman" w:hAnsi="Times New Roman" w:cs="Times New Roman"/>
          <w:sz w:val="24"/>
          <w:szCs w:val="20"/>
        </w:rPr>
        <w:t>self-explanatory</w:t>
      </w:r>
      <w:r w:rsidR="005D6629">
        <w:rPr>
          <w:rFonts w:ascii="Times New Roman" w:eastAsia="Times New Roman" w:hAnsi="Times New Roman" w:cs="Times New Roman"/>
          <w:sz w:val="24"/>
          <w:szCs w:val="20"/>
        </w:rPr>
        <w:t xml:space="preserve"> (</w:t>
      </w:r>
      <w:r w:rsidR="007627C0">
        <w:rPr>
          <w:rFonts w:ascii="Times New Roman" w:eastAsia="Times New Roman" w:hAnsi="Times New Roman" w:cs="Times New Roman"/>
          <w:sz w:val="24"/>
          <w:szCs w:val="20"/>
        </w:rPr>
        <w:t xml:space="preserve">photographs, aerial photographs internet articles, etc.), </w:t>
      </w:r>
      <w:r w:rsidR="00F9280E">
        <w:rPr>
          <w:rFonts w:ascii="Times New Roman" w:eastAsia="Times New Roman" w:hAnsi="Times New Roman" w:cs="Times New Roman"/>
          <w:sz w:val="24"/>
          <w:szCs w:val="20"/>
        </w:rPr>
        <w:t xml:space="preserve">while many of the others were </w:t>
      </w:r>
      <w:r w:rsidR="007C7782">
        <w:rPr>
          <w:rFonts w:ascii="Times New Roman" w:eastAsia="Times New Roman" w:hAnsi="Times New Roman" w:cs="Times New Roman"/>
          <w:sz w:val="24"/>
          <w:szCs w:val="20"/>
        </w:rPr>
        <w:t xml:space="preserve">described and </w:t>
      </w:r>
      <w:r w:rsidR="003A555E">
        <w:rPr>
          <w:rFonts w:ascii="Times New Roman" w:eastAsia="Times New Roman" w:hAnsi="Times New Roman" w:cs="Times New Roman"/>
          <w:sz w:val="24"/>
          <w:szCs w:val="20"/>
        </w:rPr>
        <w:t xml:space="preserve">addressed </w:t>
      </w:r>
      <w:r w:rsidR="00263A10">
        <w:rPr>
          <w:rFonts w:ascii="Times New Roman" w:eastAsia="Times New Roman" w:hAnsi="Times New Roman" w:cs="Times New Roman"/>
          <w:sz w:val="24"/>
          <w:szCs w:val="20"/>
        </w:rPr>
        <w:t>during Mr. Hartman’s cross examination of PPL witnesses.</w:t>
      </w:r>
      <w:r w:rsidR="007C7782">
        <w:rPr>
          <w:rFonts w:ascii="Times New Roman" w:eastAsia="Times New Roman" w:hAnsi="Times New Roman" w:cs="Times New Roman"/>
          <w:sz w:val="24"/>
          <w:szCs w:val="20"/>
        </w:rPr>
        <w:t xml:space="preserve">  The Hartmans </w:t>
      </w:r>
      <w:r w:rsidR="005D03EB">
        <w:rPr>
          <w:rFonts w:ascii="Times New Roman" w:eastAsia="Times New Roman" w:hAnsi="Times New Roman" w:cs="Times New Roman"/>
          <w:sz w:val="24"/>
          <w:szCs w:val="20"/>
        </w:rPr>
        <w:t>request that the challenged exhibits be admitted into the record.</w:t>
      </w:r>
    </w:p>
    <w:p w14:paraId="40600B7B" w14:textId="77777777" w:rsidR="005D03EB" w:rsidRDefault="005D03EB" w:rsidP="00305F34">
      <w:pPr>
        <w:spacing w:after="0" w:line="360" w:lineRule="auto"/>
        <w:ind w:firstLine="1440"/>
        <w:rPr>
          <w:rFonts w:ascii="Times New Roman" w:eastAsia="Times New Roman" w:hAnsi="Times New Roman" w:cs="Times New Roman"/>
          <w:sz w:val="24"/>
          <w:szCs w:val="20"/>
        </w:rPr>
      </w:pPr>
    </w:p>
    <w:p w14:paraId="2D1891D4" w14:textId="36F3495D" w:rsidR="00AD303E" w:rsidRPr="00134B2E" w:rsidRDefault="00557A6B" w:rsidP="00305F34">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Unless otherwise </w:t>
      </w:r>
      <w:r w:rsidR="00F560A2">
        <w:rPr>
          <w:rFonts w:ascii="Times New Roman" w:eastAsia="Times New Roman" w:hAnsi="Times New Roman" w:cs="Times New Roman"/>
          <w:sz w:val="24"/>
          <w:szCs w:val="20"/>
        </w:rPr>
        <w:t xml:space="preserve">stricken on other grounds in other sections of this Order, </w:t>
      </w:r>
      <w:r w:rsidR="002221F2">
        <w:rPr>
          <w:rFonts w:ascii="Times New Roman" w:eastAsia="Times New Roman" w:hAnsi="Times New Roman" w:cs="Times New Roman"/>
          <w:sz w:val="24"/>
          <w:szCs w:val="20"/>
        </w:rPr>
        <w:t>I will deny PPL’s Motion</w:t>
      </w:r>
      <w:r w:rsidR="002F422F">
        <w:rPr>
          <w:rFonts w:ascii="Times New Roman" w:eastAsia="Times New Roman" w:hAnsi="Times New Roman" w:cs="Times New Roman"/>
          <w:sz w:val="24"/>
          <w:szCs w:val="20"/>
        </w:rPr>
        <w:t xml:space="preserve"> </w:t>
      </w:r>
      <w:r w:rsidR="00F560A2">
        <w:rPr>
          <w:rFonts w:ascii="Times New Roman" w:eastAsia="Times New Roman" w:hAnsi="Times New Roman" w:cs="Times New Roman"/>
          <w:sz w:val="24"/>
          <w:szCs w:val="20"/>
        </w:rPr>
        <w:t xml:space="preserve">and </w:t>
      </w:r>
      <w:r w:rsidR="00521E8C">
        <w:rPr>
          <w:rFonts w:ascii="Times New Roman" w:eastAsia="Times New Roman" w:hAnsi="Times New Roman" w:cs="Times New Roman"/>
          <w:sz w:val="24"/>
          <w:szCs w:val="20"/>
        </w:rPr>
        <w:t>a</w:t>
      </w:r>
      <w:r w:rsidR="002F422F">
        <w:rPr>
          <w:rFonts w:ascii="Times New Roman" w:eastAsia="Times New Roman" w:hAnsi="Times New Roman" w:cs="Times New Roman"/>
          <w:sz w:val="24"/>
          <w:szCs w:val="20"/>
        </w:rPr>
        <w:t>dmit the</w:t>
      </w:r>
      <w:r w:rsidR="00521E8C">
        <w:rPr>
          <w:rFonts w:ascii="Times New Roman" w:eastAsia="Times New Roman" w:hAnsi="Times New Roman" w:cs="Times New Roman"/>
          <w:sz w:val="24"/>
          <w:szCs w:val="20"/>
        </w:rPr>
        <w:t xml:space="preserve"> challenged exhibits</w:t>
      </w:r>
      <w:r w:rsidR="002F422F">
        <w:rPr>
          <w:rFonts w:ascii="Times New Roman" w:eastAsia="Times New Roman" w:hAnsi="Times New Roman" w:cs="Times New Roman"/>
          <w:sz w:val="24"/>
          <w:szCs w:val="20"/>
        </w:rPr>
        <w:t xml:space="preserve"> into the record.</w:t>
      </w:r>
      <w:r w:rsidR="000239A5">
        <w:rPr>
          <w:rFonts w:ascii="Times New Roman" w:eastAsia="Times New Roman" w:hAnsi="Times New Roman" w:cs="Times New Roman"/>
          <w:sz w:val="24"/>
          <w:szCs w:val="20"/>
        </w:rPr>
        <w:t xml:space="preserve">  </w:t>
      </w:r>
      <w:r w:rsidR="00177391">
        <w:rPr>
          <w:rFonts w:ascii="Times New Roman" w:eastAsia="Times New Roman" w:hAnsi="Times New Roman" w:cs="Times New Roman"/>
          <w:sz w:val="24"/>
          <w:szCs w:val="20"/>
        </w:rPr>
        <w:t xml:space="preserve">While a proper foundation and authentication may not have been </w:t>
      </w:r>
      <w:r w:rsidR="00212998">
        <w:rPr>
          <w:rFonts w:ascii="Times New Roman" w:eastAsia="Times New Roman" w:hAnsi="Times New Roman" w:cs="Times New Roman"/>
          <w:sz w:val="24"/>
          <w:szCs w:val="20"/>
        </w:rPr>
        <w:t xml:space="preserve">formally </w:t>
      </w:r>
      <w:r w:rsidR="007C2D61">
        <w:rPr>
          <w:rFonts w:ascii="Times New Roman" w:eastAsia="Times New Roman" w:hAnsi="Times New Roman" w:cs="Times New Roman"/>
          <w:sz w:val="24"/>
          <w:szCs w:val="20"/>
        </w:rPr>
        <w:t xml:space="preserve">presented for some of the exhibits, </w:t>
      </w:r>
      <w:r w:rsidR="001D371F">
        <w:rPr>
          <w:rFonts w:ascii="Times New Roman" w:eastAsia="Times New Roman" w:hAnsi="Times New Roman" w:cs="Times New Roman"/>
          <w:sz w:val="24"/>
          <w:szCs w:val="20"/>
        </w:rPr>
        <w:t xml:space="preserve">I will factor that consideration into my </w:t>
      </w:r>
      <w:r w:rsidR="00FD4058">
        <w:rPr>
          <w:rFonts w:ascii="Times New Roman" w:eastAsia="Times New Roman" w:hAnsi="Times New Roman" w:cs="Times New Roman"/>
          <w:sz w:val="24"/>
          <w:szCs w:val="20"/>
        </w:rPr>
        <w:t xml:space="preserve">review </w:t>
      </w:r>
      <w:r w:rsidR="005670AC">
        <w:rPr>
          <w:rFonts w:ascii="Times New Roman" w:eastAsia="Times New Roman" w:hAnsi="Times New Roman" w:cs="Times New Roman"/>
          <w:sz w:val="24"/>
          <w:szCs w:val="20"/>
        </w:rPr>
        <w:t>and I will assign appropriate weight</w:t>
      </w:r>
      <w:r w:rsidR="009115A1">
        <w:rPr>
          <w:rFonts w:ascii="Times New Roman" w:eastAsia="Times New Roman" w:hAnsi="Times New Roman" w:cs="Times New Roman"/>
          <w:sz w:val="24"/>
          <w:szCs w:val="20"/>
        </w:rPr>
        <w:t>, if any,</w:t>
      </w:r>
      <w:r w:rsidR="005670AC">
        <w:rPr>
          <w:rFonts w:ascii="Times New Roman" w:eastAsia="Times New Roman" w:hAnsi="Times New Roman" w:cs="Times New Roman"/>
          <w:sz w:val="24"/>
          <w:szCs w:val="20"/>
        </w:rPr>
        <w:t xml:space="preserve"> to</w:t>
      </w:r>
      <w:r w:rsidR="00D165F8">
        <w:rPr>
          <w:rFonts w:ascii="Times New Roman" w:eastAsia="Times New Roman" w:hAnsi="Times New Roman" w:cs="Times New Roman"/>
          <w:sz w:val="24"/>
          <w:szCs w:val="20"/>
        </w:rPr>
        <w:t xml:space="preserve"> the </w:t>
      </w:r>
      <w:r w:rsidR="007410BD">
        <w:rPr>
          <w:rFonts w:ascii="Times New Roman" w:eastAsia="Times New Roman" w:hAnsi="Times New Roman" w:cs="Times New Roman"/>
          <w:sz w:val="24"/>
          <w:szCs w:val="20"/>
        </w:rPr>
        <w:t xml:space="preserve">challenged </w:t>
      </w:r>
      <w:r w:rsidR="00D165F8">
        <w:rPr>
          <w:rFonts w:ascii="Times New Roman" w:eastAsia="Times New Roman" w:hAnsi="Times New Roman" w:cs="Times New Roman"/>
          <w:sz w:val="24"/>
          <w:szCs w:val="20"/>
        </w:rPr>
        <w:t>exhibits</w:t>
      </w:r>
      <w:r w:rsidR="008551B9">
        <w:rPr>
          <w:rFonts w:ascii="Times New Roman" w:eastAsia="Times New Roman" w:hAnsi="Times New Roman" w:cs="Times New Roman"/>
          <w:sz w:val="24"/>
          <w:szCs w:val="20"/>
        </w:rPr>
        <w:t xml:space="preserve"> when preparing an Initial Decision and ruling on the issues to be decided in this case</w:t>
      </w:r>
      <w:r w:rsidR="00D165F8">
        <w:rPr>
          <w:rFonts w:ascii="Times New Roman" w:eastAsia="Times New Roman" w:hAnsi="Times New Roman" w:cs="Times New Roman"/>
          <w:sz w:val="24"/>
          <w:szCs w:val="20"/>
        </w:rPr>
        <w:t>.</w:t>
      </w:r>
      <w:r w:rsidR="00E0076F">
        <w:rPr>
          <w:rFonts w:ascii="Times New Roman" w:eastAsia="Times New Roman" w:hAnsi="Times New Roman" w:cs="Times New Roman"/>
          <w:sz w:val="24"/>
          <w:szCs w:val="20"/>
        </w:rPr>
        <w:t xml:space="preserve">  </w:t>
      </w:r>
      <w:r w:rsidR="00D165F8">
        <w:rPr>
          <w:rFonts w:ascii="Times New Roman" w:eastAsia="Times New Roman" w:hAnsi="Times New Roman" w:cs="Times New Roman"/>
          <w:sz w:val="24"/>
          <w:szCs w:val="20"/>
        </w:rPr>
        <w:t xml:space="preserve">  </w:t>
      </w:r>
      <w:r w:rsidR="0021281F">
        <w:rPr>
          <w:rFonts w:ascii="Times New Roman" w:eastAsia="Times New Roman" w:hAnsi="Times New Roman" w:cs="Times New Roman"/>
          <w:sz w:val="24"/>
          <w:szCs w:val="20"/>
        </w:rPr>
        <w:t xml:space="preserve"> </w:t>
      </w:r>
      <w:r w:rsidR="008551B9">
        <w:rPr>
          <w:rFonts w:ascii="Times New Roman" w:eastAsia="Times New Roman" w:hAnsi="Times New Roman" w:cs="Times New Roman"/>
          <w:sz w:val="24"/>
          <w:szCs w:val="20"/>
        </w:rPr>
        <w:t xml:space="preserve"> </w:t>
      </w:r>
      <w:r w:rsidR="00521E8C">
        <w:rPr>
          <w:rFonts w:ascii="Times New Roman" w:eastAsia="Times New Roman" w:hAnsi="Times New Roman" w:cs="Times New Roman"/>
          <w:sz w:val="24"/>
          <w:szCs w:val="20"/>
        </w:rPr>
        <w:t xml:space="preserve">  </w:t>
      </w:r>
      <w:r w:rsidR="002F422F">
        <w:rPr>
          <w:rFonts w:ascii="Times New Roman" w:eastAsia="Times New Roman" w:hAnsi="Times New Roman" w:cs="Times New Roman"/>
          <w:sz w:val="24"/>
          <w:szCs w:val="20"/>
        </w:rPr>
        <w:t xml:space="preserve">  </w:t>
      </w:r>
      <w:r w:rsidR="0066148D">
        <w:rPr>
          <w:rFonts w:ascii="Times New Roman" w:eastAsia="Times New Roman" w:hAnsi="Times New Roman" w:cs="Times New Roman"/>
          <w:sz w:val="24"/>
          <w:szCs w:val="20"/>
        </w:rPr>
        <w:t xml:space="preserve"> </w:t>
      </w:r>
      <w:r w:rsidR="00263A10">
        <w:rPr>
          <w:rFonts w:ascii="Times New Roman" w:eastAsia="Times New Roman" w:hAnsi="Times New Roman" w:cs="Times New Roman"/>
          <w:sz w:val="24"/>
          <w:szCs w:val="20"/>
        </w:rPr>
        <w:t xml:space="preserve">  </w:t>
      </w:r>
      <w:r w:rsidR="003A555E">
        <w:rPr>
          <w:rFonts w:ascii="Times New Roman" w:eastAsia="Times New Roman" w:hAnsi="Times New Roman" w:cs="Times New Roman"/>
          <w:sz w:val="24"/>
          <w:szCs w:val="20"/>
        </w:rPr>
        <w:t xml:space="preserve"> </w:t>
      </w:r>
      <w:r w:rsidR="005D6629">
        <w:rPr>
          <w:rFonts w:ascii="Times New Roman" w:eastAsia="Times New Roman" w:hAnsi="Times New Roman" w:cs="Times New Roman"/>
          <w:sz w:val="24"/>
          <w:szCs w:val="20"/>
        </w:rPr>
        <w:t xml:space="preserve"> </w:t>
      </w:r>
      <w:r w:rsidR="00834A5F">
        <w:rPr>
          <w:rFonts w:ascii="Times New Roman" w:eastAsia="Times New Roman" w:hAnsi="Times New Roman" w:cs="Times New Roman"/>
          <w:sz w:val="24"/>
          <w:szCs w:val="20"/>
        </w:rPr>
        <w:t xml:space="preserve"> </w:t>
      </w:r>
      <w:r w:rsidR="00A91AB5" w:rsidRPr="00134B2E">
        <w:rPr>
          <w:rFonts w:ascii="Times New Roman" w:eastAsia="Times New Roman" w:hAnsi="Times New Roman" w:cs="Times New Roman"/>
          <w:sz w:val="24"/>
          <w:szCs w:val="20"/>
        </w:rPr>
        <w:t xml:space="preserve"> </w:t>
      </w:r>
      <w:r w:rsidR="007E2F5F" w:rsidRPr="00134B2E">
        <w:rPr>
          <w:rFonts w:ascii="Times New Roman" w:eastAsia="Times New Roman" w:hAnsi="Times New Roman" w:cs="Times New Roman"/>
          <w:sz w:val="24"/>
          <w:szCs w:val="20"/>
        </w:rPr>
        <w:t xml:space="preserve"> </w:t>
      </w:r>
      <w:r w:rsidR="002A380F" w:rsidRPr="00134B2E">
        <w:rPr>
          <w:rFonts w:ascii="Times New Roman" w:eastAsia="Times New Roman" w:hAnsi="Times New Roman" w:cs="Times New Roman"/>
          <w:sz w:val="24"/>
          <w:szCs w:val="20"/>
        </w:rPr>
        <w:t xml:space="preserve"> </w:t>
      </w:r>
      <w:r w:rsidR="007F7D60" w:rsidRPr="00134B2E">
        <w:rPr>
          <w:rFonts w:ascii="Times New Roman" w:eastAsia="Times New Roman" w:hAnsi="Times New Roman" w:cs="Times New Roman"/>
          <w:sz w:val="24"/>
          <w:szCs w:val="20"/>
        </w:rPr>
        <w:t xml:space="preserve"> </w:t>
      </w:r>
      <w:r w:rsidR="00195424" w:rsidRPr="00134B2E">
        <w:rPr>
          <w:rFonts w:ascii="Times New Roman" w:eastAsia="Times New Roman" w:hAnsi="Times New Roman" w:cs="Times New Roman"/>
          <w:sz w:val="24"/>
          <w:szCs w:val="20"/>
        </w:rPr>
        <w:t xml:space="preserve">  </w:t>
      </w:r>
      <w:r w:rsidR="005544B4" w:rsidRPr="00134B2E">
        <w:rPr>
          <w:rFonts w:ascii="Times New Roman" w:eastAsia="Times New Roman" w:hAnsi="Times New Roman" w:cs="Times New Roman"/>
          <w:sz w:val="24"/>
          <w:szCs w:val="20"/>
        </w:rPr>
        <w:t xml:space="preserve"> </w:t>
      </w:r>
      <w:r w:rsidR="00870EE7" w:rsidRPr="00134B2E">
        <w:rPr>
          <w:rFonts w:ascii="Times New Roman" w:eastAsia="Times New Roman" w:hAnsi="Times New Roman" w:cs="Times New Roman"/>
          <w:sz w:val="24"/>
          <w:szCs w:val="20"/>
        </w:rPr>
        <w:t xml:space="preserve"> </w:t>
      </w:r>
      <w:r w:rsidR="006A7844" w:rsidRPr="00134B2E">
        <w:rPr>
          <w:rFonts w:ascii="Times New Roman" w:eastAsia="Times New Roman" w:hAnsi="Times New Roman" w:cs="Times New Roman"/>
          <w:sz w:val="24"/>
          <w:szCs w:val="20"/>
        </w:rPr>
        <w:t xml:space="preserve">  </w:t>
      </w:r>
      <w:r w:rsidR="00582988" w:rsidRPr="00134B2E">
        <w:rPr>
          <w:rFonts w:ascii="Times New Roman" w:eastAsia="Times New Roman" w:hAnsi="Times New Roman" w:cs="Times New Roman"/>
          <w:sz w:val="24"/>
          <w:szCs w:val="20"/>
        </w:rPr>
        <w:t xml:space="preserve">  </w:t>
      </w:r>
      <w:r w:rsidR="00AA6E86" w:rsidRPr="00134B2E">
        <w:rPr>
          <w:rFonts w:ascii="Times New Roman" w:eastAsia="Times New Roman" w:hAnsi="Times New Roman" w:cs="Times New Roman"/>
          <w:sz w:val="24"/>
          <w:szCs w:val="20"/>
        </w:rPr>
        <w:t xml:space="preserve"> </w:t>
      </w:r>
      <w:r w:rsidR="00147C96" w:rsidRPr="00134B2E">
        <w:rPr>
          <w:rFonts w:ascii="Times New Roman" w:eastAsia="Times New Roman" w:hAnsi="Times New Roman" w:cs="Times New Roman"/>
          <w:sz w:val="24"/>
          <w:szCs w:val="20"/>
        </w:rPr>
        <w:t xml:space="preserve"> </w:t>
      </w:r>
      <w:r w:rsidR="00AF5F86" w:rsidRPr="00134B2E">
        <w:rPr>
          <w:rFonts w:ascii="Times New Roman" w:eastAsia="Times New Roman" w:hAnsi="Times New Roman" w:cs="Times New Roman"/>
          <w:sz w:val="24"/>
          <w:szCs w:val="20"/>
        </w:rPr>
        <w:t xml:space="preserve"> </w:t>
      </w:r>
      <w:r w:rsidR="0023777D" w:rsidRPr="00134B2E">
        <w:rPr>
          <w:rFonts w:ascii="Times New Roman" w:eastAsia="Times New Roman" w:hAnsi="Times New Roman" w:cs="Times New Roman"/>
          <w:sz w:val="24"/>
          <w:szCs w:val="20"/>
        </w:rPr>
        <w:t xml:space="preserve"> </w:t>
      </w:r>
      <w:r w:rsidR="002C62FA" w:rsidRPr="00134B2E">
        <w:rPr>
          <w:rFonts w:ascii="Times New Roman" w:eastAsia="Times New Roman" w:hAnsi="Times New Roman" w:cs="Times New Roman"/>
          <w:sz w:val="24"/>
          <w:szCs w:val="20"/>
        </w:rPr>
        <w:t xml:space="preserve"> </w:t>
      </w:r>
      <w:r w:rsidR="00262C68" w:rsidRPr="00134B2E">
        <w:rPr>
          <w:rFonts w:ascii="Times New Roman" w:eastAsia="Times New Roman" w:hAnsi="Times New Roman" w:cs="Times New Roman"/>
          <w:sz w:val="24"/>
          <w:szCs w:val="20"/>
        </w:rPr>
        <w:t xml:space="preserve"> </w:t>
      </w:r>
      <w:r w:rsidR="00386BF1" w:rsidRPr="00134B2E">
        <w:rPr>
          <w:rFonts w:ascii="Times New Roman" w:eastAsia="Times New Roman" w:hAnsi="Times New Roman" w:cs="Times New Roman"/>
          <w:sz w:val="24"/>
          <w:szCs w:val="20"/>
        </w:rPr>
        <w:t xml:space="preserve"> </w:t>
      </w:r>
    </w:p>
    <w:p w14:paraId="070FE3C0" w14:textId="31E233B2" w:rsidR="009115A1" w:rsidRPr="006B7F3C" w:rsidRDefault="005574B4" w:rsidP="006B7F3C">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6276AB">
        <w:rPr>
          <w:rFonts w:ascii="Times New Roman" w:eastAsia="Times New Roman" w:hAnsi="Times New Roman" w:cs="Times New Roman"/>
          <w:sz w:val="24"/>
          <w:szCs w:val="20"/>
        </w:rPr>
        <w:t xml:space="preserve"> </w:t>
      </w:r>
      <w:r w:rsidR="009B7C52">
        <w:rPr>
          <w:rFonts w:ascii="Times New Roman" w:eastAsia="Times New Roman" w:hAnsi="Times New Roman" w:cs="Times New Roman"/>
          <w:sz w:val="24"/>
          <w:szCs w:val="20"/>
        </w:rPr>
        <w:t xml:space="preserve">  </w:t>
      </w:r>
    </w:p>
    <w:p w14:paraId="3891B6AE" w14:textId="1DE582D8" w:rsidR="00317766" w:rsidRPr="00317766" w:rsidRDefault="00F26C80" w:rsidP="00317766">
      <w:pPr>
        <w:tabs>
          <w:tab w:val="left" w:pos="-720"/>
        </w:tabs>
        <w:suppressAutoHyphens/>
        <w:autoSpaceDE w:val="0"/>
        <w:autoSpaceDN w:val="0"/>
        <w:spacing w:after="0" w:line="360" w:lineRule="auto"/>
        <w:rPr>
          <w:rFonts w:ascii="CG Times" w:eastAsia="Times New Roman" w:hAnsi="CG Times" w:cs="CG Times"/>
          <w:sz w:val="24"/>
          <w:szCs w:val="20"/>
        </w:rPr>
      </w:pPr>
      <w:r>
        <w:rPr>
          <w:rFonts w:ascii="CG Times" w:eastAsia="Times New Roman" w:hAnsi="CG Times" w:cs="CG Times"/>
          <w:sz w:val="24"/>
          <w:szCs w:val="20"/>
        </w:rPr>
        <w:tab/>
      </w:r>
      <w:r>
        <w:rPr>
          <w:rFonts w:ascii="CG Times" w:eastAsia="Times New Roman" w:hAnsi="CG Times" w:cs="CG Times"/>
          <w:sz w:val="24"/>
          <w:szCs w:val="20"/>
        </w:rPr>
        <w:tab/>
      </w:r>
      <w:r w:rsidR="00317766" w:rsidRPr="00317766">
        <w:rPr>
          <w:rFonts w:ascii="CG Times" w:eastAsia="Times New Roman" w:hAnsi="CG Times" w:cs="CG Times"/>
          <w:sz w:val="24"/>
          <w:szCs w:val="20"/>
        </w:rPr>
        <w:t>THERFORE,</w:t>
      </w:r>
    </w:p>
    <w:p w14:paraId="4919F266" w14:textId="77777777" w:rsidR="00317766" w:rsidRPr="00317766" w:rsidRDefault="00317766" w:rsidP="00317766">
      <w:pPr>
        <w:tabs>
          <w:tab w:val="left" w:pos="-720"/>
        </w:tabs>
        <w:suppressAutoHyphens/>
        <w:autoSpaceDE w:val="0"/>
        <w:autoSpaceDN w:val="0"/>
        <w:spacing w:after="0" w:line="360" w:lineRule="auto"/>
        <w:rPr>
          <w:rFonts w:ascii="CG Times" w:eastAsia="Times New Roman" w:hAnsi="CG Times" w:cs="CG Times"/>
          <w:sz w:val="24"/>
          <w:szCs w:val="20"/>
        </w:rPr>
      </w:pPr>
    </w:p>
    <w:p w14:paraId="03750DF2" w14:textId="77777777" w:rsidR="00317766" w:rsidRPr="00317766" w:rsidRDefault="00317766" w:rsidP="00317766">
      <w:pPr>
        <w:tabs>
          <w:tab w:val="left" w:pos="-720"/>
        </w:tabs>
        <w:suppressAutoHyphens/>
        <w:autoSpaceDE w:val="0"/>
        <w:autoSpaceDN w:val="0"/>
        <w:spacing w:after="0" w:line="360" w:lineRule="auto"/>
        <w:rPr>
          <w:rFonts w:ascii="CG Times" w:eastAsia="Times New Roman" w:hAnsi="CG Times" w:cs="CG Times"/>
          <w:sz w:val="24"/>
          <w:szCs w:val="20"/>
        </w:rPr>
      </w:pPr>
      <w:r w:rsidRPr="00317766">
        <w:rPr>
          <w:rFonts w:ascii="CG Times" w:eastAsia="Times New Roman" w:hAnsi="CG Times" w:cs="CG Times"/>
          <w:sz w:val="24"/>
          <w:szCs w:val="20"/>
        </w:rPr>
        <w:tab/>
      </w:r>
      <w:r w:rsidRPr="00317766">
        <w:rPr>
          <w:rFonts w:ascii="CG Times" w:eastAsia="Times New Roman" w:hAnsi="CG Times" w:cs="CG Times"/>
          <w:sz w:val="24"/>
          <w:szCs w:val="20"/>
        </w:rPr>
        <w:tab/>
        <w:t>IT IS ORDERED:</w:t>
      </w:r>
    </w:p>
    <w:p w14:paraId="3CA4BD0E" w14:textId="77777777" w:rsidR="00317766" w:rsidRPr="00317766" w:rsidRDefault="00317766" w:rsidP="00317766">
      <w:pPr>
        <w:tabs>
          <w:tab w:val="left" w:pos="-720"/>
        </w:tabs>
        <w:suppressAutoHyphens/>
        <w:autoSpaceDE w:val="0"/>
        <w:autoSpaceDN w:val="0"/>
        <w:spacing w:after="0" w:line="360" w:lineRule="auto"/>
        <w:rPr>
          <w:rFonts w:ascii="CG Times" w:eastAsia="Times New Roman" w:hAnsi="CG Times" w:cs="CG Times"/>
          <w:sz w:val="24"/>
          <w:szCs w:val="20"/>
        </w:rPr>
      </w:pPr>
    </w:p>
    <w:p w14:paraId="260E93D1" w14:textId="3DD7096A" w:rsidR="00354A2B" w:rsidRDefault="00317766" w:rsidP="004C52D8">
      <w:pPr>
        <w:tabs>
          <w:tab w:val="left" w:pos="-720"/>
        </w:tabs>
        <w:suppressAutoHyphens/>
        <w:autoSpaceDE w:val="0"/>
        <w:autoSpaceDN w:val="0"/>
        <w:spacing w:after="0" w:line="360" w:lineRule="auto"/>
        <w:rPr>
          <w:rFonts w:ascii="CG Times" w:eastAsia="Times New Roman" w:hAnsi="CG Times" w:cs="CG Times"/>
          <w:sz w:val="24"/>
          <w:szCs w:val="20"/>
        </w:rPr>
      </w:pPr>
      <w:r w:rsidRPr="00317766">
        <w:rPr>
          <w:rFonts w:ascii="CG Times" w:eastAsia="Times New Roman" w:hAnsi="CG Times" w:cs="CG Times"/>
          <w:sz w:val="24"/>
          <w:szCs w:val="20"/>
        </w:rPr>
        <w:tab/>
      </w:r>
      <w:r w:rsidRPr="00317766">
        <w:rPr>
          <w:rFonts w:ascii="CG Times" w:eastAsia="Times New Roman" w:hAnsi="CG Times" w:cs="CG Times"/>
          <w:sz w:val="24"/>
          <w:szCs w:val="20"/>
        </w:rPr>
        <w:tab/>
        <w:t>1.</w:t>
      </w:r>
      <w:r w:rsidRPr="00317766">
        <w:rPr>
          <w:rFonts w:ascii="CG Times" w:eastAsia="Times New Roman" w:hAnsi="CG Times" w:cs="CG Times"/>
          <w:sz w:val="24"/>
          <w:szCs w:val="20"/>
        </w:rPr>
        <w:tab/>
      </w:r>
      <w:bookmarkStart w:id="1" w:name="_Hlk74131361"/>
      <w:r w:rsidR="00E86B8A">
        <w:rPr>
          <w:rFonts w:ascii="CG Times" w:eastAsia="Times New Roman" w:hAnsi="CG Times" w:cs="CG Times"/>
          <w:sz w:val="24"/>
          <w:szCs w:val="20"/>
        </w:rPr>
        <w:t xml:space="preserve">That the Motion </w:t>
      </w:r>
      <w:r w:rsidR="00953565">
        <w:rPr>
          <w:rFonts w:ascii="CG Times" w:eastAsia="Times New Roman" w:hAnsi="CG Times" w:cs="CG Times"/>
          <w:sz w:val="24"/>
          <w:szCs w:val="20"/>
        </w:rPr>
        <w:t xml:space="preserve">of PPL Electric Utilities Corporation </w:t>
      </w:r>
      <w:r w:rsidR="00E86B8A">
        <w:rPr>
          <w:rFonts w:ascii="CG Times" w:eastAsia="Times New Roman" w:hAnsi="CG Times" w:cs="CG Times"/>
          <w:sz w:val="24"/>
          <w:szCs w:val="20"/>
        </w:rPr>
        <w:t>to Strike</w:t>
      </w:r>
      <w:r w:rsidR="00953565">
        <w:rPr>
          <w:rFonts w:ascii="CG Times" w:eastAsia="Times New Roman" w:hAnsi="CG Times" w:cs="CG Times"/>
          <w:sz w:val="24"/>
          <w:szCs w:val="20"/>
        </w:rPr>
        <w:t xml:space="preserve"> </w:t>
      </w:r>
      <w:r w:rsidR="00D71FC2">
        <w:rPr>
          <w:rFonts w:ascii="CG Times" w:eastAsia="Times New Roman" w:hAnsi="CG Times" w:cs="CG Times"/>
          <w:sz w:val="24"/>
          <w:szCs w:val="20"/>
        </w:rPr>
        <w:t>c</w:t>
      </w:r>
      <w:r w:rsidR="00953565">
        <w:rPr>
          <w:rFonts w:ascii="CG Times" w:eastAsia="Times New Roman" w:hAnsi="CG Times" w:cs="CG Times"/>
          <w:sz w:val="24"/>
          <w:szCs w:val="20"/>
        </w:rPr>
        <w:t xml:space="preserve">ertain </w:t>
      </w:r>
      <w:r w:rsidR="00D71FC2">
        <w:rPr>
          <w:rFonts w:ascii="CG Times" w:eastAsia="Times New Roman" w:hAnsi="CG Times" w:cs="CG Times"/>
          <w:sz w:val="24"/>
          <w:szCs w:val="20"/>
        </w:rPr>
        <w:t>p</w:t>
      </w:r>
      <w:r w:rsidR="00953565">
        <w:rPr>
          <w:rFonts w:ascii="CG Times" w:eastAsia="Times New Roman" w:hAnsi="CG Times" w:cs="CG Times"/>
          <w:sz w:val="24"/>
          <w:szCs w:val="20"/>
        </w:rPr>
        <w:t>o</w:t>
      </w:r>
      <w:r w:rsidR="00D71FC2">
        <w:rPr>
          <w:rFonts w:ascii="CG Times" w:eastAsia="Times New Roman" w:hAnsi="CG Times" w:cs="CG Times"/>
          <w:sz w:val="24"/>
          <w:szCs w:val="20"/>
        </w:rPr>
        <w:t>rtions of the Complainants'</w:t>
      </w:r>
      <w:r w:rsidR="00354A2B">
        <w:rPr>
          <w:rFonts w:ascii="CG Times" w:eastAsia="Times New Roman" w:hAnsi="CG Times" w:cs="CG Times"/>
          <w:sz w:val="24"/>
          <w:szCs w:val="20"/>
        </w:rPr>
        <w:t xml:space="preserve"> </w:t>
      </w:r>
      <w:r w:rsidR="00B455DF">
        <w:rPr>
          <w:rFonts w:ascii="CG Times" w:eastAsia="Times New Roman" w:hAnsi="CG Times" w:cs="CG Times"/>
          <w:sz w:val="24"/>
          <w:szCs w:val="20"/>
        </w:rPr>
        <w:t xml:space="preserve">direct </w:t>
      </w:r>
      <w:r w:rsidR="00354A2B">
        <w:rPr>
          <w:rFonts w:ascii="CG Times" w:eastAsia="Times New Roman" w:hAnsi="CG Times" w:cs="CG Times"/>
          <w:sz w:val="24"/>
          <w:szCs w:val="20"/>
        </w:rPr>
        <w:t>testimony and exhibits is granted in part and denied in part, consistent with this Order.</w:t>
      </w:r>
    </w:p>
    <w:p w14:paraId="4E183E39" w14:textId="77777777" w:rsidR="00354A2B" w:rsidRDefault="00354A2B" w:rsidP="004C52D8">
      <w:pPr>
        <w:tabs>
          <w:tab w:val="left" w:pos="-720"/>
        </w:tabs>
        <w:suppressAutoHyphens/>
        <w:autoSpaceDE w:val="0"/>
        <w:autoSpaceDN w:val="0"/>
        <w:spacing w:after="0" w:line="360" w:lineRule="auto"/>
        <w:rPr>
          <w:rFonts w:ascii="CG Times" w:eastAsia="Times New Roman" w:hAnsi="CG Times" w:cs="CG Times"/>
          <w:sz w:val="24"/>
          <w:szCs w:val="20"/>
        </w:rPr>
      </w:pPr>
    </w:p>
    <w:p w14:paraId="2A7C993D" w14:textId="0F499497" w:rsidR="00A42BD0" w:rsidRDefault="00354A2B" w:rsidP="004C52D8">
      <w:pPr>
        <w:tabs>
          <w:tab w:val="left" w:pos="-720"/>
        </w:tabs>
        <w:suppressAutoHyphens/>
        <w:autoSpaceDE w:val="0"/>
        <w:autoSpaceDN w:val="0"/>
        <w:spacing w:after="0" w:line="360" w:lineRule="auto"/>
        <w:rPr>
          <w:rFonts w:ascii="CG Times" w:eastAsia="Times New Roman" w:hAnsi="CG Times" w:cs="CG Times"/>
          <w:sz w:val="24"/>
          <w:szCs w:val="20"/>
        </w:rPr>
      </w:pPr>
      <w:r>
        <w:rPr>
          <w:rFonts w:ascii="CG Times" w:eastAsia="Times New Roman" w:hAnsi="CG Times" w:cs="CG Times"/>
          <w:sz w:val="24"/>
          <w:szCs w:val="20"/>
        </w:rPr>
        <w:tab/>
      </w:r>
      <w:r>
        <w:rPr>
          <w:rFonts w:ascii="CG Times" w:eastAsia="Times New Roman" w:hAnsi="CG Times" w:cs="CG Times"/>
          <w:sz w:val="24"/>
          <w:szCs w:val="20"/>
        </w:rPr>
        <w:tab/>
        <w:t>2.</w:t>
      </w:r>
      <w:r>
        <w:rPr>
          <w:rFonts w:ascii="CG Times" w:eastAsia="Times New Roman" w:hAnsi="CG Times" w:cs="CG Times"/>
          <w:sz w:val="24"/>
          <w:szCs w:val="20"/>
        </w:rPr>
        <w:tab/>
      </w:r>
      <w:r w:rsidR="00CF5149">
        <w:rPr>
          <w:rFonts w:ascii="CG Times" w:eastAsia="Times New Roman" w:hAnsi="CG Times" w:cs="CG Times"/>
          <w:sz w:val="24"/>
          <w:szCs w:val="20"/>
        </w:rPr>
        <w:t xml:space="preserve">That the following paragraphs from </w:t>
      </w:r>
      <w:r w:rsidR="00A42BD0">
        <w:rPr>
          <w:rFonts w:ascii="CG Times" w:eastAsia="Times New Roman" w:hAnsi="CG Times" w:cs="CG Times"/>
          <w:sz w:val="24"/>
          <w:szCs w:val="20"/>
        </w:rPr>
        <w:t xml:space="preserve">Hartman </w:t>
      </w:r>
      <w:r w:rsidR="00B455DF">
        <w:rPr>
          <w:rFonts w:ascii="CG Times" w:eastAsia="Times New Roman" w:hAnsi="CG Times" w:cs="CG Times"/>
          <w:sz w:val="24"/>
          <w:szCs w:val="20"/>
        </w:rPr>
        <w:t>Exhibit A (</w:t>
      </w:r>
      <w:r w:rsidR="00A42BD0">
        <w:rPr>
          <w:rFonts w:ascii="CG Times" w:eastAsia="Times New Roman" w:hAnsi="CG Times" w:cs="CG Times"/>
          <w:sz w:val="24"/>
          <w:szCs w:val="20"/>
        </w:rPr>
        <w:t>Direct Testimony</w:t>
      </w:r>
      <w:r w:rsidR="00B455DF">
        <w:rPr>
          <w:rFonts w:ascii="CG Times" w:eastAsia="Times New Roman" w:hAnsi="CG Times" w:cs="CG Times"/>
          <w:sz w:val="24"/>
          <w:szCs w:val="20"/>
        </w:rPr>
        <w:t>)</w:t>
      </w:r>
      <w:r w:rsidR="00A42BD0">
        <w:rPr>
          <w:rFonts w:ascii="CG Times" w:eastAsia="Times New Roman" w:hAnsi="CG Times" w:cs="CG Times"/>
          <w:sz w:val="24"/>
          <w:szCs w:val="20"/>
        </w:rPr>
        <w:t xml:space="preserve"> are hereby stricken from the evidentiary record:</w:t>
      </w:r>
    </w:p>
    <w:p w14:paraId="3414695B" w14:textId="77777777" w:rsidR="00A42BD0" w:rsidRDefault="00A42BD0" w:rsidP="004C52D8">
      <w:pPr>
        <w:tabs>
          <w:tab w:val="left" w:pos="-720"/>
        </w:tabs>
        <w:suppressAutoHyphens/>
        <w:autoSpaceDE w:val="0"/>
        <w:autoSpaceDN w:val="0"/>
        <w:spacing w:after="0" w:line="360" w:lineRule="auto"/>
        <w:rPr>
          <w:rFonts w:ascii="CG Times" w:eastAsia="Times New Roman" w:hAnsi="CG Times" w:cs="CG Times"/>
          <w:sz w:val="24"/>
          <w:szCs w:val="20"/>
        </w:rPr>
      </w:pPr>
    </w:p>
    <w:p w14:paraId="163E9884" w14:textId="77777777" w:rsidR="001967F5" w:rsidRDefault="00501684" w:rsidP="002E473D">
      <w:pPr>
        <w:tabs>
          <w:tab w:val="left" w:pos="-720"/>
        </w:tabs>
        <w:suppressAutoHyphens/>
        <w:autoSpaceDE w:val="0"/>
        <w:autoSpaceDN w:val="0"/>
        <w:spacing w:after="0" w:line="360" w:lineRule="auto"/>
        <w:ind w:left="720" w:right="720"/>
        <w:jc w:val="both"/>
        <w:rPr>
          <w:rFonts w:ascii="CG Times" w:eastAsia="Times New Roman" w:hAnsi="CG Times" w:cs="CG Times"/>
          <w:sz w:val="24"/>
          <w:szCs w:val="20"/>
        </w:rPr>
      </w:pPr>
      <w:r>
        <w:rPr>
          <w:rFonts w:ascii="CG Times" w:eastAsia="Times New Roman" w:hAnsi="CG Times" w:cs="CG Times"/>
          <w:sz w:val="24"/>
          <w:szCs w:val="20"/>
        </w:rPr>
        <w:t xml:space="preserve">11, 13, 14 (last sentence only), </w:t>
      </w:r>
      <w:r w:rsidR="004231F9">
        <w:rPr>
          <w:rFonts w:ascii="CG Times" w:eastAsia="Times New Roman" w:hAnsi="CG Times" w:cs="CG Times"/>
          <w:sz w:val="24"/>
          <w:szCs w:val="20"/>
        </w:rPr>
        <w:t>16, 21, 24, 25, 26, 31, 35, 39, 41, 42</w:t>
      </w:r>
      <w:r w:rsidR="00D66A5B">
        <w:rPr>
          <w:rFonts w:ascii="CG Times" w:eastAsia="Times New Roman" w:hAnsi="CG Times" w:cs="CG Times"/>
          <w:sz w:val="24"/>
          <w:szCs w:val="20"/>
        </w:rPr>
        <w:t xml:space="preserve">, 48, 49, 76, 77, 85, 86, 89, 90, </w:t>
      </w:r>
      <w:r w:rsidR="00082217">
        <w:rPr>
          <w:rFonts w:ascii="CG Times" w:eastAsia="Times New Roman" w:hAnsi="CG Times" w:cs="CG Times"/>
          <w:sz w:val="24"/>
          <w:szCs w:val="20"/>
        </w:rPr>
        <w:t>91, 93, 94, 96, 98, 128, 136 (subsection nos. 12, 19, 20, 21, 27, 28 and 32 only).</w:t>
      </w:r>
    </w:p>
    <w:p w14:paraId="44CBF3BC" w14:textId="77777777" w:rsidR="00523AD9" w:rsidRDefault="001967F5" w:rsidP="004C52D8">
      <w:pPr>
        <w:tabs>
          <w:tab w:val="left" w:pos="-720"/>
        </w:tabs>
        <w:suppressAutoHyphens/>
        <w:autoSpaceDE w:val="0"/>
        <w:autoSpaceDN w:val="0"/>
        <w:spacing w:after="0" w:line="360" w:lineRule="auto"/>
        <w:rPr>
          <w:rFonts w:ascii="CG Times" w:eastAsia="Times New Roman" w:hAnsi="CG Times" w:cs="CG Times"/>
          <w:sz w:val="24"/>
          <w:szCs w:val="20"/>
        </w:rPr>
      </w:pPr>
      <w:r>
        <w:rPr>
          <w:rFonts w:ascii="CG Times" w:eastAsia="Times New Roman" w:hAnsi="CG Times" w:cs="CG Times"/>
          <w:sz w:val="24"/>
          <w:szCs w:val="20"/>
        </w:rPr>
        <w:lastRenderedPageBreak/>
        <w:tab/>
      </w:r>
      <w:r>
        <w:rPr>
          <w:rFonts w:ascii="CG Times" w:eastAsia="Times New Roman" w:hAnsi="CG Times" w:cs="CG Times"/>
          <w:sz w:val="24"/>
          <w:szCs w:val="20"/>
        </w:rPr>
        <w:tab/>
        <w:t>3.</w:t>
      </w:r>
      <w:r>
        <w:rPr>
          <w:rFonts w:ascii="CG Times" w:eastAsia="Times New Roman" w:hAnsi="CG Times" w:cs="CG Times"/>
          <w:sz w:val="24"/>
          <w:szCs w:val="20"/>
        </w:rPr>
        <w:tab/>
        <w:t>That the following Hartman Exhibits are stricken from the evidentiary re</w:t>
      </w:r>
      <w:r w:rsidR="00523AD9">
        <w:rPr>
          <w:rFonts w:ascii="CG Times" w:eastAsia="Times New Roman" w:hAnsi="CG Times" w:cs="CG Times"/>
          <w:sz w:val="24"/>
          <w:szCs w:val="20"/>
        </w:rPr>
        <w:t>cord:</w:t>
      </w:r>
    </w:p>
    <w:p w14:paraId="7188DEDA" w14:textId="77777777" w:rsidR="00523AD9" w:rsidRDefault="00523AD9" w:rsidP="004C52D8">
      <w:pPr>
        <w:tabs>
          <w:tab w:val="left" w:pos="-720"/>
        </w:tabs>
        <w:suppressAutoHyphens/>
        <w:autoSpaceDE w:val="0"/>
        <w:autoSpaceDN w:val="0"/>
        <w:spacing w:after="0" w:line="360" w:lineRule="auto"/>
        <w:rPr>
          <w:rFonts w:ascii="CG Times" w:eastAsia="Times New Roman" w:hAnsi="CG Times" w:cs="CG Times"/>
          <w:sz w:val="24"/>
          <w:szCs w:val="20"/>
        </w:rPr>
      </w:pPr>
    </w:p>
    <w:p w14:paraId="2EA0E32A" w14:textId="170A543C" w:rsidR="00E81AB8" w:rsidRPr="00317766" w:rsidRDefault="00523AD9" w:rsidP="002E473D">
      <w:pPr>
        <w:tabs>
          <w:tab w:val="left" w:pos="-720"/>
        </w:tabs>
        <w:suppressAutoHyphens/>
        <w:autoSpaceDE w:val="0"/>
        <w:autoSpaceDN w:val="0"/>
        <w:spacing w:after="0" w:line="360" w:lineRule="auto"/>
        <w:ind w:left="720" w:right="720"/>
        <w:rPr>
          <w:rFonts w:ascii="CG Times" w:eastAsia="Times New Roman" w:hAnsi="CG Times" w:cs="CG Times"/>
          <w:sz w:val="24"/>
          <w:szCs w:val="20"/>
        </w:rPr>
      </w:pPr>
      <w:r>
        <w:rPr>
          <w:rFonts w:ascii="CG Times" w:eastAsia="Times New Roman" w:hAnsi="CG Times" w:cs="CG Times"/>
          <w:sz w:val="24"/>
          <w:szCs w:val="20"/>
        </w:rPr>
        <w:t xml:space="preserve">2, 4, 6, 13, 14, 15, 21, 22, 23, </w:t>
      </w:r>
      <w:r w:rsidR="00217024">
        <w:rPr>
          <w:rFonts w:ascii="CG Times" w:eastAsia="Times New Roman" w:hAnsi="CG Times" w:cs="CG Times"/>
          <w:sz w:val="24"/>
          <w:szCs w:val="20"/>
        </w:rPr>
        <w:t xml:space="preserve">38, 39, 40, </w:t>
      </w:r>
      <w:r>
        <w:rPr>
          <w:rFonts w:ascii="CG Times" w:eastAsia="Times New Roman" w:hAnsi="CG Times" w:cs="CG Times"/>
          <w:sz w:val="24"/>
          <w:szCs w:val="20"/>
        </w:rPr>
        <w:t>41</w:t>
      </w:r>
      <w:r w:rsidR="00A5379B">
        <w:rPr>
          <w:rFonts w:ascii="CG Times" w:eastAsia="Times New Roman" w:hAnsi="CG Times" w:cs="CG Times"/>
          <w:sz w:val="24"/>
          <w:szCs w:val="20"/>
        </w:rPr>
        <w:t>,</w:t>
      </w:r>
      <w:r w:rsidR="00217024">
        <w:rPr>
          <w:rFonts w:ascii="CG Times" w:eastAsia="Times New Roman" w:hAnsi="CG Times" w:cs="CG Times"/>
          <w:sz w:val="24"/>
          <w:szCs w:val="20"/>
        </w:rPr>
        <w:t xml:space="preserve"> 42, 43, 44,</w:t>
      </w:r>
      <w:r w:rsidR="00A5379B">
        <w:rPr>
          <w:rFonts w:ascii="CG Times" w:eastAsia="Times New Roman" w:hAnsi="CG Times" w:cs="CG Times"/>
          <w:sz w:val="24"/>
          <w:szCs w:val="20"/>
        </w:rPr>
        <w:t xml:space="preserve"> 45, 46, 48</w:t>
      </w:r>
      <w:r w:rsidR="00217024">
        <w:rPr>
          <w:rFonts w:ascii="CG Times" w:eastAsia="Times New Roman" w:hAnsi="CG Times" w:cs="CG Times"/>
          <w:sz w:val="24"/>
          <w:szCs w:val="20"/>
        </w:rPr>
        <w:t xml:space="preserve"> and 57.</w:t>
      </w:r>
      <w:r w:rsidR="00A5379B">
        <w:rPr>
          <w:rFonts w:ascii="CG Times" w:eastAsia="Times New Roman" w:hAnsi="CG Times" w:cs="CG Times"/>
          <w:sz w:val="24"/>
          <w:szCs w:val="20"/>
        </w:rPr>
        <w:t xml:space="preserve"> </w:t>
      </w:r>
      <w:r w:rsidR="001967F5">
        <w:rPr>
          <w:rFonts w:ascii="CG Times" w:eastAsia="Times New Roman" w:hAnsi="CG Times" w:cs="CG Times"/>
          <w:sz w:val="24"/>
          <w:szCs w:val="20"/>
        </w:rPr>
        <w:t xml:space="preserve"> </w:t>
      </w:r>
      <w:r w:rsidR="00CF5149">
        <w:rPr>
          <w:rFonts w:ascii="CG Times" w:eastAsia="Times New Roman" w:hAnsi="CG Times" w:cs="CG Times"/>
          <w:sz w:val="24"/>
          <w:szCs w:val="20"/>
        </w:rPr>
        <w:t xml:space="preserve"> </w:t>
      </w:r>
      <w:r w:rsidR="00D71FC2">
        <w:rPr>
          <w:rFonts w:ascii="CG Times" w:eastAsia="Times New Roman" w:hAnsi="CG Times" w:cs="CG Times"/>
          <w:sz w:val="24"/>
          <w:szCs w:val="20"/>
        </w:rPr>
        <w:t xml:space="preserve"> </w:t>
      </w:r>
    </w:p>
    <w:p w14:paraId="6474C6E9" w14:textId="77777777" w:rsidR="00317766" w:rsidRPr="00317766" w:rsidRDefault="00317766" w:rsidP="00317766">
      <w:pPr>
        <w:tabs>
          <w:tab w:val="left" w:pos="-720"/>
        </w:tabs>
        <w:suppressAutoHyphens/>
        <w:autoSpaceDE w:val="0"/>
        <w:autoSpaceDN w:val="0"/>
        <w:spacing w:after="0" w:line="360" w:lineRule="auto"/>
        <w:rPr>
          <w:rFonts w:ascii="CG Times" w:eastAsia="Times New Roman" w:hAnsi="CG Times" w:cs="CG Times"/>
          <w:sz w:val="24"/>
          <w:szCs w:val="20"/>
        </w:rPr>
      </w:pPr>
    </w:p>
    <w:p w14:paraId="6EFFBFD1" w14:textId="77777777" w:rsidR="00317766" w:rsidRPr="00317766" w:rsidRDefault="00317766" w:rsidP="0031776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317766">
        <w:rPr>
          <w:rFonts w:ascii="CG Times" w:eastAsia="Times New Roman" w:hAnsi="CG Times" w:cs="CG Times"/>
          <w:sz w:val="24"/>
          <w:szCs w:val="20"/>
        </w:rPr>
        <w:tab/>
      </w:r>
      <w:r w:rsidRPr="00317766">
        <w:rPr>
          <w:rFonts w:ascii="CG Times" w:eastAsia="Times New Roman" w:hAnsi="CG Times" w:cs="CG Times"/>
          <w:sz w:val="24"/>
          <w:szCs w:val="20"/>
        </w:rPr>
        <w:tab/>
      </w:r>
      <w:bookmarkEnd w:id="1"/>
    </w:p>
    <w:p w14:paraId="646EB9B2" w14:textId="2FB8E4EA" w:rsidR="00317766" w:rsidRPr="006B7F3C" w:rsidRDefault="00317766" w:rsidP="00317766">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317766">
        <w:rPr>
          <w:rFonts w:ascii="Times New Roman" w:eastAsia="Times New Roman" w:hAnsi="Times New Roman" w:cs="Times New Roman"/>
          <w:spacing w:val="-3"/>
          <w:sz w:val="24"/>
          <w:szCs w:val="24"/>
        </w:rPr>
        <w:t>Date:</w:t>
      </w:r>
      <w:r w:rsidRPr="00317766">
        <w:rPr>
          <w:rFonts w:ascii="Times New Roman" w:eastAsia="Times New Roman" w:hAnsi="Times New Roman" w:cs="Times New Roman"/>
          <w:spacing w:val="-3"/>
          <w:sz w:val="24"/>
          <w:szCs w:val="24"/>
        </w:rPr>
        <w:tab/>
      </w:r>
      <w:r w:rsidR="002E473D" w:rsidRPr="00E82056">
        <w:rPr>
          <w:rFonts w:ascii="Times New Roman" w:eastAsia="Times New Roman" w:hAnsi="Times New Roman" w:cs="Times New Roman"/>
          <w:spacing w:val="-3"/>
          <w:sz w:val="24"/>
          <w:szCs w:val="24"/>
          <w:u w:val="single"/>
        </w:rPr>
        <w:t>February</w:t>
      </w:r>
      <w:r w:rsidR="00E82056" w:rsidRPr="00E82056">
        <w:rPr>
          <w:rFonts w:ascii="Times New Roman" w:eastAsia="Times New Roman" w:hAnsi="Times New Roman" w:cs="Times New Roman"/>
          <w:spacing w:val="-3"/>
          <w:sz w:val="24"/>
          <w:szCs w:val="24"/>
          <w:u w:val="single"/>
        </w:rPr>
        <w:t xml:space="preserve"> 2</w:t>
      </w:r>
      <w:r w:rsidRPr="00317766">
        <w:rPr>
          <w:rFonts w:ascii="Times New Roman" w:eastAsia="Times New Roman" w:hAnsi="Times New Roman" w:cs="Times New Roman"/>
          <w:spacing w:val="-3"/>
          <w:sz w:val="24"/>
          <w:szCs w:val="24"/>
          <w:u w:val="single"/>
        </w:rPr>
        <w:t>, 202</w:t>
      </w:r>
      <w:r w:rsidR="00E82056">
        <w:rPr>
          <w:rFonts w:ascii="Times New Roman" w:eastAsia="Times New Roman" w:hAnsi="Times New Roman" w:cs="Times New Roman"/>
          <w:spacing w:val="-3"/>
          <w:sz w:val="24"/>
          <w:szCs w:val="24"/>
          <w:u w:val="single"/>
        </w:rPr>
        <w:t>3</w:t>
      </w:r>
      <w:r w:rsidRPr="00317766">
        <w:rPr>
          <w:rFonts w:ascii="Times New Roman" w:eastAsia="Times New Roman" w:hAnsi="Times New Roman" w:cs="Times New Roman"/>
          <w:spacing w:val="-3"/>
          <w:sz w:val="24"/>
          <w:szCs w:val="24"/>
        </w:rPr>
        <w:tab/>
      </w:r>
      <w:r w:rsidR="006B7F3C">
        <w:rPr>
          <w:rFonts w:ascii="Times New Roman" w:eastAsia="Times New Roman" w:hAnsi="Times New Roman" w:cs="Times New Roman"/>
          <w:spacing w:val="-3"/>
          <w:sz w:val="24"/>
          <w:szCs w:val="24"/>
          <w:u w:val="single"/>
        </w:rPr>
        <w:tab/>
      </w:r>
      <w:r w:rsidR="006B7F3C">
        <w:rPr>
          <w:rFonts w:ascii="Times New Roman" w:eastAsia="Times New Roman" w:hAnsi="Times New Roman" w:cs="Times New Roman"/>
          <w:spacing w:val="-3"/>
          <w:sz w:val="24"/>
          <w:szCs w:val="24"/>
          <w:u w:val="single"/>
        </w:rPr>
        <w:tab/>
        <w:t>/s/</w:t>
      </w:r>
      <w:r w:rsidR="006B7F3C">
        <w:rPr>
          <w:rFonts w:ascii="Times New Roman" w:eastAsia="Times New Roman" w:hAnsi="Times New Roman" w:cs="Times New Roman"/>
          <w:spacing w:val="-3"/>
          <w:sz w:val="24"/>
          <w:szCs w:val="24"/>
          <w:u w:val="single"/>
        </w:rPr>
        <w:tab/>
      </w:r>
      <w:r w:rsidR="006B7F3C">
        <w:rPr>
          <w:rFonts w:ascii="Times New Roman" w:eastAsia="Times New Roman" w:hAnsi="Times New Roman" w:cs="Times New Roman"/>
          <w:spacing w:val="-3"/>
          <w:sz w:val="24"/>
          <w:szCs w:val="24"/>
          <w:u w:val="single"/>
        </w:rPr>
        <w:tab/>
      </w:r>
    </w:p>
    <w:p w14:paraId="06D6DCC6" w14:textId="40570746" w:rsidR="00317766" w:rsidRPr="00317766" w:rsidRDefault="00317766" w:rsidP="00317766">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317766">
        <w:rPr>
          <w:rFonts w:ascii="Times New Roman" w:eastAsia="Times New Roman" w:hAnsi="Times New Roman" w:cs="Times New Roman"/>
          <w:spacing w:val="-3"/>
          <w:sz w:val="24"/>
          <w:szCs w:val="24"/>
        </w:rPr>
        <w:tab/>
      </w:r>
      <w:r w:rsidRPr="00317766">
        <w:rPr>
          <w:rFonts w:ascii="Times New Roman" w:eastAsia="Times New Roman" w:hAnsi="Times New Roman" w:cs="Times New Roman"/>
          <w:spacing w:val="-3"/>
          <w:sz w:val="24"/>
          <w:szCs w:val="24"/>
        </w:rPr>
        <w:tab/>
      </w:r>
      <w:r w:rsidR="004C52D8">
        <w:rPr>
          <w:rFonts w:ascii="Times New Roman" w:eastAsia="Times New Roman" w:hAnsi="Times New Roman" w:cs="Times New Roman"/>
          <w:spacing w:val="-3"/>
          <w:sz w:val="24"/>
          <w:szCs w:val="24"/>
        </w:rPr>
        <w:t>Steven K. Haas</w:t>
      </w:r>
    </w:p>
    <w:p w14:paraId="7BE05C1C" w14:textId="77777777" w:rsidR="00317766" w:rsidRPr="00317766" w:rsidRDefault="00317766" w:rsidP="00317766">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317766">
        <w:rPr>
          <w:rFonts w:ascii="Times New Roman" w:eastAsia="Times New Roman" w:hAnsi="Times New Roman" w:cs="CG Times"/>
          <w:sz w:val="24"/>
          <w:szCs w:val="24"/>
        </w:rPr>
        <w:tab/>
      </w:r>
      <w:r w:rsidRPr="00317766">
        <w:rPr>
          <w:rFonts w:ascii="Times New Roman" w:eastAsia="Times New Roman" w:hAnsi="Times New Roman" w:cs="CG Times"/>
          <w:sz w:val="24"/>
          <w:szCs w:val="24"/>
        </w:rPr>
        <w:tab/>
        <w:t>Administrative Law Judge</w:t>
      </w:r>
    </w:p>
    <w:p w14:paraId="76501EF6" w14:textId="77777777" w:rsidR="006B7F3C" w:rsidRDefault="006B7F3C" w:rsidP="00442F58">
      <w:pPr>
        <w:spacing w:line="360" w:lineRule="auto"/>
        <w:sectPr w:rsidR="006B7F3C" w:rsidSect="006B7F3C">
          <w:footerReference w:type="default" r:id="rId12"/>
          <w:pgSz w:w="12240" w:h="15840"/>
          <w:pgMar w:top="1440" w:right="1440" w:bottom="1350" w:left="1440" w:header="720" w:footer="720" w:gutter="0"/>
          <w:cols w:space="720"/>
          <w:docGrid w:linePitch="360"/>
        </w:sectPr>
      </w:pPr>
    </w:p>
    <w:p w14:paraId="65EE2E79" w14:textId="77777777" w:rsidR="006B7F3C" w:rsidRDefault="006B7F3C" w:rsidP="006B7F3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C-2019-3008272 - MICHAEL AND SHARON HARTMAN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Cs/>
          <w:i/>
          <w:iCs/>
          <w:sz w:val="24"/>
        </w:rPr>
        <w:t xml:space="preserve">Updated </w:t>
      </w:r>
      <w:proofErr w:type="gramStart"/>
      <w:r>
        <w:rPr>
          <w:rFonts w:ascii="Microsoft Sans Serif" w:eastAsia="Microsoft Sans Serif" w:hAnsi="Microsoft Sans Serif" w:cs="Microsoft Sans Serif"/>
          <w:bCs/>
          <w:i/>
          <w:iCs/>
          <w:sz w:val="24"/>
        </w:rPr>
        <w:t>06/27/22</w:t>
      </w:r>
      <w:proofErr w:type="gramEnd"/>
    </w:p>
    <w:p w14:paraId="7D79CD97" w14:textId="77777777" w:rsidR="006B7F3C" w:rsidRPr="00643A18" w:rsidRDefault="006B7F3C" w:rsidP="006B7F3C">
      <w:pPr>
        <w:rPr>
          <w:rFonts w:ascii="Microsoft Sans Serif" w:eastAsia="Microsoft Sans Serif" w:hAnsi="Microsoft Sans Serif" w:cs="Microsoft Sans Serif"/>
          <w:bCs/>
          <w:sz w:val="24"/>
        </w:rPr>
      </w:pPr>
      <w:r>
        <w:rPr>
          <w:rFonts w:ascii="Microsoft Sans Serif" w:eastAsia="Microsoft Sans Serif" w:hAnsi="Microsoft Sans Serif" w:cs="Microsoft Sans Serif"/>
          <w:sz w:val="24"/>
        </w:rPr>
        <w:t>MICHAEL HARTMAN</w:t>
      </w:r>
      <w:r>
        <w:rPr>
          <w:rFonts w:ascii="Microsoft Sans Serif" w:eastAsia="Microsoft Sans Serif" w:hAnsi="Microsoft Sans Serif" w:cs="Microsoft Sans Serif"/>
          <w:sz w:val="24"/>
        </w:rPr>
        <w:br/>
        <w:t>SHARON HARTMAN</w:t>
      </w:r>
      <w:r>
        <w:rPr>
          <w:rFonts w:ascii="Microsoft Sans Serif" w:eastAsia="Microsoft Sans Serif" w:hAnsi="Microsoft Sans Serif" w:cs="Microsoft Sans Serif"/>
          <w:sz w:val="24"/>
        </w:rPr>
        <w:cr/>
        <w:t>1650 PRIMROSE LANE</w:t>
      </w:r>
      <w:r>
        <w:rPr>
          <w:rFonts w:ascii="Microsoft Sans Serif" w:eastAsia="Microsoft Sans Serif" w:hAnsi="Microsoft Sans Serif" w:cs="Microsoft Sans Serif"/>
          <w:sz w:val="24"/>
        </w:rPr>
        <w:cr/>
        <w:t>DAUPHIN PA  17018</w:t>
      </w:r>
      <w:r>
        <w:rPr>
          <w:rFonts w:ascii="Microsoft Sans Serif" w:eastAsia="Microsoft Sans Serif" w:hAnsi="Microsoft Sans Serif" w:cs="Microsoft Sans Serif"/>
          <w:sz w:val="24"/>
        </w:rPr>
        <w:cr/>
      </w:r>
      <w:r w:rsidRPr="00270630">
        <w:rPr>
          <w:rFonts w:ascii="Microsoft Sans Serif" w:eastAsia="Microsoft Sans Serif" w:hAnsi="Microsoft Sans Serif" w:cs="Microsoft Sans Serif"/>
          <w:b/>
          <w:sz w:val="24"/>
        </w:rPr>
        <w:t>717.921.8708</w:t>
      </w:r>
      <w:r>
        <w:rPr>
          <w:rFonts w:ascii="Microsoft Sans Serif" w:eastAsia="Microsoft Sans Serif" w:hAnsi="Microsoft Sans Serif" w:cs="Microsoft Sans Serif"/>
          <w:b/>
          <w:sz w:val="24"/>
        </w:rPr>
        <w:br/>
      </w:r>
      <w:hyperlink r:id="rId13" w:history="1">
        <w:r w:rsidRPr="006F5363">
          <w:rPr>
            <w:rStyle w:val="Hyperlink"/>
            <w:rFonts w:ascii="Microsoft Sans Serif" w:eastAsia="Microsoft Sans Serif" w:hAnsi="Microsoft Sans Serif" w:cs="Microsoft Sans Serif"/>
            <w:bCs/>
            <w:sz w:val="24"/>
          </w:rPr>
          <w:t>angelgah@comcast.net</w:t>
        </w:r>
      </w:hyperlink>
      <w:r>
        <w:rPr>
          <w:rFonts w:ascii="Microsoft Sans Serif" w:eastAsia="Microsoft Sans Serif" w:hAnsi="Microsoft Sans Serif" w:cs="Microsoft Sans Serif"/>
          <w:bCs/>
          <w:sz w:val="24"/>
        </w:rPr>
        <w:br/>
        <w:t>Accepts eService</w:t>
      </w:r>
      <w:r>
        <w:rPr>
          <w:rFonts w:ascii="Microsoft Sans Serif" w:eastAsia="Microsoft Sans Serif" w:hAnsi="Microsoft Sans Serif" w:cs="Microsoft Sans Serif"/>
          <w:bCs/>
          <w:sz w:val="24"/>
        </w:rPr>
        <w:b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3E4026">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br/>
      </w:r>
      <w:r w:rsidRPr="003E4026">
        <w:rPr>
          <w:rFonts w:ascii="Microsoft Sans Serif" w:eastAsia="Microsoft Sans Serif" w:hAnsi="Microsoft Sans Serif" w:cs="Microsoft Sans Serif"/>
          <w:b/>
          <w:bCs/>
          <w:sz w:val="24"/>
        </w:rPr>
        <w:t>717.612.6033</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 xml:space="preserve">nstobbe@postschell.com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Pr="007764ED">
        <w:rPr>
          <w:rFonts w:ascii="Microsoft Sans Serif" w:eastAsia="Microsoft Sans Serif" w:hAnsi="Microsoft Sans Serif" w:cs="Microsoft Sans Serif"/>
          <w:i/>
          <w:iCs/>
          <w:sz w:val="24"/>
        </w:rPr>
        <w:t xml:space="preserve"> </w:t>
      </w:r>
      <w:r w:rsidRPr="007764ED">
        <w:rPr>
          <w:rFonts w:ascii="Microsoft Sans Serif" w:eastAsia="Microsoft Sans Serif" w:hAnsi="Microsoft Sans Serif" w:cs="Microsoft Sans Serif"/>
          <w:i/>
          <w:iCs/>
          <w:sz w:val="24"/>
        </w:rPr>
        <w:br/>
      </w:r>
    </w:p>
    <w:p w14:paraId="44D120CD" w14:textId="77777777" w:rsidR="006B7F3C" w:rsidRPr="005B7619" w:rsidRDefault="006B7F3C" w:rsidP="006B7F3C">
      <w:pPr>
        <w:rPr>
          <w:b/>
          <w:bCs/>
        </w:rPr>
      </w:pPr>
      <w:r>
        <w:rPr>
          <w:rFonts w:ascii="Microsoft Sans Serif" w:eastAsia="Microsoft Sans Serif" w:hAnsi="Microsoft Sans Serif" w:cs="Microsoft Sans Serif"/>
          <w:bCs/>
          <w:sz w:val="24"/>
        </w:rPr>
        <w:br/>
      </w:r>
    </w:p>
    <w:p w14:paraId="4C9DC251" w14:textId="77777777" w:rsidR="00317766" w:rsidRDefault="00317766" w:rsidP="00442F58">
      <w:pPr>
        <w:spacing w:line="360" w:lineRule="auto"/>
      </w:pPr>
    </w:p>
    <w:sectPr w:rsidR="0031776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54F98" w14:textId="77777777" w:rsidR="001704AD" w:rsidRDefault="001704AD" w:rsidP="00B54FC8">
      <w:pPr>
        <w:spacing w:after="0" w:line="240" w:lineRule="auto"/>
      </w:pPr>
      <w:r>
        <w:separator/>
      </w:r>
    </w:p>
  </w:endnote>
  <w:endnote w:type="continuationSeparator" w:id="0">
    <w:p w14:paraId="09480C55" w14:textId="77777777" w:rsidR="001704AD" w:rsidRDefault="001704AD" w:rsidP="00B5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A0EF" w14:textId="2BEE4373" w:rsidR="009541A7" w:rsidRPr="006B7F3C" w:rsidRDefault="009541A7">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623676"/>
      <w:docPartObj>
        <w:docPartGallery w:val="Page Numbers (Bottom of Page)"/>
        <w:docPartUnique/>
      </w:docPartObj>
    </w:sdtPr>
    <w:sdtEndPr>
      <w:rPr>
        <w:rFonts w:ascii="Times New Roman" w:hAnsi="Times New Roman" w:cs="Times New Roman"/>
        <w:noProof/>
        <w:sz w:val="20"/>
        <w:szCs w:val="20"/>
      </w:rPr>
    </w:sdtEndPr>
    <w:sdtContent>
      <w:p w14:paraId="49BA8BAA" w14:textId="77777777" w:rsidR="006B7F3C" w:rsidRPr="006B7F3C" w:rsidRDefault="006B7F3C">
        <w:pPr>
          <w:pStyle w:val="Footer"/>
          <w:jc w:val="center"/>
          <w:rPr>
            <w:rFonts w:ascii="Times New Roman" w:hAnsi="Times New Roman" w:cs="Times New Roman"/>
            <w:sz w:val="20"/>
            <w:szCs w:val="20"/>
          </w:rPr>
        </w:pPr>
        <w:r w:rsidRPr="006B7F3C">
          <w:rPr>
            <w:rFonts w:ascii="Times New Roman" w:hAnsi="Times New Roman" w:cs="Times New Roman"/>
            <w:sz w:val="20"/>
            <w:szCs w:val="20"/>
          </w:rPr>
          <w:fldChar w:fldCharType="begin"/>
        </w:r>
        <w:r w:rsidRPr="006B7F3C">
          <w:rPr>
            <w:rFonts w:ascii="Times New Roman" w:hAnsi="Times New Roman" w:cs="Times New Roman"/>
            <w:sz w:val="20"/>
            <w:szCs w:val="20"/>
          </w:rPr>
          <w:instrText xml:space="preserve"> PAGE   \* MERGEFORMAT </w:instrText>
        </w:r>
        <w:r w:rsidRPr="006B7F3C">
          <w:rPr>
            <w:rFonts w:ascii="Times New Roman" w:hAnsi="Times New Roman" w:cs="Times New Roman"/>
            <w:sz w:val="20"/>
            <w:szCs w:val="20"/>
          </w:rPr>
          <w:fldChar w:fldCharType="separate"/>
        </w:r>
        <w:r w:rsidRPr="006B7F3C">
          <w:rPr>
            <w:rFonts w:ascii="Times New Roman" w:hAnsi="Times New Roman" w:cs="Times New Roman"/>
            <w:noProof/>
            <w:sz w:val="20"/>
            <w:szCs w:val="20"/>
          </w:rPr>
          <w:t>2</w:t>
        </w:r>
        <w:r w:rsidRPr="006B7F3C">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BB4A" w14:textId="6A49B419" w:rsidR="006B7F3C" w:rsidRPr="006B7F3C" w:rsidRDefault="006B7F3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0107" w14:textId="77777777" w:rsidR="001704AD" w:rsidRDefault="001704AD" w:rsidP="00B54FC8">
      <w:pPr>
        <w:spacing w:after="0" w:line="240" w:lineRule="auto"/>
      </w:pPr>
      <w:r>
        <w:separator/>
      </w:r>
    </w:p>
  </w:footnote>
  <w:footnote w:type="continuationSeparator" w:id="0">
    <w:p w14:paraId="705E73A2" w14:textId="77777777" w:rsidR="001704AD" w:rsidRDefault="001704AD" w:rsidP="00B54FC8">
      <w:pPr>
        <w:spacing w:after="0" w:line="240" w:lineRule="auto"/>
      </w:pPr>
      <w:r>
        <w:continuationSeparator/>
      </w:r>
    </w:p>
  </w:footnote>
  <w:footnote w:id="1">
    <w:p w14:paraId="5CD50640" w14:textId="0E38A217" w:rsidR="00C13078" w:rsidRPr="00C13078" w:rsidRDefault="00C13078" w:rsidP="006B7F3C">
      <w:pPr>
        <w:pStyle w:val="FootnoteText"/>
        <w:ind w:firstLine="720"/>
        <w:rPr>
          <w:rFonts w:ascii="Times New Roman" w:hAnsi="Times New Roman" w:cs="Times New Roman"/>
        </w:rPr>
      </w:pPr>
      <w:r w:rsidRPr="00C13078">
        <w:rPr>
          <w:rStyle w:val="FootnoteReference"/>
          <w:rFonts w:ascii="Times New Roman" w:hAnsi="Times New Roman" w:cs="Times New Roman"/>
        </w:rPr>
        <w:footnoteRef/>
      </w:r>
      <w:r w:rsidRPr="00C13078">
        <w:rPr>
          <w:rFonts w:ascii="Times New Roman" w:hAnsi="Times New Roman" w:cs="Times New Roman"/>
        </w:rPr>
        <w:t xml:space="preserve"> The Hartmans</w:t>
      </w:r>
      <w:r>
        <w:rPr>
          <w:rFonts w:ascii="Times New Roman" w:hAnsi="Times New Roman" w:cs="Times New Roman"/>
        </w:rPr>
        <w:t xml:space="preserve"> </w:t>
      </w:r>
      <w:r w:rsidR="00FA2289">
        <w:rPr>
          <w:rFonts w:ascii="Times New Roman" w:hAnsi="Times New Roman" w:cs="Times New Roman"/>
        </w:rPr>
        <w:t>submitt</w:t>
      </w:r>
      <w:r>
        <w:rPr>
          <w:rFonts w:ascii="Times New Roman" w:hAnsi="Times New Roman" w:cs="Times New Roman"/>
        </w:rPr>
        <w:t xml:space="preserve">ed their direct testimony as “Exhibit </w:t>
      </w:r>
      <w:r w:rsidR="00FA2289">
        <w:rPr>
          <w:rFonts w:ascii="Times New Roman" w:hAnsi="Times New Roman" w:cs="Times New Roman"/>
        </w:rPr>
        <w:t xml:space="preserve">A.”  Accordingly, </w:t>
      </w:r>
      <w:r w:rsidR="00E531C9">
        <w:rPr>
          <w:rFonts w:ascii="Times New Roman" w:hAnsi="Times New Roman" w:cs="Times New Roman"/>
        </w:rPr>
        <w:t>I will refer to their direct testimony in this Order as Hartman Exhibit A.</w:t>
      </w:r>
    </w:p>
  </w:footnote>
  <w:footnote w:id="2">
    <w:p w14:paraId="5D4F9D1D" w14:textId="37B397DD" w:rsidR="00950F65" w:rsidRPr="00C41D67" w:rsidRDefault="00950F65" w:rsidP="006B7F3C">
      <w:pPr>
        <w:pStyle w:val="FootnoteText"/>
        <w:ind w:firstLine="720"/>
        <w:rPr>
          <w:rFonts w:ascii="Times New Roman" w:hAnsi="Times New Roman" w:cs="Times New Roman"/>
          <w:sz w:val="16"/>
          <w:szCs w:val="16"/>
        </w:rPr>
      </w:pPr>
      <w:r>
        <w:rPr>
          <w:rStyle w:val="FootnoteReference"/>
        </w:rPr>
        <w:footnoteRef/>
      </w:r>
      <w:r>
        <w:t xml:space="preserve"> </w:t>
      </w:r>
      <w:r w:rsidR="000E0A16" w:rsidRPr="00C41D67">
        <w:rPr>
          <w:rFonts w:ascii="Times New Roman" w:hAnsi="Times New Roman" w:cs="Times New Roman"/>
          <w:i/>
          <w:iCs/>
          <w:sz w:val="16"/>
          <w:szCs w:val="16"/>
        </w:rPr>
        <w:t>Flynn, et al. v Sunoco, L.P.,</w:t>
      </w:r>
      <w:r w:rsidR="000E0A16" w:rsidRPr="00C41D67">
        <w:rPr>
          <w:rFonts w:ascii="Times New Roman" w:hAnsi="Times New Roman" w:cs="Times New Roman"/>
          <w:sz w:val="16"/>
          <w:szCs w:val="16"/>
        </w:rPr>
        <w:t xml:space="preserve"> </w:t>
      </w:r>
      <w:r w:rsidR="00914F6B" w:rsidRPr="00C41D67">
        <w:rPr>
          <w:rFonts w:ascii="Times New Roman" w:hAnsi="Times New Roman" w:cs="Times New Roman"/>
          <w:sz w:val="16"/>
          <w:szCs w:val="16"/>
        </w:rPr>
        <w:t>2021 PA</w:t>
      </w:r>
      <w:r w:rsidR="00C41D67" w:rsidRPr="00C41D67">
        <w:rPr>
          <w:rFonts w:ascii="Times New Roman" w:hAnsi="Times New Roman" w:cs="Times New Roman"/>
          <w:sz w:val="16"/>
          <w:szCs w:val="16"/>
        </w:rPr>
        <w:t>.</w:t>
      </w:r>
      <w:r w:rsidR="00914F6B" w:rsidRPr="00C41D67">
        <w:rPr>
          <w:rFonts w:ascii="Times New Roman" w:hAnsi="Times New Roman" w:cs="Times New Roman"/>
          <w:sz w:val="16"/>
          <w:szCs w:val="16"/>
        </w:rPr>
        <w:t xml:space="preserve"> PUC LEXIS 529, *20, Docket Nos. C-201</w:t>
      </w:r>
      <w:r w:rsidR="00B140FD">
        <w:rPr>
          <w:rFonts w:ascii="Times New Roman" w:hAnsi="Times New Roman" w:cs="Times New Roman"/>
          <w:sz w:val="16"/>
          <w:szCs w:val="16"/>
        </w:rPr>
        <w:t>8-3006116, et al (Opinion and Order entered November 18, 2021).</w:t>
      </w:r>
    </w:p>
  </w:footnote>
  <w:footnote w:id="3">
    <w:p w14:paraId="0082F8E7" w14:textId="179A2BE6" w:rsidR="00697332" w:rsidRPr="00CF063E" w:rsidRDefault="00697332" w:rsidP="006B7F3C">
      <w:pPr>
        <w:pStyle w:val="FootnoteText"/>
        <w:ind w:firstLine="720"/>
        <w:rPr>
          <w:rFonts w:ascii="Times New Roman" w:hAnsi="Times New Roman" w:cs="Times New Roman"/>
          <w:sz w:val="16"/>
          <w:szCs w:val="16"/>
        </w:rPr>
      </w:pPr>
      <w:r>
        <w:rPr>
          <w:rStyle w:val="FootnoteReference"/>
        </w:rPr>
        <w:footnoteRef/>
      </w:r>
      <w:r>
        <w:t xml:space="preserve"> </w:t>
      </w:r>
      <w:r w:rsidR="00CF063E">
        <w:rPr>
          <w:rFonts w:ascii="Times New Roman" w:hAnsi="Times New Roman" w:cs="Times New Roman"/>
          <w:i/>
          <w:iCs/>
          <w:sz w:val="16"/>
          <w:szCs w:val="16"/>
        </w:rPr>
        <w:t xml:space="preserve">Rovin, D.D.S. v. Pa. PUC, </w:t>
      </w:r>
      <w:r w:rsidR="00CF063E">
        <w:rPr>
          <w:rFonts w:ascii="Times New Roman" w:hAnsi="Times New Roman" w:cs="Times New Roman"/>
          <w:sz w:val="16"/>
          <w:szCs w:val="16"/>
        </w:rPr>
        <w:t>502</w:t>
      </w:r>
      <w:r w:rsidR="00EC387A">
        <w:rPr>
          <w:rFonts w:ascii="Times New Roman" w:hAnsi="Times New Roman" w:cs="Times New Roman"/>
          <w:sz w:val="16"/>
          <w:szCs w:val="16"/>
        </w:rPr>
        <w:t xml:space="preserve"> A.2d 785 (Pa. </w:t>
      </w:r>
      <w:proofErr w:type="spellStart"/>
      <w:r w:rsidR="00EC387A">
        <w:rPr>
          <w:rFonts w:ascii="Times New Roman" w:hAnsi="Times New Roman" w:cs="Times New Roman"/>
          <w:sz w:val="16"/>
          <w:szCs w:val="16"/>
        </w:rPr>
        <w:t>Cmwlth</w:t>
      </w:r>
      <w:proofErr w:type="spellEnd"/>
      <w:r w:rsidR="00EC387A">
        <w:rPr>
          <w:rFonts w:ascii="Times New Roman" w:hAnsi="Times New Roman" w:cs="Times New Roman"/>
          <w:sz w:val="16"/>
          <w:szCs w:val="16"/>
        </w:rPr>
        <w:t xml:space="preserve">. 1986); </w:t>
      </w:r>
      <w:r w:rsidR="00EC387A">
        <w:rPr>
          <w:rFonts w:ascii="Times New Roman" w:hAnsi="Times New Roman" w:cs="Times New Roman"/>
          <w:i/>
          <w:iCs/>
          <w:sz w:val="16"/>
          <w:szCs w:val="16"/>
        </w:rPr>
        <w:t>Country Place Water Treatment</w:t>
      </w:r>
      <w:r w:rsidR="00B33AD2">
        <w:rPr>
          <w:rFonts w:ascii="Times New Roman" w:hAnsi="Times New Roman" w:cs="Times New Roman"/>
          <w:i/>
          <w:iCs/>
          <w:sz w:val="16"/>
          <w:szCs w:val="16"/>
        </w:rPr>
        <w:t xml:space="preserve"> Co., Inc. v. Pa. PUC,</w:t>
      </w:r>
      <w:r w:rsidR="00B33AD2">
        <w:rPr>
          <w:rFonts w:ascii="Times New Roman" w:hAnsi="Times New Roman" w:cs="Times New Roman"/>
          <w:sz w:val="16"/>
          <w:szCs w:val="16"/>
        </w:rPr>
        <w:t xml:space="preserve"> 654 A.2d 72 (Pa. </w:t>
      </w:r>
      <w:proofErr w:type="spellStart"/>
      <w:r w:rsidR="00B33AD2">
        <w:rPr>
          <w:rFonts w:ascii="Times New Roman" w:hAnsi="Times New Roman" w:cs="Times New Roman"/>
          <w:sz w:val="16"/>
          <w:szCs w:val="16"/>
        </w:rPr>
        <w:t>Cmwlth</w:t>
      </w:r>
      <w:proofErr w:type="spellEnd"/>
      <w:r w:rsidR="00B33AD2">
        <w:rPr>
          <w:rFonts w:ascii="Times New Roman" w:hAnsi="Times New Roman" w:cs="Times New Roman"/>
          <w:sz w:val="16"/>
          <w:szCs w:val="16"/>
        </w:rPr>
        <w:t>. 1995).</w:t>
      </w:r>
      <w:r w:rsidR="00B33AD2">
        <w:rPr>
          <w:rFonts w:ascii="Times New Roman" w:hAnsi="Times New Roman" w:cs="Times New Roman"/>
          <w:i/>
          <w:iCs/>
          <w:sz w:val="16"/>
          <w:szCs w:val="16"/>
        </w:rPr>
        <w:t xml:space="preserve"> </w:t>
      </w:r>
      <w:r w:rsidR="00EC387A">
        <w:rPr>
          <w:rFonts w:ascii="Times New Roman" w:hAnsi="Times New Roman" w:cs="Times New Roman"/>
          <w:sz w:val="16"/>
          <w:szCs w:val="16"/>
        </w:rPr>
        <w:t xml:space="preserve"> </w:t>
      </w:r>
    </w:p>
  </w:footnote>
  <w:footnote w:id="4">
    <w:p w14:paraId="794DC835" w14:textId="27DC3ED1" w:rsidR="00D0241F" w:rsidRPr="00E8013C" w:rsidRDefault="00D0241F" w:rsidP="006B7F3C">
      <w:pPr>
        <w:pStyle w:val="FootnoteText"/>
        <w:ind w:firstLine="720"/>
        <w:rPr>
          <w:rFonts w:ascii="Times New Roman" w:hAnsi="Times New Roman" w:cs="Times New Roman"/>
        </w:rPr>
      </w:pPr>
      <w:r>
        <w:rPr>
          <w:rStyle w:val="FootnoteReference"/>
        </w:rPr>
        <w:footnoteRef/>
      </w:r>
      <w:r>
        <w:t xml:space="preserve"> </w:t>
      </w:r>
      <w:r w:rsidR="00291F92">
        <w:rPr>
          <w:rFonts w:ascii="Times New Roman" w:hAnsi="Times New Roman" w:cs="Times New Roman"/>
        </w:rPr>
        <w:t xml:space="preserve">Hartman Exhibit 4 </w:t>
      </w:r>
      <w:r w:rsidR="0063105F">
        <w:rPr>
          <w:rFonts w:ascii="Times New Roman" w:hAnsi="Times New Roman" w:cs="Times New Roman"/>
        </w:rPr>
        <w:t>contains excer</w:t>
      </w:r>
      <w:r w:rsidR="00E93DAB">
        <w:rPr>
          <w:rFonts w:ascii="Times New Roman" w:hAnsi="Times New Roman" w:cs="Times New Roman"/>
        </w:rPr>
        <w:t xml:space="preserve">pts from PPL’s </w:t>
      </w:r>
      <w:r w:rsidR="000E0547">
        <w:rPr>
          <w:rFonts w:ascii="Times New Roman" w:hAnsi="Times New Roman" w:cs="Times New Roman"/>
        </w:rPr>
        <w:t>E&amp;S plan</w:t>
      </w:r>
      <w:r w:rsidR="008C1F5A">
        <w:rPr>
          <w:rFonts w:ascii="Times New Roman" w:hAnsi="Times New Roman" w:cs="Times New Roman"/>
        </w:rPr>
        <w:t xml:space="preserve">.  PPL Exhibit TE-1 contains the entirety of PPL’s E&amp;S plan.  </w:t>
      </w:r>
      <w:r w:rsidR="00F36C52">
        <w:rPr>
          <w:rFonts w:ascii="Times New Roman" w:hAnsi="Times New Roman" w:cs="Times New Roman"/>
        </w:rPr>
        <w:t xml:space="preserve">To the extent a party </w:t>
      </w:r>
      <w:r w:rsidR="00E36F9B">
        <w:rPr>
          <w:rFonts w:ascii="Times New Roman" w:hAnsi="Times New Roman" w:cs="Times New Roman"/>
        </w:rPr>
        <w:t xml:space="preserve">wishes to </w:t>
      </w:r>
      <w:r w:rsidR="00F36C52">
        <w:rPr>
          <w:rFonts w:ascii="Times New Roman" w:hAnsi="Times New Roman" w:cs="Times New Roman"/>
        </w:rPr>
        <w:t xml:space="preserve">refer to PPL’s E&amp;S plan </w:t>
      </w:r>
      <w:r w:rsidR="008B5C6D">
        <w:rPr>
          <w:rFonts w:ascii="Times New Roman" w:hAnsi="Times New Roman" w:cs="Times New Roman"/>
        </w:rPr>
        <w:t xml:space="preserve">on a topic that is properly at issue in this proceeding, it may refer to PPL Exhibit TE-1.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70C76"/>
    <w:multiLevelType w:val="hybridMultilevel"/>
    <w:tmpl w:val="858A7A30"/>
    <w:lvl w:ilvl="0" w:tplc="F7A656AC">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50BC1411"/>
    <w:multiLevelType w:val="hybridMultilevel"/>
    <w:tmpl w:val="1D4EB364"/>
    <w:lvl w:ilvl="0" w:tplc="B1522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581D1A"/>
    <w:multiLevelType w:val="hybridMultilevel"/>
    <w:tmpl w:val="E81AC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14421"/>
    <w:multiLevelType w:val="hybridMultilevel"/>
    <w:tmpl w:val="0FC2F054"/>
    <w:lvl w:ilvl="0" w:tplc="E8164E08">
      <w:start w:val="19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EC7605"/>
    <w:multiLevelType w:val="hybridMultilevel"/>
    <w:tmpl w:val="2536E2EC"/>
    <w:lvl w:ilvl="0" w:tplc="A96C0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4272363">
    <w:abstractNumId w:val="3"/>
  </w:num>
  <w:num w:numId="2" w16cid:durableId="1555192147">
    <w:abstractNumId w:val="0"/>
  </w:num>
  <w:num w:numId="3" w16cid:durableId="1174033025">
    <w:abstractNumId w:val="2"/>
  </w:num>
  <w:num w:numId="4" w16cid:durableId="1023747883">
    <w:abstractNumId w:val="1"/>
  </w:num>
  <w:num w:numId="5" w16cid:durableId="1188131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9F"/>
    <w:rsid w:val="0000146D"/>
    <w:rsid w:val="00001BC0"/>
    <w:rsid w:val="00005D41"/>
    <w:rsid w:val="0000641D"/>
    <w:rsid w:val="0000741D"/>
    <w:rsid w:val="00007D3F"/>
    <w:rsid w:val="00010633"/>
    <w:rsid w:val="0001314B"/>
    <w:rsid w:val="00016134"/>
    <w:rsid w:val="00017ADF"/>
    <w:rsid w:val="00020532"/>
    <w:rsid w:val="00020DC5"/>
    <w:rsid w:val="00020FE1"/>
    <w:rsid w:val="00021379"/>
    <w:rsid w:val="00022AB0"/>
    <w:rsid w:val="00022EDC"/>
    <w:rsid w:val="000239A5"/>
    <w:rsid w:val="00025ED2"/>
    <w:rsid w:val="0002772F"/>
    <w:rsid w:val="00035635"/>
    <w:rsid w:val="00040F1A"/>
    <w:rsid w:val="000413AA"/>
    <w:rsid w:val="000459D8"/>
    <w:rsid w:val="00047D14"/>
    <w:rsid w:val="00055C3C"/>
    <w:rsid w:val="00056F1A"/>
    <w:rsid w:val="00057AD6"/>
    <w:rsid w:val="00060C2D"/>
    <w:rsid w:val="000616A1"/>
    <w:rsid w:val="00064F06"/>
    <w:rsid w:val="000724AE"/>
    <w:rsid w:val="00073AD8"/>
    <w:rsid w:val="00081163"/>
    <w:rsid w:val="00082217"/>
    <w:rsid w:val="00087000"/>
    <w:rsid w:val="00087F8F"/>
    <w:rsid w:val="000905FD"/>
    <w:rsid w:val="00092569"/>
    <w:rsid w:val="00094A75"/>
    <w:rsid w:val="000A1480"/>
    <w:rsid w:val="000A2826"/>
    <w:rsid w:val="000A541D"/>
    <w:rsid w:val="000A5C4D"/>
    <w:rsid w:val="000A6D64"/>
    <w:rsid w:val="000B0572"/>
    <w:rsid w:val="000B5610"/>
    <w:rsid w:val="000B76D8"/>
    <w:rsid w:val="000C220A"/>
    <w:rsid w:val="000C575B"/>
    <w:rsid w:val="000C57F7"/>
    <w:rsid w:val="000C64A0"/>
    <w:rsid w:val="000C7A60"/>
    <w:rsid w:val="000C7DF9"/>
    <w:rsid w:val="000D177A"/>
    <w:rsid w:val="000D4442"/>
    <w:rsid w:val="000D4C8B"/>
    <w:rsid w:val="000D60BF"/>
    <w:rsid w:val="000D6944"/>
    <w:rsid w:val="000E0547"/>
    <w:rsid w:val="000E0A16"/>
    <w:rsid w:val="000E268A"/>
    <w:rsid w:val="000E274C"/>
    <w:rsid w:val="000F053A"/>
    <w:rsid w:val="000F1826"/>
    <w:rsid w:val="000F2D49"/>
    <w:rsid w:val="000F485C"/>
    <w:rsid w:val="00106805"/>
    <w:rsid w:val="0010760C"/>
    <w:rsid w:val="00107F46"/>
    <w:rsid w:val="00111AD4"/>
    <w:rsid w:val="0011475D"/>
    <w:rsid w:val="00116DB6"/>
    <w:rsid w:val="00123BA8"/>
    <w:rsid w:val="00134468"/>
    <w:rsid w:val="00134B2E"/>
    <w:rsid w:val="00134EBC"/>
    <w:rsid w:val="00136529"/>
    <w:rsid w:val="00136D2C"/>
    <w:rsid w:val="00140174"/>
    <w:rsid w:val="0014023E"/>
    <w:rsid w:val="001457DF"/>
    <w:rsid w:val="00147C96"/>
    <w:rsid w:val="00153006"/>
    <w:rsid w:val="00154582"/>
    <w:rsid w:val="0016358A"/>
    <w:rsid w:val="00164911"/>
    <w:rsid w:val="00164FBC"/>
    <w:rsid w:val="0016574F"/>
    <w:rsid w:val="00165D98"/>
    <w:rsid w:val="0016662B"/>
    <w:rsid w:val="00167607"/>
    <w:rsid w:val="001704AD"/>
    <w:rsid w:val="00171DF9"/>
    <w:rsid w:val="00173ED7"/>
    <w:rsid w:val="00175D14"/>
    <w:rsid w:val="00177391"/>
    <w:rsid w:val="001807D3"/>
    <w:rsid w:val="00183B80"/>
    <w:rsid w:val="00186DFF"/>
    <w:rsid w:val="00190C1D"/>
    <w:rsid w:val="00194B8D"/>
    <w:rsid w:val="00195424"/>
    <w:rsid w:val="00195B72"/>
    <w:rsid w:val="001967F5"/>
    <w:rsid w:val="00196C4A"/>
    <w:rsid w:val="001A0458"/>
    <w:rsid w:val="001A3D49"/>
    <w:rsid w:val="001A48BD"/>
    <w:rsid w:val="001B3BF7"/>
    <w:rsid w:val="001C0704"/>
    <w:rsid w:val="001C0B5F"/>
    <w:rsid w:val="001C1DCA"/>
    <w:rsid w:val="001C26B7"/>
    <w:rsid w:val="001C2941"/>
    <w:rsid w:val="001C3B15"/>
    <w:rsid w:val="001C523A"/>
    <w:rsid w:val="001C5D62"/>
    <w:rsid w:val="001D17E8"/>
    <w:rsid w:val="001D1812"/>
    <w:rsid w:val="001D371F"/>
    <w:rsid w:val="001D73CE"/>
    <w:rsid w:val="001E139C"/>
    <w:rsid w:val="001F0682"/>
    <w:rsid w:val="001F699D"/>
    <w:rsid w:val="00200239"/>
    <w:rsid w:val="002004B5"/>
    <w:rsid w:val="00202E2B"/>
    <w:rsid w:val="00203548"/>
    <w:rsid w:val="002060B9"/>
    <w:rsid w:val="00207779"/>
    <w:rsid w:val="00210B2D"/>
    <w:rsid w:val="00210FAD"/>
    <w:rsid w:val="0021281F"/>
    <w:rsid w:val="00212998"/>
    <w:rsid w:val="002137FB"/>
    <w:rsid w:val="00213B0D"/>
    <w:rsid w:val="00214F9E"/>
    <w:rsid w:val="00217024"/>
    <w:rsid w:val="00217EEB"/>
    <w:rsid w:val="002206AF"/>
    <w:rsid w:val="002221F2"/>
    <w:rsid w:val="00223696"/>
    <w:rsid w:val="0022397D"/>
    <w:rsid w:val="002259A0"/>
    <w:rsid w:val="00226F2F"/>
    <w:rsid w:val="00227D04"/>
    <w:rsid w:val="00230D3A"/>
    <w:rsid w:val="0023124C"/>
    <w:rsid w:val="00235342"/>
    <w:rsid w:val="0023777D"/>
    <w:rsid w:val="002454A1"/>
    <w:rsid w:val="00246BB5"/>
    <w:rsid w:val="00262B8E"/>
    <w:rsid w:val="00262C68"/>
    <w:rsid w:val="00262EB6"/>
    <w:rsid w:val="00263A10"/>
    <w:rsid w:val="00263AE8"/>
    <w:rsid w:val="00265C97"/>
    <w:rsid w:val="002707DF"/>
    <w:rsid w:val="00273DA5"/>
    <w:rsid w:val="00275ABD"/>
    <w:rsid w:val="002761B9"/>
    <w:rsid w:val="00287890"/>
    <w:rsid w:val="0029075E"/>
    <w:rsid w:val="00291F92"/>
    <w:rsid w:val="00292497"/>
    <w:rsid w:val="00295114"/>
    <w:rsid w:val="00296A0A"/>
    <w:rsid w:val="00296C6A"/>
    <w:rsid w:val="002A02C6"/>
    <w:rsid w:val="002A2F39"/>
    <w:rsid w:val="002A380F"/>
    <w:rsid w:val="002A5A6F"/>
    <w:rsid w:val="002B1194"/>
    <w:rsid w:val="002B37A6"/>
    <w:rsid w:val="002C62FA"/>
    <w:rsid w:val="002D413D"/>
    <w:rsid w:val="002D596B"/>
    <w:rsid w:val="002E473D"/>
    <w:rsid w:val="002E6678"/>
    <w:rsid w:val="002E6F0A"/>
    <w:rsid w:val="002E73D7"/>
    <w:rsid w:val="002F0ABF"/>
    <w:rsid w:val="002F22E3"/>
    <w:rsid w:val="002F3F7C"/>
    <w:rsid w:val="002F422F"/>
    <w:rsid w:val="002F7110"/>
    <w:rsid w:val="00304534"/>
    <w:rsid w:val="00305046"/>
    <w:rsid w:val="00305F34"/>
    <w:rsid w:val="003077DE"/>
    <w:rsid w:val="0031513A"/>
    <w:rsid w:val="003163A7"/>
    <w:rsid w:val="00317766"/>
    <w:rsid w:val="00327EB9"/>
    <w:rsid w:val="00331B00"/>
    <w:rsid w:val="00332A5F"/>
    <w:rsid w:val="00336E32"/>
    <w:rsid w:val="00343A85"/>
    <w:rsid w:val="00343C18"/>
    <w:rsid w:val="00344A16"/>
    <w:rsid w:val="00344D33"/>
    <w:rsid w:val="00345725"/>
    <w:rsid w:val="00347A02"/>
    <w:rsid w:val="00347B48"/>
    <w:rsid w:val="00352588"/>
    <w:rsid w:val="00353795"/>
    <w:rsid w:val="00354A2B"/>
    <w:rsid w:val="0036149A"/>
    <w:rsid w:val="00361B50"/>
    <w:rsid w:val="003644E1"/>
    <w:rsid w:val="00367808"/>
    <w:rsid w:val="00371561"/>
    <w:rsid w:val="00371632"/>
    <w:rsid w:val="003737D0"/>
    <w:rsid w:val="003738A2"/>
    <w:rsid w:val="0038004D"/>
    <w:rsid w:val="00380B88"/>
    <w:rsid w:val="003831FE"/>
    <w:rsid w:val="00383450"/>
    <w:rsid w:val="00384B79"/>
    <w:rsid w:val="00386BF1"/>
    <w:rsid w:val="0039465B"/>
    <w:rsid w:val="00395362"/>
    <w:rsid w:val="0039570F"/>
    <w:rsid w:val="003A1BE3"/>
    <w:rsid w:val="003A1C28"/>
    <w:rsid w:val="003A2723"/>
    <w:rsid w:val="003A54AE"/>
    <w:rsid w:val="003A555E"/>
    <w:rsid w:val="003A5BD7"/>
    <w:rsid w:val="003B03EE"/>
    <w:rsid w:val="003B1BAE"/>
    <w:rsid w:val="003B269C"/>
    <w:rsid w:val="003B428E"/>
    <w:rsid w:val="003B5B3F"/>
    <w:rsid w:val="003B5CF9"/>
    <w:rsid w:val="003B72BB"/>
    <w:rsid w:val="003B734F"/>
    <w:rsid w:val="003C3217"/>
    <w:rsid w:val="003C443E"/>
    <w:rsid w:val="003D163F"/>
    <w:rsid w:val="003D22AE"/>
    <w:rsid w:val="003D3241"/>
    <w:rsid w:val="003D6ABD"/>
    <w:rsid w:val="003D77DD"/>
    <w:rsid w:val="003D7926"/>
    <w:rsid w:val="003E16AA"/>
    <w:rsid w:val="003E1D38"/>
    <w:rsid w:val="003E474F"/>
    <w:rsid w:val="003F0281"/>
    <w:rsid w:val="00402913"/>
    <w:rsid w:val="00403833"/>
    <w:rsid w:val="0041135A"/>
    <w:rsid w:val="004150F3"/>
    <w:rsid w:val="00415192"/>
    <w:rsid w:val="00420EF9"/>
    <w:rsid w:val="0042184F"/>
    <w:rsid w:val="004231F9"/>
    <w:rsid w:val="00423610"/>
    <w:rsid w:val="004239B6"/>
    <w:rsid w:val="00424209"/>
    <w:rsid w:val="004249E7"/>
    <w:rsid w:val="00431D68"/>
    <w:rsid w:val="00431E0A"/>
    <w:rsid w:val="004335A3"/>
    <w:rsid w:val="00436213"/>
    <w:rsid w:val="00436E25"/>
    <w:rsid w:val="00436E31"/>
    <w:rsid w:val="00437D1A"/>
    <w:rsid w:val="004403B8"/>
    <w:rsid w:val="00440941"/>
    <w:rsid w:val="00442F58"/>
    <w:rsid w:val="00444023"/>
    <w:rsid w:val="00450995"/>
    <w:rsid w:val="00451A68"/>
    <w:rsid w:val="004522DE"/>
    <w:rsid w:val="00453C1B"/>
    <w:rsid w:val="00465DCC"/>
    <w:rsid w:val="00470629"/>
    <w:rsid w:val="004750F6"/>
    <w:rsid w:val="0047629D"/>
    <w:rsid w:val="00476307"/>
    <w:rsid w:val="0048527B"/>
    <w:rsid w:val="00485397"/>
    <w:rsid w:val="00485900"/>
    <w:rsid w:val="00492D89"/>
    <w:rsid w:val="00495545"/>
    <w:rsid w:val="004956C8"/>
    <w:rsid w:val="00497840"/>
    <w:rsid w:val="004A21D4"/>
    <w:rsid w:val="004A28A2"/>
    <w:rsid w:val="004A3D7F"/>
    <w:rsid w:val="004B0D06"/>
    <w:rsid w:val="004B4A63"/>
    <w:rsid w:val="004B6A16"/>
    <w:rsid w:val="004C3B09"/>
    <w:rsid w:val="004C3D1F"/>
    <w:rsid w:val="004C4A70"/>
    <w:rsid w:val="004C52D8"/>
    <w:rsid w:val="004C5772"/>
    <w:rsid w:val="004C6028"/>
    <w:rsid w:val="004D1415"/>
    <w:rsid w:val="004D2E1A"/>
    <w:rsid w:val="004D343E"/>
    <w:rsid w:val="004D4491"/>
    <w:rsid w:val="004D6409"/>
    <w:rsid w:val="004D7BC7"/>
    <w:rsid w:val="004E2742"/>
    <w:rsid w:val="004E385B"/>
    <w:rsid w:val="004E5FD4"/>
    <w:rsid w:val="004E6CB2"/>
    <w:rsid w:val="004F198C"/>
    <w:rsid w:val="004F288A"/>
    <w:rsid w:val="004F634E"/>
    <w:rsid w:val="0050102E"/>
    <w:rsid w:val="00501684"/>
    <w:rsid w:val="005051F6"/>
    <w:rsid w:val="0050540C"/>
    <w:rsid w:val="005166C8"/>
    <w:rsid w:val="005168DA"/>
    <w:rsid w:val="00517E2B"/>
    <w:rsid w:val="005210BE"/>
    <w:rsid w:val="00521E8C"/>
    <w:rsid w:val="00523AD9"/>
    <w:rsid w:val="00533B01"/>
    <w:rsid w:val="005348F3"/>
    <w:rsid w:val="00534BAD"/>
    <w:rsid w:val="00535E9B"/>
    <w:rsid w:val="005429C3"/>
    <w:rsid w:val="00543944"/>
    <w:rsid w:val="0054615A"/>
    <w:rsid w:val="00546CAB"/>
    <w:rsid w:val="00550174"/>
    <w:rsid w:val="0055140F"/>
    <w:rsid w:val="00552CC3"/>
    <w:rsid w:val="005537A4"/>
    <w:rsid w:val="005544B4"/>
    <w:rsid w:val="005563C5"/>
    <w:rsid w:val="005574B4"/>
    <w:rsid w:val="00557A6B"/>
    <w:rsid w:val="005670AC"/>
    <w:rsid w:val="00575FAF"/>
    <w:rsid w:val="005761E6"/>
    <w:rsid w:val="00577F1B"/>
    <w:rsid w:val="0058054E"/>
    <w:rsid w:val="005811CD"/>
    <w:rsid w:val="005812E1"/>
    <w:rsid w:val="00581D16"/>
    <w:rsid w:val="00582988"/>
    <w:rsid w:val="00585752"/>
    <w:rsid w:val="00585858"/>
    <w:rsid w:val="00586212"/>
    <w:rsid w:val="00587E03"/>
    <w:rsid w:val="00590350"/>
    <w:rsid w:val="005943C9"/>
    <w:rsid w:val="005A1DD7"/>
    <w:rsid w:val="005A2873"/>
    <w:rsid w:val="005A78FA"/>
    <w:rsid w:val="005B006D"/>
    <w:rsid w:val="005B08F1"/>
    <w:rsid w:val="005B413E"/>
    <w:rsid w:val="005B5C86"/>
    <w:rsid w:val="005B5CE7"/>
    <w:rsid w:val="005C0A86"/>
    <w:rsid w:val="005C3D36"/>
    <w:rsid w:val="005C5E51"/>
    <w:rsid w:val="005C5EA1"/>
    <w:rsid w:val="005D03EB"/>
    <w:rsid w:val="005D2B3F"/>
    <w:rsid w:val="005D4881"/>
    <w:rsid w:val="005D6629"/>
    <w:rsid w:val="005D6E62"/>
    <w:rsid w:val="005D79CA"/>
    <w:rsid w:val="005E1D73"/>
    <w:rsid w:val="005F0DC8"/>
    <w:rsid w:val="005F2EE8"/>
    <w:rsid w:val="005F3C8B"/>
    <w:rsid w:val="005F4347"/>
    <w:rsid w:val="005F5178"/>
    <w:rsid w:val="00610E79"/>
    <w:rsid w:val="006125A3"/>
    <w:rsid w:val="00622A6D"/>
    <w:rsid w:val="00622ABB"/>
    <w:rsid w:val="00626AD6"/>
    <w:rsid w:val="00626E2E"/>
    <w:rsid w:val="006276AB"/>
    <w:rsid w:val="0063105F"/>
    <w:rsid w:val="00633D2F"/>
    <w:rsid w:val="006348EE"/>
    <w:rsid w:val="00636342"/>
    <w:rsid w:val="00643FA2"/>
    <w:rsid w:val="006450AF"/>
    <w:rsid w:val="00646DCF"/>
    <w:rsid w:val="00647391"/>
    <w:rsid w:val="0065088C"/>
    <w:rsid w:val="006511DD"/>
    <w:rsid w:val="006541D7"/>
    <w:rsid w:val="00654368"/>
    <w:rsid w:val="006558C4"/>
    <w:rsid w:val="00655F53"/>
    <w:rsid w:val="00657D52"/>
    <w:rsid w:val="0066148D"/>
    <w:rsid w:val="00664455"/>
    <w:rsid w:val="00664959"/>
    <w:rsid w:val="0066528C"/>
    <w:rsid w:val="0067374E"/>
    <w:rsid w:val="00674149"/>
    <w:rsid w:val="00676C06"/>
    <w:rsid w:val="00676F45"/>
    <w:rsid w:val="00686A6C"/>
    <w:rsid w:val="00687F1D"/>
    <w:rsid w:val="00690395"/>
    <w:rsid w:val="00690BEA"/>
    <w:rsid w:val="00694032"/>
    <w:rsid w:val="00697332"/>
    <w:rsid w:val="006A19F3"/>
    <w:rsid w:val="006A1FA9"/>
    <w:rsid w:val="006A3BAD"/>
    <w:rsid w:val="006A3D5A"/>
    <w:rsid w:val="006A4582"/>
    <w:rsid w:val="006A4635"/>
    <w:rsid w:val="006A6BB6"/>
    <w:rsid w:val="006A756B"/>
    <w:rsid w:val="006A7844"/>
    <w:rsid w:val="006B087C"/>
    <w:rsid w:val="006B0CDB"/>
    <w:rsid w:val="006B7F3C"/>
    <w:rsid w:val="006C25F1"/>
    <w:rsid w:val="006C2D30"/>
    <w:rsid w:val="006C547B"/>
    <w:rsid w:val="006C5B2B"/>
    <w:rsid w:val="006C5E96"/>
    <w:rsid w:val="006C623D"/>
    <w:rsid w:val="006D1481"/>
    <w:rsid w:val="006D166A"/>
    <w:rsid w:val="006D30D3"/>
    <w:rsid w:val="006D5091"/>
    <w:rsid w:val="006D7138"/>
    <w:rsid w:val="006D7589"/>
    <w:rsid w:val="006E0E48"/>
    <w:rsid w:val="006E60A0"/>
    <w:rsid w:val="006E7195"/>
    <w:rsid w:val="006F1432"/>
    <w:rsid w:val="006F1732"/>
    <w:rsid w:val="006F3101"/>
    <w:rsid w:val="006F4655"/>
    <w:rsid w:val="006F60FB"/>
    <w:rsid w:val="007015C0"/>
    <w:rsid w:val="0070206A"/>
    <w:rsid w:val="0070334F"/>
    <w:rsid w:val="007066BA"/>
    <w:rsid w:val="00706B42"/>
    <w:rsid w:val="0070759C"/>
    <w:rsid w:val="007116D5"/>
    <w:rsid w:val="00713625"/>
    <w:rsid w:val="007230D1"/>
    <w:rsid w:val="00724AB1"/>
    <w:rsid w:val="007266ED"/>
    <w:rsid w:val="007274EC"/>
    <w:rsid w:val="00733B97"/>
    <w:rsid w:val="00734C1C"/>
    <w:rsid w:val="0073759E"/>
    <w:rsid w:val="007375C5"/>
    <w:rsid w:val="00740AA8"/>
    <w:rsid w:val="007410BD"/>
    <w:rsid w:val="0074471F"/>
    <w:rsid w:val="00751D46"/>
    <w:rsid w:val="00756194"/>
    <w:rsid w:val="00756B00"/>
    <w:rsid w:val="007570B1"/>
    <w:rsid w:val="007627C0"/>
    <w:rsid w:val="00762C6D"/>
    <w:rsid w:val="007644BB"/>
    <w:rsid w:val="0076545A"/>
    <w:rsid w:val="0076551D"/>
    <w:rsid w:val="00767F6E"/>
    <w:rsid w:val="007701A0"/>
    <w:rsid w:val="0077049F"/>
    <w:rsid w:val="00776A28"/>
    <w:rsid w:val="007859E9"/>
    <w:rsid w:val="00790213"/>
    <w:rsid w:val="0079236E"/>
    <w:rsid w:val="00793382"/>
    <w:rsid w:val="00794242"/>
    <w:rsid w:val="00795B58"/>
    <w:rsid w:val="007A327F"/>
    <w:rsid w:val="007A3489"/>
    <w:rsid w:val="007A37F9"/>
    <w:rsid w:val="007A67D7"/>
    <w:rsid w:val="007B1B2D"/>
    <w:rsid w:val="007B1E3D"/>
    <w:rsid w:val="007B425E"/>
    <w:rsid w:val="007B7717"/>
    <w:rsid w:val="007C2D61"/>
    <w:rsid w:val="007C3026"/>
    <w:rsid w:val="007C343E"/>
    <w:rsid w:val="007C5789"/>
    <w:rsid w:val="007C7782"/>
    <w:rsid w:val="007D01DD"/>
    <w:rsid w:val="007D1091"/>
    <w:rsid w:val="007D3433"/>
    <w:rsid w:val="007D5A10"/>
    <w:rsid w:val="007D6D54"/>
    <w:rsid w:val="007E00DC"/>
    <w:rsid w:val="007E2F5F"/>
    <w:rsid w:val="007E3FDF"/>
    <w:rsid w:val="007E6668"/>
    <w:rsid w:val="007E7182"/>
    <w:rsid w:val="007E7544"/>
    <w:rsid w:val="007E79C4"/>
    <w:rsid w:val="007F3FB0"/>
    <w:rsid w:val="007F5CCF"/>
    <w:rsid w:val="007F6DB5"/>
    <w:rsid w:val="007F7963"/>
    <w:rsid w:val="007F7D60"/>
    <w:rsid w:val="00801FF1"/>
    <w:rsid w:val="00807E83"/>
    <w:rsid w:val="008114BD"/>
    <w:rsid w:val="00811EE6"/>
    <w:rsid w:val="008131B4"/>
    <w:rsid w:val="008136CD"/>
    <w:rsid w:val="00814E98"/>
    <w:rsid w:val="00820DB0"/>
    <w:rsid w:val="00820F2D"/>
    <w:rsid w:val="008217EA"/>
    <w:rsid w:val="00822168"/>
    <w:rsid w:val="00824571"/>
    <w:rsid w:val="00824604"/>
    <w:rsid w:val="00825F90"/>
    <w:rsid w:val="00834A5F"/>
    <w:rsid w:val="00836312"/>
    <w:rsid w:val="0083714D"/>
    <w:rsid w:val="00837DDF"/>
    <w:rsid w:val="00843EA3"/>
    <w:rsid w:val="00852493"/>
    <w:rsid w:val="008551B9"/>
    <w:rsid w:val="00855FA6"/>
    <w:rsid w:val="008571B0"/>
    <w:rsid w:val="0086252F"/>
    <w:rsid w:val="00862BB8"/>
    <w:rsid w:val="008646A4"/>
    <w:rsid w:val="008673FB"/>
    <w:rsid w:val="00867C89"/>
    <w:rsid w:val="00870EE7"/>
    <w:rsid w:val="008713D9"/>
    <w:rsid w:val="00875928"/>
    <w:rsid w:val="00882AF2"/>
    <w:rsid w:val="0088420F"/>
    <w:rsid w:val="0088465B"/>
    <w:rsid w:val="00890404"/>
    <w:rsid w:val="00891C04"/>
    <w:rsid w:val="00892892"/>
    <w:rsid w:val="00894C9F"/>
    <w:rsid w:val="00897A1D"/>
    <w:rsid w:val="008A1073"/>
    <w:rsid w:val="008A1336"/>
    <w:rsid w:val="008A14EF"/>
    <w:rsid w:val="008A4878"/>
    <w:rsid w:val="008A4E6F"/>
    <w:rsid w:val="008A5A40"/>
    <w:rsid w:val="008B27BD"/>
    <w:rsid w:val="008B5C6D"/>
    <w:rsid w:val="008B6553"/>
    <w:rsid w:val="008C0A48"/>
    <w:rsid w:val="008C19C9"/>
    <w:rsid w:val="008C1E04"/>
    <w:rsid w:val="008C1F5A"/>
    <w:rsid w:val="008C3430"/>
    <w:rsid w:val="008C41AB"/>
    <w:rsid w:val="008C619C"/>
    <w:rsid w:val="008C65C0"/>
    <w:rsid w:val="008C7412"/>
    <w:rsid w:val="008D1AC8"/>
    <w:rsid w:val="008D1AFE"/>
    <w:rsid w:val="008D1BDA"/>
    <w:rsid w:val="008D363F"/>
    <w:rsid w:val="008D42FF"/>
    <w:rsid w:val="008E2374"/>
    <w:rsid w:val="008E438A"/>
    <w:rsid w:val="008E5D45"/>
    <w:rsid w:val="008E6677"/>
    <w:rsid w:val="008E7D81"/>
    <w:rsid w:val="008F13BB"/>
    <w:rsid w:val="008F266C"/>
    <w:rsid w:val="008F3FD7"/>
    <w:rsid w:val="008F65CF"/>
    <w:rsid w:val="008F78ED"/>
    <w:rsid w:val="008F7980"/>
    <w:rsid w:val="00901161"/>
    <w:rsid w:val="00902374"/>
    <w:rsid w:val="00904ABD"/>
    <w:rsid w:val="00906B8B"/>
    <w:rsid w:val="0090780E"/>
    <w:rsid w:val="00910D30"/>
    <w:rsid w:val="00911190"/>
    <w:rsid w:val="009115A1"/>
    <w:rsid w:val="00911609"/>
    <w:rsid w:val="00911A12"/>
    <w:rsid w:val="0091255C"/>
    <w:rsid w:val="009133D7"/>
    <w:rsid w:val="00914F6B"/>
    <w:rsid w:val="009163A2"/>
    <w:rsid w:val="00920FCE"/>
    <w:rsid w:val="0092184E"/>
    <w:rsid w:val="00923472"/>
    <w:rsid w:val="0092380C"/>
    <w:rsid w:val="00924A79"/>
    <w:rsid w:val="009269FA"/>
    <w:rsid w:val="00927768"/>
    <w:rsid w:val="00930431"/>
    <w:rsid w:val="00934A28"/>
    <w:rsid w:val="009405F8"/>
    <w:rsid w:val="009446A2"/>
    <w:rsid w:val="00947A80"/>
    <w:rsid w:val="00950474"/>
    <w:rsid w:val="00950F65"/>
    <w:rsid w:val="0095144E"/>
    <w:rsid w:val="00951629"/>
    <w:rsid w:val="009519A5"/>
    <w:rsid w:val="00953565"/>
    <w:rsid w:val="009541A7"/>
    <w:rsid w:val="009544F2"/>
    <w:rsid w:val="009548E7"/>
    <w:rsid w:val="009568E6"/>
    <w:rsid w:val="009649BB"/>
    <w:rsid w:val="00971C5A"/>
    <w:rsid w:val="009723FD"/>
    <w:rsid w:val="0097437F"/>
    <w:rsid w:val="0098075C"/>
    <w:rsid w:val="00981AAB"/>
    <w:rsid w:val="0098290D"/>
    <w:rsid w:val="00982ACE"/>
    <w:rsid w:val="00983F0B"/>
    <w:rsid w:val="00986EB0"/>
    <w:rsid w:val="00990942"/>
    <w:rsid w:val="009910E6"/>
    <w:rsid w:val="00991A58"/>
    <w:rsid w:val="00992820"/>
    <w:rsid w:val="00993FB4"/>
    <w:rsid w:val="009A15A4"/>
    <w:rsid w:val="009A191D"/>
    <w:rsid w:val="009A5191"/>
    <w:rsid w:val="009A7A19"/>
    <w:rsid w:val="009B181B"/>
    <w:rsid w:val="009B402A"/>
    <w:rsid w:val="009B616A"/>
    <w:rsid w:val="009B7C52"/>
    <w:rsid w:val="009C0A02"/>
    <w:rsid w:val="009D2B93"/>
    <w:rsid w:val="009D5380"/>
    <w:rsid w:val="009E02C2"/>
    <w:rsid w:val="009E0418"/>
    <w:rsid w:val="009E2AC0"/>
    <w:rsid w:val="009E53C9"/>
    <w:rsid w:val="009E55DB"/>
    <w:rsid w:val="009E5C9A"/>
    <w:rsid w:val="009E60A2"/>
    <w:rsid w:val="009E6A32"/>
    <w:rsid w:val="009E70CF"/>
    <w:rsid w:val="009E79DF"/>
    <w:rsid w:val="009F106D"/>
    <w:rsid w:val="009F34C6"/>
    <w:rsid w:val="009F6940"/>
    <w:rsid w:val="009F703F"/>
    <w:rsid w:val="00A03845"/>
    <w:rsid w:val="00A04288"/>
    <w:rsid w:val="00A05D66"/>
    <w:rsid w:val="00A105CA"/>
    <w:rsid w:val="00A10AD9"/>
    <w:rsid w:val="00A11B44"/>
    <w:rsid w:val="00A139EA"/>
    <w:rsid w:val="00A13E42"/>
    <w:rsid w:val="00A140E8"/>
    <w:rsid w:val="00A141F3"/>
    <w:rsid w:val="00A14C43"/>
    <w:rsid w:val="00A16C8B"/>
    <w:rsid w:val="00A1761C"/>
    <w:rsid w:val="00A2060C"/>
    <w:rsid w:val="00A20BCE"/>
    <w:rsid w:val="00A23492"/>
    <w:rsid w:val="00A2362E"/>
    <w:rsid w:val="00A23F45"/>
    <w:rsid w:val="00A250B3"/>
    <w:rsid w:val="00A25C76"/>
    <w:rsid w:val="00A26B07"/>
    <w:rsid w:val="00A3034A"/>
    <w:rsid w:val="00A32672"/>
    <w:rsid w:val="00A3365A"/>
    <w:rsid w:val="00A35B41"/>
    <w:rsid w:val="00A36441"/>
    <w:rsid w:val="00A370EB"/>
    <w:rsid w:val="00A42BD0"/>
    <w:rsid w:val="00A446D7"/>
    <w:rsid w:val="00A47269"/>
    <w:rsid w:val="00A47BA6"/>
    <w:rsid w:val="00A51421"/>
    <w:rsid w:val="00A5379B"/>
    <w:rsid w:val="00A55B89"/>
    <w:rsid w:val="00A60EDA"/>
    <w:rsid w:val="00A62991"/>
    <w:rsid w:val="00A648B6"/>
    <w:rsid w:val="00A65ADD"/>
    <w:rsid w:val="00A84F62"/>
    <w:rsid w:val="00A8597D"/>
    <w:rsid w:val="00A865E4"/>
    <w:rsid w:val="00A8797A"/>
    <w:rsid w:val="00A91AB5"/>
    <w:rsid w:val="00A92835"/>
    <w:rsid w:val="00A97252"/>
    <w:rsid w:val="00AA1FBB"/>
    <w:rsid w:val="00AA23EF"/>
    <w:rsid w:val="00AA39B0"/>
    <w:rsid w:val="00AA3DAE"/>
    <w:rsid w:val="00AA557C"/>
    <w:rsid w:val="00AA6D6D"/>
    <w:rsid w:val="00AA6E86"/>
    <w:rsid w:val="00AB4EEF"/>
    <w:rsid w:val="00AB5E9D"/>
    <w:rsid w:val="00AB652E"/>
    <w:rsid w:val="00AC0243"/>
    <w:rsid w:val="00AC0AB8"/>
    <w:rsid w:val="00AC627F"/>
    <w:rsid w:val="00AD1353"/>
    <w:rsid w:val="00AD1975"/>
    <w:rsid w:val="00AD303E"/>
    <w:rsid w:val="00AD46C8"/>
    <w:rsid w:val="00AD633D"/>
    <w:rsid w:val="00AF1D75"/>
    <w:rsid w:val="00AF33D2"/>
    <w:rsid w:val="00AF35DB"/>
    <w:rsid w:val="00AF5F86"/>
    <w:rsid w:val="00B001BF"/>
    <w:rsid w:val="00B014FF"/>
    <w:rsid w:val="00B04A81"/>
    <w:rsid w:val="00B140FD"/>
    <w:rsid w:val="00B1700D"/>
    <w:rsid w:val="00B24233"/>
    <w:rsid w:val="00B30D64"/>
    <w:rsid w:val="00B33AD2"/>
    <w:rsid w:val="00B376EC"/>
    <w:rsid w:val="00B37CA4"/>
    <w:rsid w:val="00B40C62"/>
    <w:rsid w:val="00B425CB"/>
    <w:rsid w:val="00B43E5C"/>
    <w:rsid w:val="00B44660"/>
    <w:rsid w:val="00B45362"/>
    <w:rsid w:val="00B455DF"/>
    <w:rsid w:val="00B47445"/>
    <w:rsid w:val="00B53171"/>
    <w:rsid w:val="00B53648"/>
    <w:rsid w:val="00B5427E"/>
    <w:rsid w:val="00B54CAB"/>
    <w:rsid w:val="00B54FC8"/>
    <w:rsid w:val="00B56169"/>
    <w:rsid w:val="00B56A95"/>
    <w:rsid w:val="00B57871"/>
    <w:rsid w:val="00B741A4"/>
    <w:rsid w:val="00B747CB"/>
    <w:rsid w:val="00B748AC"/>
    <w:rsid w:val="00B75BAB"/>
    <w:rsid w:val="00B80BA5"/>
    <w:rsid w:val="00B93756"/>
    <w:rsid w:val="00B96C10"/>
    <w:rsid w:val="00B9763E"/>
    <w:rsid w:val="00BA046A"/>
    <w:rsid w:val="00BA50A4"/>
    <w:rsid w:val="00BA5A6B"/>
    <w:rsid w:val="00BA6201"/>
    <w:rsid w:val="00BA6DD0"/>
    <w:rsid w:val="00BA7813"/>
    <w:rsid w:val="00BA7D17"/>
    <w:rsid w:val="00BB0014"/>
    <w:rsid w:val="00BB0943"/>
    <w:rsid w:val="00BB2A04"/>
    <w:rsid w:val="00BB440C"/>
    <w:rsid w:val="00BC11B1"/>
    <w:rsid w:val="00BC641C"/>
    <w:rsid w:val="00BC74D0"/>
    <w:rsid w:val="00BD0FEC"/>
    <w:rsid w:val="00BD3AD1"/>
    <w:rsid w:val="00BD4A24"/>
    <w:rsid w:val="00BD711E"/>
    <w:rsid w:val="00BE161D"/>
    <w:rsid w:val="00BE4D16"/>
    <w:rsid w:val="00BE5903"/>
    <w:rsid w:val="00BF11ED"/>
    <w:rsid w:val="00BF6BD7"/>
    <w:rsid w:val="00BF78AF"/>
    <w:rsid w:val="00C01477"/>
    <w:rsid w:val="00C0403E"/>
    <w:rsid w:val="00C05371"/>
    <w:rsid w:val="00C05D7B"/>
    <w:rsid w:val="00C05F25"/>
    <w:rsid w:val="00C0670C"/>
    <w:rsid w:val="00C11581"/>
    <w:rsid w:val="00C12710"/>
    <w:rsid w:val="00C12C07"/>
    <w:rsid w:val="00C13078"/>
    <w:rsid w:val="00C229B6"/>
    <w:rsid w:val="00C23A90"/>
    <w:rsid w:val="00C23D6F"/>
    <w:rsid w:val="00C23F0B"/>
    <w:rsid w:val="00C25BA2"/>
    <w:rsid w:val="00C27F3D"/>
    <w:rsid w:val="00C32958"/>
    <w:rsid w:val="00C334F3"/>
    <w:rsid w:val="00C33DC7"/>
    <w:rsid w:val="00C34650"/>
    <w:rsid w:val="00C35369"/>
    <w:rsid w:val="00C36292"/>
    <w:rsid w:val="00C41D67"/>
    <w:rsid w:val="00C45BCD"/>
    <w:rsid w:val="00C50461"/>
    <w:rsid w:val="00C5455D"/>
    <w:rsid w:val="00C55CC7"/>
    <w:rsid w:val="00C60273"/>
    <w:rsid w:val="00C624B3"/>
    <w:rsid w:val="00C62CB5"/>
    <w:rsid w:val="00C641C4"/>
    <w:rsid w:val="00C65E0D"/>
    <w:rsid w:val="00C70128"/>
    <w:rsid w:val="00C7033C"/>
    <w:rsid w:val="00C80621"/>
    <w:rsid w:val="00C818AE"/>
    <w:rsid w:val="00C8417D"/>
    <w:rsid w:val="00C87579"/>
    <w:rsid w:val="00C87AB5"/>
    <w:rsid w:val="00C96A1D"/>
    <w:rsid w:val="00CA1794"/>
    <w:rsid w:val="00CA4D83"/>
    <w:rsid w:val="00CA7E66"/>
    <w:rsid w:val="00CB310D"/>
    <w:rsid w:val="00CB5AEA"/>
    <w:rsid w:val="00CB7282"/>
    <w:rsid w:val="00CC1149"/>
    <w:rsid w:val="00CC1C1D"/>
    <w:rsid w:val="00CD23C4"/>
    <w:rsid w:val="00CD2EF8"/>
    <w:rsid w:val="00CD4070"/>
    <w:rsid w:val="00CD4850"/>
    <w:rsid w:val="00CD4A26"/>
    <w:rsid w:val="00CD5154"/>
    <w:rsid w:val="00CD630E"/>
    <w:rsid w:val="00CD6543"/>
    <w:rsid w:val="00CE5D17"/>
    <w:rsid w:val="00CE6F7A"/>
    <w:rsid w:val="00CE7591"/>
    <w:rsid w:val="00CE7BA6"/>
    <w:rsid w:val="00CF063E"/>
    <w:rsid w:val="00CF0AD1"/>
    <w:rsid w:val="00CF5149"/>
    <w:rsid w:val="00CF59BD"/>
    <w:rsid w:val="00CF5B55"/>
    <w:rsid w:val="00D00E7C"/>
    <w:rsid w:val="00D0241F"/>
    <w:rsid w:val="00D06547"/>
    <w:rsid w:val="00D11DA1"/>
    <w:rsid w:val="00D165F8"/>
    <w:rsid w:val="00D176F1"/>
    <w:rsid w:val="00D21BE3"/>
    <w:rsid w:val="00D231CA"/>
    <w:rsid w:val="00D259D1"/>
    <w:rsid w:val="00D27AE4"/>
    <w:rsid w:val="00D3207D"/>
    <w:rsid w:val="00D3283F"/>
    <w:rsid w:val="00D32A6D"/>
    <w:rsid w:val="00D331FC"/>
    <w:rsid w:val="00D355CB"/>
    <w:rsid w:val="00D35804"/>
    <w:rsid w:val="00D367EA"/>
    <w:rsid w:val="00D37FCA"/>
    <w:rsid w:val="00D42A23"/>
    <w:rsid w:val="00D433E4"/>
    <w:rsid w:val="00D45A83"/>
    <w:rsid w:val="00D5002C"/>
    <w:rsid w:val="00D50AF5"/>
    <w:rsid w:val="00D54FFD"/>
    <w:rsid w:val="00D5655A"/>
    <w:rsid w:val="00D57945"/>
    <w:rsid w:val="00D601A8"/>
    <w:rsid w:val="00D64AE7"/>
    <w:rsid w:val="00D66A5B"/>
    <w:rsid w:val="00D71FC2"/>
    <w:rsid w:val="00D72213"/>
    <w:rsid w:val="00D73725"/>
    <w:rsid w:val="00D75700"/>
    <w:rsid w:val="00D7605B"/>
    <w:rsid w:val="00D800B7"/>
    <w:rsid w:val="00D81B72"/>
    <w:rsid w:val="00D81BEF"/>
    <w:rsid w:val="00D8274F"/>
    <w:rsid w:val="00D8289A"/>
    <w:rsid w:val="00D84283"/>
    <w:rsid w:val="00D85107"/>
    <w:rsid w:val="00D86EAE"/>
    <w:rsid w:val="00D918EA"/>
    <w:rsid w:val="00D91CE6"/>
    <w:rsid w:val="00D93794"/>
    <w:rsid w:val="00D93C2C"/>
    <w:rsid w:val="00DA14C2"/>
    <w:rsid w:val="00DA2DD9"/>
    <w:rsid w:val="00DA303D"/>
    <w:rsid w:val="00DA6103"/>
    <w:rsid w:val="00DA7E00"/>
    <w:rsid w:val="00DB0633"/>
    <w:rsid w:val="00DB1CB6"/>
    <w:rsid w:val="00DB42BF"/>
    <w:rsid w:val="00DC03D8"/>
    <w:rsid w:val="00DC0BC5"/>
    <w:rsid w:val="00DC6C76"/>
    <w:rsid w:val="00DD58AC"/>
    <w:rsid w:val="00DD698A"/>
    <w:rsid w:val="00DE1920"/>
    <w:rsid w:val="00DE2149"/>
    <w:rsid w:val="00DE23DD"/>
    <w:rsid w:val="00DE2B7E"/>
    <w:rsid w:val="00DE5DAD"/>
    <w:rsid w:val="00DE62A5"/>
    <w:rsid w:val="00DF30F6"/>
    <w:rsid w:val="00E0076F"/>
    <w:rsid w:val="00E0131F"/>
    <w:rsid w:val="00E0411E"/>
    <w:rsid w:val="00E079DB"/>
    <w:rsid w:val="00E1355D"/>
    <w:rsid w:val="00E15449"/>
    <w:rsid w:val="00E17A03"/>
    <w:rsid w:val="00E202E9"/>
    <w:rsid w:val="00E320E1"/>
    <w:rsid w:val="00E3239F"/>
    <w:rsid w:val="00E32CB9"/>
    <w:rsid w:val="00E36F9B"/>
    <w:rsid w:val="00E402D2"/>
    <w:rsid w:val="00E406B1"/>
    <w:rsid w:val="00E40A21"/>
    <w:rsid w:val="00E41ECB"/>
    <w:rsid w:val="00E42ACF"/>
    <w:rsid w:val="00E43D0E"/>
    <w:rsid w:val="00E447A9"/>
    <w:rsid w:val="00E479F4"/>
    <w:rsid w:val="00E5270B"/>
    <w:rsid w:val="00E531C9"/>
    <w:rsid w:val="00E60B9D"/>
    <w:rsid w:val="00E614BE"/>
    <w:rsid w:val="00E64B30"/>
    <w:rsid w:val="00E64D8C"/>
    <w:rsid w:val="00E66236"/>
    <w:rsid w:val="00E665E4"/>
    <w:rsid w:val="00E74664"/>
    <w:rsid w:val="00E771DB"/>
    <w:rsid w:val="00E8013C"/>
    <w:rsid w:val="00E81AB8"/>
    <w:rsid w:val="00E82056"/>
    <w:rsid w:val="00E86B8A"/>
    <w:rsid w:val="00E93DAB"/>
    <w:rsid w:val="00E97933"/>
    <w:rsid w:val="00EA00B0"/>
    <w:rsid w:val="00EA0C7D"/>
    <w:rsid w:val="00EA2239"/>
    <w:rsid w:val="00EA319C"/>
    <w:rsid w:val="00EA539C"/>
    <w:rsid w:val="00EA6522"/>
    <w:rsid w:val="00EB0778"/>
    <w:rsid w:val="00EB16E0"/>
    <w:rsid w:val="00EB5834"/>
    <w:rsid w:val="00EB753F"/>
    <w:rsid w:val="00EC387A"/>
    <w:rsid w:val="00EC4B0B"/>
    <w:rsid w:val="00EC6545"/>
    <w:rsid w:val="00EC655E"/>
    <w:rsid w:val="00ED0884"/>
    <w:rsid w:val="00ED0989"/>
    <w:rsid w:val="00ED0C34"/>
    <w:rsid w:val="00ED2B2B"/>
    <w:rsid w:val="00ED2BEC"/>
    <w:rsid w:val="00ED4BF3"/>
    <w:rsid w:val="00EF05D5"/>
    <w:rsid w:val="00EF1FB1"/>
    <w:rsid w:val="00EF6866"/>
    <w:rsid w:val="00F00D09"/>
    <w:rsid w:val="00F03B6A"/>
    <w:rsid w:val="00F03BF3"/>
    <w:rsid w:val="00F15020"/>
    <w:rsid w:val="00F15189"/>
    <w:rsid w:val="00F163FF"/>
    <w:rsid w:val="00F259E4"/>
    <w:rsid w:val="00F263D1"/>
    <w:rsid w:val="00F26ABB"/>
    <w:rsid w:val="00F26C80"/>
    <w:rsid w:val="00F32A09"/>
    <w:rsid w:val="00F36541"/>
    <w:rsid w:val="00F36C52"/>
    <w:rsid w:val="00F40B59"/>
    <w:rsid w:val="00F41802"/>
    <w:rsid w:val="00F452E2"/>
    <w:rsid w:val="00F55068"/>
    <w:rsid w:val="00F560A2"/>
    <w:rsid w:val="00F5664D"/>
    <w:rsid w:val="00F56FFB"/>
    <w:rsid w:val="00F571D1"/>
    <w:rsid w:val="00F57A53"/>
    <w:rsid w:val="00F606DC"/>
    <w:rsid w:val="00F60C34"/>
    <w:rsid w:val="00F701C8"/>
    <w:rsid w:val="00F70F60"/>
    <w:rsid w:val="00F71EEE"/>
    <w:rsid w:val="00F73BEF"/>
    <w:rsid w:val="00F74686"/>
    <w:rsid w:val="00F76437"/>
    <w:rsid w:val="00F81537"/>
    <w:rsid w:val="00F82E54"/>
    <w:rsid w:val="00F832D7"/>
    <w:rsid w:val="00F83E9F"/>
    <w:rsid w:val="00F843A1"/>
    <w:rsid w:val="00F84C14"/>
    <w:rsid w:val="00F90525"/>
    <w:rsid w:val="00F91AFC"/>
    <w:rsid w:val="00F9280E"/>
    <w:rsid w:val="00F9638C"/>
    <w:rsid w:val="00F97FFD"/>
    <w:rsid w:val="00FA18C8"/>
    <w:rsid w:val="00FA2289"/>
    <w:rsid w:val="00FA3ECF"/>
    <w:rsid w:val="00FA5D0C"/>
    <w:rsid w:val="00FB038F"/>
    <w:rsid w:val="00FB328C"/>
    <w:rsid w:val="00FB4BD7"/>
    <w:rsid w:val="00FB588A"/>
    <w:rsid w:val="00FB6DA3"/>
    <w:rsid w:val="00FB7F61"/>
    <w:rsid w:val="00FC007B"/>
    <w:rsid w:val="00FC2AAD"/>
    <w:rsid w:val="00FC46E2"/>
    <w:rsid w:val="00FC6575"/>
    <w:rsid w:val="00FC790E"/>
    <w:rsid w:val="00FC7999"/>
    <w:rsid w:val="00FD2697"/>
    <w:rsid w:val="00FD2726"/>
    <w:rsid w:val="00FD4058"/>
    <w:rsid w:val="00FD423E"/>
    <w:rsid w:val="00FD47E9"/>
    <w:rsid w:val="00FD567D"/>
    <w:rsid w:val="00FE3879"/>
    <w:rsid w:val="00FE3E6A"/>
    <w:rsid w:val="00FE6514"/>
    <w:rsid w:val="00FE67A3"/>
    <w:rsid w:val="00FF4A2D"/>
    <w:rsid w:val="00FF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92AF"/>
  <w15:chartTrackingRefBased/>
  <w15:docId w15:val="{6EA58389-5183-4022-9D3C-A6280E17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3D1"/>
    <w:pPr>
      <w:ind w:left="720"/>
      <w:contextualSpacing/>
    </w:pPr>
  </w:style>
  <w:style w:type="paragraph" w:styleId="FootnoteText">
    <w:name w:val="footnote text"/>
    <w:basedOn w:val="Normal"/>
    <w:link w:val="FootnoteTextChar"/>
    <w:uiPriority w:val="99"/>
    <w:semiHidden/>
    <w:unhideWhenUsed/>
    <w:rsid w:val="00B54F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4FC8"/>
    <w:rPr>
      <w:sz w:val="20"/>
      <w:szCs w:val="20"/>
    </w:rPr>
  </w:style>
  <w:style w:type="character" w:styleId="FootnoteReference">
    <w:name w:val="footnote reference"/>
    <w:basedOn w:val="DefaultParagraphFont"/>
    <w:uiPriority w:val="99"/>
    <w:semiHidden/>
    <w:unhideWhenUsed/>
    <w:rsid w:val="00B54FC8"/>
    <w:rPr>
      <w:vertAlign w:val="superscript"/>
    </w:rPr>
  </w:style>
  <w:style w:type="paragraph" w:styleId="Header">
    <w:name w:val="header"/>
    <w:basedOn w:val="Normal"/>
    <w:link w:val="HeaderChar"/>
    <w:uiPriority w:val="99"/>
    <w:unhideWhenUsed/>
    <w:rsid w:val="00954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1A7"/>
  </w:style>
  <w:style w:type="paragraph" w:styleId="Footer">
    <w:name w:val="footer"/>
    <w:basedOn w:val="Normal"/>
    <w:link w:val="FooterChar"/>
    <w:uiPriority w:val="99"/>
    <w:unhideWhenUsed/>
    <w:rsid w:val="00954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1A7"/>
  </w:style>
  <w:style w:type="character" w:styleId="Hyperlink">
    <w:name w:val="Hyperlink"/>
    <w:basedOn w:val="DefaultParagraphFont"/>
    <w:uiPriority w:val="99"/>
    <w:unhideWhenUsed/>
    <w:rsid w:val="006B7F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gelgah@comcast.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9" ma:contentTypeDescription="Create a new document." ma:contentTypeScope="" ma:versionID="b56fac310b3330d17050a4df5cf462ce">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32f071874acd612b3dc024c0af5cf803"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B4C5C-B9E2-484B-9D19-3E7B9FEC4919}">
  <ds:schemaRefs>
    <ds:schemaRef ds:uri="http://schemas.openxmlformats.org/officeDocument/2006/bibliography"/>
  </ds:schemaRefs>
</ds:datastoreItem>
</file>

<file path=customXml/itemProps2.xml><?xml version="1.0" encoding="utf-8"?>
<ds:datastoreItem xmlns:ds="http://schemas.openxmlformats.org/officeDocument/2006/customXml" ds:itemID="{D11C7418-F27D-4DF7-A0EF-15ECE36126A4}">
  <ds:schemaRefs>
    <ds:schemaRef ds:uri="e29d5ee1-a564-4572-908c-0357b19afe17"/>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c43417d6-f766-4d97-ae2e-b0103a28e04d"/>
    <ds:schemaRef ds:uri="http://www.w3.org/XML/1998/namespace"/>
    <ds:schemaRef ds:uri="http://purl.org/dc/dcmitype/"/>
  </ds:schemaRefs>
</ds:datastoreItem>
</file>

<file path=customXml/itemProps3.xml><?xml version="1.0" encoding="utf-8"?>
<ds:datastoreItem xmlns:ds="http://schemas.openxmlformats.org/officeDocument/2006/customXml" ds:itemID="{45AC457D-6265-476C-9A9D-8C333B90BE12}">
  <ds:schemaRefs>
    <ds:schemaRef ds:uri="http://schemas.microsoft.com/sharepoint/v3/contenttype/forms"/>
  </ds:schemaRefs>
</ds:datastoreItem>
</file>

<file path=customXml/itemProps4.xml><?xml version="1.0" encoding="utf-8"?>
<ds:datastoreItem xmlns:ds="http://schemas.openxmlformats.org/officeDocument/2006/customXml" ds:itemID="{A4D62BC6-4CF8-4958-BC84-C8D59E4CA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5115</Words>
  <Characters>29158</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Dennis</dc:creator>
  <cp:keywords/>
  <dc:description/>
  <cp:lastModifiedBy>Williams, Bobbie Jo</cp:lastModifiedBy>
  <cp:revision>2</cp:revision>
  <cp:lastPrinted>2023-01-30T15:59:00Z</cp:lastPrinted>
  <dcterms:created xsi:type="dcterms:W3CDTF">2023-02-02T18:44:00Z</dcterms:created>
  <dcterms:modified xsi:type="dcterms:W3CDTF">2023-02-02T18:44:00Z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