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DF99" w14:textId="77777777" w:rsidR="00A43CEA" w:rsidRPr="00177FB2" w:rsidRDefault="00A43CEA" w:rsidP="00726998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177FB2">
        <w:rPr>
          <w:rFonts w:eastAsia="Times New Roman" w:cs="Times New Roman"/>
          <w:b/>
          <w:szCs w:val="24"/>
        </w:rPr>
        <w:t>BEFORE THE</w:t>
      </w:r>
    </w:p>
    <w:p w14:paraId="6229C267" w14:textId="77777777" w:rsidR="00A43CEA" w:rsidRPr="00177FB2" w:rsidRDefault="00A43CEA" w:rsidP="0072699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pacing w:val="-3"/>
          <w:szCs w:val="24"/>
        </w:rPr>
      </w:pPr>
      <w:r w:rsidRPr="00177FB2">
        <w:rPr>
          <w:rFonts w:eastAsia="Times New Roman" w:cs="Times New Roman"/>
          <w:b/>
          <w:bCs/>
          <w:spacing w:val="-3"/>
          <w:szCs w:val="24"/>
        </w:rPr>
        <w:t>PENNSYLVANIA PUBLIC UTILITY COMMISSION</w:t>
      </w:r>
    </w:p>
    <w:p w14:paraId="7713D0BE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4E3BF55F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6D410A29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</w:p>
    <w:p w14:paraId="732FC020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>Leonard Moore</w:t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fldChar w:fldCharType="begin"/>
      </w:r>
      <w:r w:rsidRPr="00177FB2">
        <w:rPr>
          <w:rFonts w:eastAsia="Times New Roman" w:cs="Times New Roman"/>
          <w:spacing w:val="-3"/>
          <w:szCs w:val="24"/>
        </w:rPr>
        <w:instrText>fillin "Complainant's name" \d ""</w:instrText>
      </w:r>
      <w:r w:rsidRPr="00177FB2">
        <w:rPr>
          <w:rFonts w:eastAsia="Times New Roman" w:cs="Times New Roman"/>
          <w:spacing w:val="-3"/>
          <w:szCs w:val="24"/>
        </w:rPr>
        <w:fldChar w:fldCharType="end"/>
      </w:r>
      <w:r w:rsidRPr="00177FB2">
        <w:rPr>
          <w:rFonts w:eastAsia="Times New Roman" w:cs="Times New Roman"/>
          <w:spacing w:val="-3"/>
          <w:szCs w:val="24"/>
        </w:rPr>
        <w:t>:</w:t>
      </w:r>
    </w:p>
    <w:p w14:paraId="09EA87EF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:</w:t>
      </w:r>
    </w:p>
    <w:p w14:paraId="056D9C7E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ab/>
        <w:t>v.</w:t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:</w:t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C-2022-3034296</w:t>
      </w:r>
      <w:r w:rsidRPr="00177FB2">
        <w:rPr>
          <w:rFonts w:eastAsia="Times New Roman" w:cs="Times New Roman"/>
          <w:spacing w:val="-3"/>
          <w:szCs w:val="24"/>
        </w:rPr>
        <w:fldChar w:fldCharType="begin"/>
      </w:r>
      <w:r w:rsidRPr="00177FB2">
        <w:rPr>
          <w:rFonts w:eastAsia="Times New Roman" w:cs="Times New Roman"/>
          <w:spacing w:val="-3"/>
          <w:szCs w:val="24"/>
        </w:rPr>
        <w:instrText>fillin "Docket No." \d ""</w:instrText>
      </w:r>
      <w:r w:rsidRPr="00177FB2">
        <w:rPr>
          <w:rFonts w:eastAsia="Times New Roman" w:cs="Times New Roman"/>
          <w:spacing w:val="-3"/>
          <w:szCs w:val="24"/>
        </w:rPr>
        <w:fldChar w:fldCharType="end"/>
      </w:r>
    </w:p>
    <w:p w14:paraId="591937E2" w14:textId="77777777" w:rsidR="00A43CEA" w:rsidRPr="00177FB2" w:rsidRDefault="00A43CEA" w:rsidP="00726998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</w:r>
      <w:r w:rsidRPr="00177FB2">
        <w:rPr>
          <w:rFonts w:eastAsia="Times New Roman" w:cs="Times New Roman"/>
          <w:spacing w:val="-3"/>
          <w:szCs w:val="24"/>
        </w:rPr>
        <w:tab/>
        <w:t>:</w:t>
      </w:r>
    </w:p>
    <w:p w14:paraId="3781B617" w14:textId="77777777" w:rsidR="00A43CEA" w:rsidRPr="00177FB2" w:rsidRDefault="00A43CEA" w:rsidP="0072699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  <w:r w:rsidRPr="00177FB2">
        <w:rPr>
          <w:rFonts w:eastAsia="Times New Roman" w:cs="Times New Roman"/>
          <w:spacing w:val="-3"/>
          <w:szCs w:val="24"/>
        </w:rPr>
        <w:t>Philadelphia Gas Works</w:t>
      </w:r>
      <w:r w:rsidRPr="00177FB2">
        <w:rPr>
          <w:rFonts w:eastAsia="Times New Roman" w:cs="Times New Roman"/>
          <w:spacing w:val="-3"/>
          <w:szCs w:val="24"/>
        </w:rPr>
        <w:tab/>
        <w:t>:</w:t>
      </w:r>
    </w:p>
    <w:p w14:paraId="063353CB" w14:textId="77777777" w:rsidR="00A43CEA" w:rsidRPr="00177FB2" w:rsidRDefault="00A43CEA" w:rsidP="0072699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7A225880" w14:textId="77777777" w:rsidR="00A43CEA" w:rsidRPr="00177FB2" w:rsidRDefault="00A43CEA" w:rsidP="0072699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22768911" w14:textId="6C5D36F2" w:rsidR="00792796" w:rsidRDefault="00792796" w:rsidP="00726998">
      <w:pPr>
        <w:spacing w:after="0" w:line="240" w:lineRule="auto"/>
      </w:pPr>
    </w:p>
    <w:p w14:paraId="4F11E2CA" w14:textId="041B6B60" w:rsidR="00A43CEA" w:rsidRPr="007D3FDA" w:rsidRDefault="00A43CEA" w:rsidP="00726998">
      <w:pPr>
        <w:spacing w:after="0" w:line="240" w:lineRule="auto"/>
        <w:jc w:val="center"/>
        <w:rPr>
          <w:b/>
          <w:bCs/>
        </w:rPr>
      </w:pPr>
      <w:r w:rsidRPr="007D3FDA">
        <w:rPr>
          <w:b/>
          <w:bCs/>
        </w:rPr>
        <w:t>INTERIM ORDER</w:t>
      </w:r>
    </w:p>
    <w:p w14:paraId="2AF2F354" w14:textId="20593956" w:rsidR="00A43CEA" w:rsidRPr="007D3FDA" w:rsidRDefault="00B92FB2" w:rsidP="00726998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DIRECTING STATUS REPORT</w:t>
      </w:r>
    </w:p>
    <w:p w14:paraId="3A80A202" w14:textId="73D40D00" w:rsidR="00A43CEA" w:rsidRDefault="00A43CEA" w:rsidP="00726998">
      <w:pPr>
        <w:spacing w:after="0"/>
      </w:pPr>
    </w:p>
    <w:p w14:paraId="2903B6E2" w14:textId="49C899B7" w:rsidR="00A43CEA" w:rsidRDefault="00A43CEA" w:rsidP="00726998">
      <w:pPr>
        <w:spacing w:after="0"/>
      </w:pPr>
      <w:r>
        <w:tab/>
      </w:r>
      <w:r>
        <w:tab/>
        <w:t>On August 5, 2022, Leonard Moore filed a formal complaint against Philadelphia Gas (PGW) requesting a payment arrangement.  PGW filed an answer on August 24, 2022, which noted that Mr. Moore had broken company-issued payment arrangements and that a portion of Mr. Moore’s arrearage included CAP (customer assistance program) arrearages which are not subject to payment arrangements.</w:t>
      </w:r>
    </w:p>
    <w:p w14:paraId="0F559B23" w14:textId="77777777" w:rsidR="00726998" w:rsidRDefault="00726998" w:rsidP="00726998">
      <w:pPr>
        <w:spacing w:after="0"/>
      </w:pPr>
    </w:p>
    <w:p w14:paraId="63855494" w14:textId="4C06A364" w:rsidR="00A43CEA" w:rsidRDefault="004924D4" w:rsidP="00B92FB2">
      <w:pPr>
        <w:spacing w:after="0"/>
      </w:pPr>
      <w:r>
        <w:tab/>
      </w:r>
      <w:r>
        <w:tab/>
        <w:t xml:space="preserve">On January 4, </w:t>
      </w:r>
      <w:r w:rsidR="00A82C1B">
        <w:t>2023,</w:t>
      </w:r>
      <w:r w:rsidR="00261E00">
        <w:t xml:space="preserve"> and February 14, 2023, I convened hearings and the parties agreed to permit me to serve as a settlement judge.  </w:t>
      </w:r>
      <w:r w:rsidR="004055A7">
        <w:t>During the course of these settlement discussion the parties have worked together to attempt the resolve Mr. Moore’s complaint.</w:t>
      </w:r>
    </w:p>
    <w:p w14:paraId="68C6908E" w14:textId="24A49910" w:rsidR="00726998" w:rsidRDefault="00726998" w:rsidP="00726998">
      <w:pPr>
        <w:spacing w:after="0"/>
      </w:pPr>
    </w:p>
    <w:p w14:paraId="5990CFDB" w14:textId="77777777" w:rsidR="00726998" w:rsidRDefault="00726998" w:rsidP="00726998">
      <w:pPr>
        <w:spacing w:after="0"/>
      </w:pPr>
    </w:p>
    <w:p w14:paraId="6815C95E" w14:textId="2382E49E" w:rsidR="000E233F" w:rsidRDefault="000E233F" w:rsidP="00726998">
      <w:pPr>
        <w:spacing w:after="0"/>
        <w:ind w:left="720" w:firstLine="720"/>
      </w:pPr>
      <w:r>
        <w:t>THEREFORE,</w:t>
      </w:r>
    </w:p>
    <w:p w14:paraId="6F8955FD" w14:textId="77777777" w:rsidR="00726998" w:rsidRDefault="00726998" w:rsidP="00726998">
      <w:pPr>
        <w:spacing w:after="0"/>
        <w:ind w:left="720" w:firstLine="720"/>
      </w:pPr>
    </w:p>
    <w:p w14:paraId="30E3F722" w14:textId="02B4CDE4" w:rsidR="000E233F" w:rsidRDefault="000E233F" w:rsidP="00726998">
      <w:pPr>
        <w:spacing w:after="0"/>
        <w:ind w:left="720" w:firstLine="720"/>
      </w:pPr>
      <w:r>
        <w:t>IT IS ORDERED:</w:t>
      </w:r>
    </w:p>
    <w:p w14:paraId="6D4B446B" w14:textId="77777777" w:rsidR="00726998" w:rsidRDefault="00726998" w:rsidP="00726998">
      <w:pPr>
        <w:spacing w:after="0"/>
        <w:ind w:left="720" w:firstLine="720"/>
      </w:pPr>
    </w:p>
    <w:p w14:paraId="6F40B171" w14:textId="67EEAE0B" w:rsidR="000E233F" w:rsidRDefault="000E233F" w:rsidP="00726998">
      <w:pPr>
        <w:spacing w:after="0"/>
      </w:pPr>
      <w:r>
        <w:tab/>
      </w:r>
      <w:r w:rsidR="00CE3332">
        <w:tab/>
      </w:r>
      <w:r>
        <w:t>1.</w:t>
      </w:r>
      <w:r>
        <w:tab/>
        <w:t xml:space="preserve">That </w:t>
      </w:r>
      <w:r w:rsidR="00AF152E">
        <w:t>Mr. Moore and counsel for PGW will continue to communicate regularly</w:t>
      </w:r>
      <w:r>
        <w:t>.</w:t>
      </w:r>
    </w:p>
    <w:p w14:paraId="46D9350A" w14:textId="15D4A4F7" w:rsidR="00592C51" w:rsidRDefault="00592C51" w:rsidP="00726998">
      <w:pPr>
        <w:spacing w:after="0"/>
      </w:pPr>
    </w:p>
    <w:p w14:paraId="19C95387" w14:textId="4A97C858" w:rsidR="00592C51" w:rsidRDefault="00592C51" w:rsidP="00726998">
      <w:pPr>
        <w:spacing w:after="0"/>
      </w:pPr>
      <w:r>
        <w:tab/>
      </w:r>
      <w:r w:rsidR="00CE3332">
        <w:tab/>
      </w:r>
      <w:r>
        <w:t xml:space="preserve">2. </w:t>
      </w:r>
      <w:r>
        <w:tab/>
        <w:t xml:space="preserve">That on or before </w:t>
      </w:r>
      <w:r w:rsidR="00B0381B">
        <w:t xml:space="preserve">March 1, 2023, PGW shall file a status report </w:t>
      </w:r>
      <w:r w:rsidR="00884B70">
        <w:t xml:space="preserve">the progress the parties have made toward settlement.  Provided that settlement discussions remain </w:t>
      </w:r>
      <w:r w:rsidR="00884B70">
        <w:lastRenderedPageBreak/>
        <w:t>productive, a further continuance will be granted upon request.  In the event that</w:t>
      </w:r>
      <w:r w:rsidR="00B244C6">
        <w:t xml:space="preserve"> the parties believe that no further progress can be made, the status report shall include a recommendation for further proceedings</w:t>
      </w:r>
      <w:r w:rsidR="00595B61">
        <w:t>.</w:t>
      </w:r>
    </w:p>
    <w:p w14:paraId="615289BF" w14:textId="77777777" w:rsidR="00726998" w:rsidRDefault="00726998" w:rsidP="00726998">
      <w:pPr>
        <w:spacing w:after="0"/>
      </w:pPr>
    </w:p>
    <w:p w14:paraId="0EE001AE" w14:textId="3BEDA479" w:rsidR="000E233F" w:rsidRDefault="000E233F" w:rsidP="00726998">
      <w:pPr>
        <w:spacing w:after="0"/>
      </w:pPr>
      <w:r>
        <w:tab/>
      </w:r>
      <w:r w:rsidR="00CE3332">
        <w:tab/>
      </w:r>
      <w:r w:rsidR="00595B61">
        <w:t>3</w:t>
      </w:r>
      <w:r>
        <w:t xml:space="preserve">. </w:t>
      </w:r>
      <w:r>
        <w:tab/>
        <w:t>That the parties are reminded that Commission policy encourages settlement and that they should continue to communicate and attempt to resolve the dispute.</w:t>
      </w:r>
    </w:p>
    <w:p w14:paraId="321D3C96" w14:textId="77777777" w:rsidR="00726998" w:rsidRDefault="00726998" w:rsidP="00726998">
      <w:pPr>
        <w:spacing w:after="0"/>
      </w:pPr>
    </w:p>
    <w:p w14:paraId="3331146E" w14:textId="72C8CDAE" w:rsidR="000E233F" w:rsidRPr="002927CB" w:rsidRDefault="000E233F" w:rsidP="00726998">
      <w:pPr>
        <w:spacing w:after="0"/>
        <w:rPr>
          <w:bCs/>
          <w:szCs w:val="24"/>
        </w:rPr>
      </w:pPr>
      <w:r>
        <w:tab/>
      </w:r>
      <w:r>
        <w:rPr>
          <w:szCs w:val="24"/>
        </w:rPr>
        <w:tab/>
        <w:t>4.</w:t>
      </w:r>
      <w:r>
        <w:rPr>
          <w:szCs w:val="24"/>
        </w:rPr>
        <w:tab/>
        <w:t xml:space="preserve">That all other provisions of the November 15, </w:t>
      </w:r>
      <w:r w:rsidR="00A82C1B">
        <w:rPr>
          <w:szCs w:val="24"/>
        </w:rPr>
        <w:t>2022,</w:t>
      </w:r>
      <w:r w:rsidR="005A04D2">
        <w:rPr>
          <w:szCs w:val="24"/>
        </w:rPr>
        <w:t xml:space="preserve"> hearing notice</w:t>
      </w:r>
      <w:r>
        <w:rPr>
          <w:szCs w:val="24"/>
        </w:rPr>
        <w:t xml:space="preserve"> remain in effect.</w:t>
      </w:r>
    </w:p>
    <w:p w14:paraId="5C4ED6D5" w14:textId="26E54174" w:rsidR="000E233F" w:rsidRDefault="000E233F" w:rsidP="00726998">
      <w:pPr>
        <w:spacing w:after="0"/>
      </w:pPr>
    </w:p>
    <w:p w14:paraId="384C70A1" w14:textId="07D662E7" w:rsidR="00726998" w:rsidRPr="009A06F0" w:rsidRDefault="00726998" w:rsidP="00726998">
      <w:pPr>
        <w:tabs>
          <w:tab w:val="left" w:pos="360"/>
        </w:tabs>
        <w:spacing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595B61">
        <w:rPr>
          <w:szCs w:val="24"/>
          <w:u w:val="single"/>
        </w:rPr>
        <w:t>February 14, 2023</w:t>
      </w:r>
      <w:r>
        <w:rPr>
          <w:rFonts w:eastAsia="SimSun"/>
        </w:rPr>
        <w:tab/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="00A82C1B">
        <w:rPr>
          <w:rFonts w:eastAsia="SimSun"/>
        </w:rPr>
        <w:tab/>
      </w:r>
      <w:r w:rsidRPr="00726998">
        <w:rPr>
          <w:rFonts w:eastAsia="SimSun"/>
          <w:b/>
          <w:bCs/>
          <w:u w:val="single"/>
        </w:rPr>
        <w:t>_</w:t>
      </w:r>
      <w:r w:rsidRPr="00726998">
        <w:rPr>
          <w:rFonts w:eastAsia="SimSun"/>
          <w:b/>
          <w:bCs/>
          <w:u w:val="single"/>
        </w:rPr>
        <w:tab/>
        <w:t>___</w:t>
      </w:r>
      <w:r w:rsidR="00A82C1B">
        <w:rPr>
          <w:rFonts w:eastAsia="SimSun"/>
          <w:b/>
          <w:bCs/>
          <w:u w:val="single"/>
        </w:rPr>
        <w:tab/>
      </w:r>
      <w:r w:rsidRPr="00726998">
        <w:rPr>
          <w:rFonts w:eastAsia="SimSun"/>
          <w:b/>
          <w:bCs/>
          <w:u w:val="single"/>
        </w:rPr>
        <w:t>/s/____________</w:t>
      </w:r>
    </w:p>
    <w:p w14:paraId="67899E43" w14:textId="3563DEF1" w:rsidR="00726998" w:rsidRPr="009A06F0" w:rsidRDefault="00726998" w:rsidP="00726998">
      <w:pPr>
        <w:tabs>
          <w:tab w:val="left" w:pos="360"/>
        </w:tabs>
        <w:spacing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="00A82C1B">
        <w:rPr>
          <w:rFonts w:eastAsia="SimSun"/>
        </w:rPr>
        <w:tab/>
      </w:r>
      <w:r w:rsidRPr="009A06F0">
        <w:rPr>
          <w:rFonts w:eastAsia="SimSun"/>
        </w:rPr>
        <w:t>Mary D. Long</w:t>
      </w:r>
    </w:p>
    <w:p w14:paraId="25895F03" w14:textId="536C967F" w:rsidR="00726998" w:rsidRDefault="00726998" w:rsidP="00726998">
      <w:pPr>
        <w:tabs>
          <w:tab w:val="left" w:pos="360"/>
        </w:tabs>
        <w:spacing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="00A82C1B">
        <w:rPr>
          <w:rFonts w:eastAsia="SimSun"/>
        </w:rPr>
        <w:tab/>
      </w:r>
      <w:r w:rsidRPr="009A06F0">
        <w:rPr>
          <w:rFonts w:eastAsia="SimSun"/>
        </w:rPr>
        <w:t>Administrative Law Judge</w:t>
      </w:r>
    </w:p>
    <w:p w14:paraId="440CC0C7" w14:textId="2FEB1D4D" w:rsidR="00726998" w:rsidRDefault="00726998" w:rsidP="00726998">
      <w:pPr>
        <w:spacing w:after="0"/>
      </w:pPr>
    </w:p>
    <w:p w14:paraId="64E88555" w14:textId="77777777" w:rsidR="005A04D2" w:rsidRDefault="005A04D2" w:rsidP="00726998">
      <w:pPr>
        <w:spacing w:after="0"/>
        <w:sectPr w:rsidR="005A04D2" w:rsidSect="005A04D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74FFF78" w14:textId="77777777" w:rsidR="005A04D2" w:rsidRPr="005A04D2" w:rsidRDefault="005A04D2" w:rsidP="005A04D2">
      <w:pPr>
        <w:spacing w:after="0" w:line="259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5A04D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C-2022-3034296 - LEONARD MOORE v. PHILADELPHIA GAS WORKS</w:t>
      </w:r>
      <w:r w:rsidRPr="005A04D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A04D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A04D2">
        <w:rPr>
          <w:rFonts w:ascii="Microsoft Sans Serif" w:eastAsia="Microsoft Sans Serif" w:hAnsi="Microsoft Sans Serif" w:cs="Microsoft Sans Serif"/>
        </w:rPr>
        <w:t>LEONARD MOORE</w:t>
      </w:r>
      <w:r w:rsidRPr="005A04D2">
        <w:rPr>
          <w:rFonts w:ascii="Microsoft Sans Serif" w:eastAsia="Microsoft Sans Serif" w:hAnsi="Microsoft Sans Serif" w:cs="Microsoft Sans Serif"/>
        </w:rPr>
        <w:cr/>
        <w:t>5759 KEMBLE AVE</w:t>
      </w:r>
      <w:r w:rsidRPr="005A04D2">
        <w:rPr>
          <w:rFonts w:ascii="Microsoft Sans Serif" w:eastAsia="Microsoft Sans Serif" w:hAnsi="Microsoft Sans Serif" w:cs="Microsoft Sans Serif"/>
        </w:rPr>
        <w:cr/>
        <w:t>PHILADELPHIA PA  19141</w:t>
      </w:r>
      <w:r w:rsidRPr="005A04D2">
        <w:rPr>
          <w:rFonts w:ascii="Microsoft Sans Serif" w:eastAsia="Microsoft Sans Serif" w:hAnsi="Microsoft Sans Serif" w:cs="Microsoft Sans Serif"/>
        </w:rPr>
        <w:cr/>
      </w:r>
      <w:r w:rsidRPr="005A04D2">
        <w:rPr>
          <w:rFonts w:ascii="Microsoft Sans Serif" w:eastAsia="Microsoft Sans Serif" w:hAnsi="Microsoft Sans Serif" w:cs="Microsoft Sans Serif"/>
          <w:b/>
          <w:bCs/>
        </w:rPr>
        <w:t>215.548.3141</w:t>
      </w:r>
      <w:r w:rsidRPr="005A04D2">
        <w:rPr>
          <w:rFonts w:ascii="Microsoft Sans Serif" w:eastAsia="Microsoft Sans Serif" w:hAnsi="Microsoft Sans Serif" w:cs="Microsoft Sans Serif"/>
          <w:b/>
          <w:bCs/>
        </w:rPr>
        <w:cr/>
      </w:r>
      <w:r w:rsidRPr="005A04D2">
        <w:rPr>
          <w:rFonts w:ascii="Microsoft Sans Serif" w:eastAsia="Microsoft Sans Serif" w:hAnsi="Microsoft Sans Serif" w:cs="Microsoft Sans Serif"/>
        </w:rPr>
        <w:t>REGINAJAMES389@GMAIL.COM</w:t>
      </w:r>
    </w:p>
    <w:p w14:paraId="63088684" w14:textId="77777777" w:rsidR="005A04D2" w:rsidRPr="005A04D2" w:rsidRDefault="005A04D2" w:rsidP="005A04D2">
      <w:pPr>
        <w:spacing w:after="0" w:line="259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591D73AE" w14:textId="77777777" w:rsidR="005A04D2" w:rsidRPr="005A04D2" w:rsidRDefault="005A04D2" w:rsidP="005A04D2">
      <w:pPr>
        <w:spacing w:after="0" w:line="240" w:lineRule="auto"/>
        <w:rPr>
          <w:rFonts w:eastAsia="Times New Roman" w:cs="Times New Roman"/>
          <w:szCs w:val="24"/>
        </w:rPr>
      </w:pPr>
      <w:r w:rsidRPr="005A04D2">
        <w:rPr>
          <w:rFonts w:ascii="Microsoft Sans Serif" w:eastAsia="Microsoft Sans Serif" w:hAnsi="Microsoft Sans Serif" w:cs="Microsoft Sans Serif"/>
        </w:rPr>
        <w:t>GRACIELA CHRISTLIEB ESQUIRE</w:t>
      </w:r>
      <w:r w:rsidRPr="005A04D2">
        <w:rPr>
          <w:rFonts w:ascii="Microsoft Sans Serif" w:eastAsia="Microsoft Sans Serif" w:hAnsi="Microsoft Sans Serif" w:cs="Microsoft Sans Serif"/>
        </w:rPr>
        <w:cr/>
        <w:t>ANITA J MURRAY SENIOR ATTORNEY</w:t>
      </w:r>
      <w:r w:rsidRPr="005A04D2">
        <w:rPr>
          <w:rFonts w:ascii="Microsoft Sans Serif" w:eastAsia="Microsoft Sans Serif" w:hAnsi="Microsoft Sans Serif" w:cs="Microsoft Sans Serif"/>
        </w:rPr>
        <w:br/>
        <w:t>PHILADELPHIA GAS WORKS</w:t>
      </w:r>
      <w:r w:rsidRPr="005A04D2">
        <w:rPr>
          <w:rFonts w:ascii="Microsoft Sans Serif" w:eastAsia="Microsoft Sans Serif" w:hAnsi="Microsoft Sans Serif" w:cs="Microsoft Sans Serif"/>
        </w:rPr>
        <w:cr/>
        <w:t>800 WEST MONTGOMERY AVENUE</w:t>
      </w:r>
      <w:r w:rsidRPr="005A04D2">
        <w:rPr>
          <w:rFonts w:ascii="Microsoft Sans Serif" w:eastAsia="Microsoft Sans Serif" w:hAnsi="Microsoft Sans Serif" w:cs="Microsoft Sans Serif"/>
        </w:rPr>
        <w:cr/>
        <w:t>PHILADELPHIA PA  19122</w:t>
      </w:r>
      <w:r w:rsidRPr="005A04D2">
        <w:rPr>
          <w:rFonts w:ascii="Microsoft Sans Serif" w:eastAsia="Microsoft Sans Serif" w:hAnsi="Microsoft Sans Serif" w:cs="Microsoft Sans Serif"/>
        </w:rPr>
        <w:cr/>
      </w:r>
      <w:r w:rsidRPr="005A04D2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5A04D2">
        <w:rPr>
          <w:rFonts w:ascii="Microsoft Sans Serif" w:eastAsia="Microsoft Sans Serif" w:hAnsi="Microsoft Sans Serif" w:cs="Microsoft Sans Serif"/>
        </w:rPr>
        <w:cr/>
      </w:r>
      <w:r w:rsidRPr="005A04D2">
        <w:rPr>
          <w:rFonts w:ascii="Microsoft Sans Serif" w:eastAsia="Microsoft Sans Serif" w:hAnsi="Microsoft Sans Serif" w:cs="Microsoft Sans Serif"/>
          <w:b/>
          <w:bCs/>
        </w:rPr>
        <w:t>215.684.6659</w:t>
      </w:r>
      <w:r w:rsidRPr="005A04D2">
        <w:rPr>
          <w:rFonts w:eastAsia="Times New Roman" w:cs="Times New Roman"/>
          <w:szCs w:val="24"/>
        </w:rPr>
        <w:t xml:space="preserve"> </w:t>
      </w:r>
    </w:p>
    <w:p w14:paraId="59EBD278" w14:textId="77777777" w:rsidR="005A04D2" w:rsidRPr="005A04D2" w:rsidRDefault="005A04D2" w:rsidP="005A04D2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5A04D2">
        <w:rPr>
          <w:rFonts w:ascii="Microsoft Sans Serif" w:eastAsia="Microsoft Sans Serif" w:hAnsi="Microsoft Sans Serif" w:cs="Microsoft Sans Serif"/>
        </w:rPr>
        <w:t>GRACIELA.CHRISTLIEB@PGWORKS.COM</w:t>
      </w:r>
      <w:r w:rsidRPr="005A04D2">
        <w:rPr>
          <w:rFonts w:ascii="Microsoft Sans Serif" w:eastAsia="Microsoft Sans Serif" w:hAnsi="Microsoft Sans Serif" w:cs="Microsoft Sans Serif"/>
        </w:rPr>
        <w:cr/>
        <w:t>ANITA.MURRAY@PGWORKS.COM</w:t>
      </w:r>
      <w:r w:rsidRPr="005A04D2">
        <w:rPr>
          <w:rFonts w:ascii="Microsoft Sans Serif" w:eastAsia="Microsoft Sans Serif" w:hAnsi="Microsoft Sans Serif" w:cs="Microsoft Sans Serif"/>
        </w:rPr>
        <w:br/>
        <w:t>Accepts EService</w:t>
      </w:r>
    </w:p>
    <w:p w14:paraId="46F633E3" w14:textId="77777777" w:rsidR="005A04D2" w:rsidRPr="005A04D2" w:rsidRDefault="005A04D2" w:rsidP="005A04D2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6E3173B0" w14:textId="77777777" w:rsidR="005A04D2" w:rsidRPr="005A04D2" w:rsidRDefault="005A04D2" w:rsidP="005A04D2">
      <w:pPr>
        <w:spacing w:after="0" w:line="259" w:lineRule="auto"/>
        <w:rPr>
          <w:rFonts w:ascii="Calibri" w:eastAsia="Times New Roman" w:hAnsi="Calibri" w:cs="Times New Roman"/>
          <w:sz w:val="22"/>
        </w:rPr>
      </w:pPr>
    </w:p>
    <w:p w14:paraId="69CFD342" w14:textId="77777777" w:rsidR="005A04D2" w:rsidRDefault="005A04D2" w:rsidP="00726998">
      <w:pPr>
        <w:spacing w:after="0"/>
      </w:pPr>
    </w:p>
    <w:sectPr w:rsidR="005A04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2528" w14:textId="77777777" w:rsidR="00012BE4" w:rsidRDefault="00012BE4" w:rsidP="005A04D2">
      <w:pPr>
        <w:spacing w:after="0" w:line="240" w:lineRule="auto"/>
      </w:pPr>
      <w:r>
        <w:separator/>
      </w:r>
    </w:p>
  </w:endnote>
  <w:endnote w:type="continuationSeparator" w:id="0">
    <w:p w14:paraId="6BF0202C" w14:textId="77777777" w:rsidR="00012BE4" w:rsidRDefault="00012BE4" w:rsidP="005A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25300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8ED84" w14:textId="63688E77" w:rsidR="005A04D2" w:rsidRPr="005A04D2" w:rsidRDefault="005A04D2" w:rsidP="005A04D2">
        <w:pPr>
          <w:pStyle w:val="Footer"/>
          <w:jc w:val="center"/>
          <w:rPr>
            <w:sz w:val="20"/>
            <w:szCs w:val="20"/>
          </w:rPr>
        </w:pPr>
        <w:r w:rsidRPr="005A04D2">
          <w:rPr>
            <w:sz w:val="20"/>
            <w:szCs w:val="20"/>
          </w:rPr>
          <w:fldChar w:fldCharType="begin"/>
        </w:r>
        <w:r w:rsidRPr="005A04D2">
          <w:rPr>
            <w:sz w:val="20"/>
            <w:szCs w:val="20"/>
          </w:rPr>
          <w:instrText xml:space="preserve"> PAGE   \* MERGEFORMAT </w:instrText>
        </w:r>
        <w:r w:rsidRPr="005A04D2">
          <w:rPr>
            <w:sz w:val="20"/>
            <w:szCs w:val="20"/>
          </w:rPr>
          <w:fldChar w:fldCharType="separate"/>
        </w:r>
        <w:r w:rsidRPr="005A04D2">
          <w:rPr>
            <w:noProof/>
            <w:sz w:val="20"/>
            <w:szCs w:val="20"/>
          </w:rPr>
          <w:t>2</w:t>
        </w:r>
        <w:r w:rsidRPr="005A04D2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CB2D" w14:textId="47AB4678" w:rsidR="005A04D2" w:rsidRPr="005A04D2" w:rsidRDefault="005A04D2" w:rsidP="005A04D2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380C" w14:textId="77777777" w:rsidR="00012BE4" w:rsidRDefault="00012BE4" w:rsidP="005A04D2">
      <w:pPr>
        <w:spacing w:after="0" w:line="240" w:lineRule="auto"/>
      </w:pPr>
      <w:r>
        <w:separator/>
      </w:r>
    </w:p>
  </w:footnote>
  <w:footnote w:type="continuationSeparator" w:id="0">
    <w:p w14:paraId="6B163B83" w14:textId="77777777" w:rsidR="00012BE4" w:rsidRDefault="00012BE4" w:rsidP="005A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1"/>
  </w:num>
  <w:num w:numId="2" w16cid:durableId="434331319">
    <w:abstractNumId w:val="21"/>
  </w:num>
  <w:num w:numId="3" w16cid:durableId="700204405">
    <w:abstractNumId w:val="29"/>
  </w:num>
  <w:num w:numId="4" w16cid:durableId="1443763581">
    <w:abstractNumId w:val="33"/>
  </w:num>
  <w:num w:numId="5" w16cid:durableId="1888641000">
    <w:abstractNumId w:val="11"/>
  </w:num>
  <w:num w:numId="6" w16cid:durableId="771897392">
    <w:abstractNumId w:val="8"/>
  </w:num>
  <w:num w:numId="7" w16cid:durableId="401686284">
    <w:abstractNumId w:val="6"/>
  </w:num>
  <w:num w:numId="8" w16cid:durableId="905720563">
    <w:abstractNumId w:val="32"/>
  </w:num>
  <w:num w:numId="9" w16cid:durableId="76749609">
    <w:abstractNumId w:val="3"/>
  </w:num>
  <w:num w:numId="10" w16cid:durableId="1172405981">
    <w:abstractNumId w:val="23"/>
  </w:num>
  <w:num w:numId="11" w16cid:durableId="1312253715">
    <w:abstractNumId w:val="28"/>
  </w:num>
  <w:num w:numId="12" w16cid:durableId="10184379">
    <w:abstractNumId w:val="17"/>
  </w:num>
  <w:num w:numId="13" w16cid:durableId="529227091">
    <w:abstractNumId w:val="25"/>
  </w:num>
  <w:num w:numId="14" w16cid:durableId="2083213294">
    <w:abstractNumId w:val="30"/>
  </w:num>
  <w:num w:numId="15" w16cid:durableId="103304739">
    <w:abstractNumId w:val="0"/>
  </w:num>
  <w:num w:numId="16" w16cid:durableId="1268391741">
    <w:abstractNumId w:val="22"/>
  </w:num>
  <w:num w:numId="17" w16cid:durableId="1737705955">
    <w:abstractNumId w:val="22"/>
  </w:num>
  <w:num w:numId="18" w16cid:durableId="2065447608">
    <w:abstractNumId w:val="10"/>
  </w:num>
  <w:num w:numId="19" w16cid:durableId="240335003">
    <w:abstractNumId w:val="18"/>
  </w:num>
  <w:num w:numId="20" w16cid:durableId="1699697877">
    <w:abstractNumId w:val="34"/>
  </w:num>
  <w:num w:numId="21" w16cid:durableId="1433433638">
    <w:abstractNumId w:val="15"/>
  </w:num>
  <w:num w:numId="22" w16cid:durableId="1235362085">
    <w:abstractNumId w:val="5"/>
  </w:num>
  <w:num w:numId="23" w16cid:durableId="1143349798">
    <w:abstractNumId w:val="16"/>
  </w:num>
  <w:num w:numId="24" w16cid:durableId="638923867">
    <w:abstractNumId w:val="37"/>
  </w:num>
  <w:num w:numId="25" w16cid:durableId="1407266254">
    <w:abstractNumId w:val="1"/>
  </w:num>
  <w:num w:numId="26" w16cid:durableId="1634946696">
    <w:abstractNumId w:val="7"/>
  </w:num>
  <w:num w:numId="27" w16cid:durableId="1395852139">
    <w:abstractNumId w:val="27"/>
  </w:num>
  <w:num w:numId="28" w16cid:durableId="1694070323">
    <w:abstractNumId w:val="14"/>
  </w:num>
  <w:num w:numId="29" w16cid:durableId="722409651">
    <w:abstractNumId w:val="9"/>
  </w:num>
  <w:num w:numId="30" w16cid:durableId="1882018023">
    <w:abstractNumId w:val="20"/>
  </w:num>
  <w:num w:numId="31" w16cid:durableId="1653749281">
    <w:abstractNumId w:val="35"/>
  </w:num>
  <w:num w:numId="32" w16cid:durableId="1057171494">
    <w:abstractNumId w:val="36"/>
  </w:num>
  <w:num w:numId="33" w16cid:durableId="1563904577">
    <w:abstractNumId w:val="26"/>
  </w:num>
  <w:num w:numId="34" w16cid:durableId="1325668127">
    <w:abstractNumId w:val="4"/>
  </w:num>
  <w:num w:numId="35" w16cid:durableId="1633827708">
    <w:abstractNumId w:val="19"/>
  </w:num>
  <w:num w:numId="36" w16cid:durableId="722096734">
    <w:abstractNumId w:val="2"/>
  </w:num>
  <w:num w:numId="37" w16cid:durableId="50353854">
    <w:abstractNumId w:val="12"/>
  </w:num>
  <w:num w:numId="38" w16cid:durableId="1740320400">
    <w:abstractNumId w:val="24"/>
  </w:num>
  <w:num w:numId="39" w16cid:durableId="1583250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3CEA"/>
    <w:rsid w:val="00004C37"/>
    <w:rsid w:val="000066B3"/>
    <w:rsid w:val="00012BE4"/>
    <w:rsid w:val="00066D87"/>
    <w:rsid w:val="00083973"/>
    <w:rsid w:val="000E233F"/>
    <w:rsid w:val="000E3EDE"/>
    <w:rsid w:val="00107E82"/>
    <w:rsid w:val="001A21B6"/>
    <w:rsid w:val="001B1CBA"/>
    <w:rsid w:val="001D2AF7"/>
    <w:rsid w:val="00207743"/>
    <w:rsid w:val="00213167"/>
    <w:rsid w:val="002512F9"/>
    <w:rsid w:val="00261E00"/>
    <w:rsid w:val="00267405"/>
    <w:rsid w:val="002C697B"/>
    <w:rsid w:val="003145FA"/>
    <w:rsid w:val="00367A41"/>
    <w:rsid w:val="00393C92"/>
    <w:rsid w:val="003A1A41"/>
    <w:rsid w:val="003A3E09"/>
    <w:rsid w:val="004055A7"/>
    <w:rsid w:val="00417566"/>
    <w:rsid w:val="00471394"/>
    <w:rsid w:val="004924D4"/>
    <w:rsid w:val="004D523C"/>
    <w:rsid w:val="00592C51"/>
    <w:rsid w:val="00595B61"/>
    <w:rsid w:val="005A04D2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26998"/>
    <w:rsid w:val="007407AC"/>
    <w:rsid w:val="00755D72"/>
    <w:rsid w:val="00792796"/>
    <w:rsid w:val="00796B64"/>
    <w:rsid w:val="007D3FDA"/>
    <w:rsid w:val="007E6779"/>
    <w:rsid w:val="00820B4C"/>
    <w:rsid w:val="0083239D"/>
    <w:rsid w:val="00842A33"/>
    <w:rsid w:val="00850188"/>
    <w:rsid w:val="008529D2"/>
    <w:rsid w:val="0088105E"/>
    <w:rsid w:val="00884B70"/>
    <w:rsid w:val="00917DCA"/>
    <w:rsid w:val="009208B1"/>
    <w:rsid w:val="00926DE3"/>
    <w:rsid w:val="0093575A"/>
    <w:rsid w:val="009C7C72"/>
    <w:rsid w:val="00A43CEA"/>
    <w:rsid w:val="00A47096"/>
    <w:rsid w:val="00A82C1B"/>
    <w:rsid w:val="00AA2EC5"/>
    <w:rsid w:val="00AB4C73"/>
    <w:rsid w:val="00AD27C0"/>
    <w:rsid w:val="00AE6F47"/>
    <w:rsid w:val="00AF152E"/>
    <w:rsid w:val="00B0381B"/>
    <w:rsid w:val="00B244C6"/>
    <w:rsid w:val="00B91E47"/>
    <w:rsid w:val="00B92FB2"/>
    <w:rsid w:val="00BC6B21"/>
    <w:rsid w:val="00C04D8A"/>
    <w:rsid w:val="00C65884"/>
    <w:rsid w:val="00C87E57"/>
    <w:rsid w:val="00CE3332"/>
    <w:rsid w:val="00CF6143"/>
    <w:rsid w:val="00D14843"/>
    <w:rsid w:val="00DD5C37"/>
    <w:rsid w:val="00DF35D9"/>
    <w:rsid w:val="00E4239A"/>
    <w:rsid w:val="00EA18F5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8A95"/>
  <w15:chartTrackingRefBased/>
  <w15:docId w15:val="{13D7853E-5399-4CDF-A069-C927A06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EA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2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2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Alban, Daniela</cp:lastModifiedBy>
  <cp:revision>4</cp:revision>
  <dcterms:created xsi:type="dcterms:W3CDTF">2023-02-14T16:40:00Z</dcterms:created>
  <dcterms:modified xsi:type="dcterms:W3CDTF">2023-02-14T16:46:00Z</dcterms:modified>
</cp:coreProperties>
</file>