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DB29341" w:rsidR="004B3171" w:rsidRPr="004B3171" w:rsidRDefault="00F7417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FF2263C" w:rsidR="004B3171" w:rsidRPr="004B3171" w:rsidRDefault="004B3171" w:rsidP="00F7417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74178" w:rsidRPr="00F7417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F-2022-3036953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0570D9A" w14:textId="77777777" w:rsidR="00564929" w:rsidRPr="009C607B" w:rsidRDefault="00564929" w:rsidP="0056492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9088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Kendra Dennison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A90880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46B19207" w14:textId="77777777" w:rsidR="00564929" w:rsidRDefault="00564929" w:rsidP="0056492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937FB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7549720D" w14:textId="4064D821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C42F25" w14:textId="77777777" w:rsidR="00564929" w:rsidRPr="00537705" w:rsidRDefault="00564929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DF21AE" w14:textId="77777777" w:rsidR="00E40BAD" w:rsidRPr="009C607B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9088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90880">
        <w:rPr>
          <w:rFonts w:ascii="Microsoft Sans Serif" w:hAnsi="Microsoft Sans Serif" w:cs="Microsoft Sans Serif"/>
          <w:sz w:val="24"/>
          <w:szCs w:val="24"/>
        </w:rPr>
        <w:t>:</w:t>
      </w:r>
      <w:r w:rsidRPr="00A9088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90880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F1BE1BD" w14:textId="77777777" w:rsidR="00E40BAD" w:rsidRPr="00566160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BAFC041" w14:textId="77777777" w:rsidR="00E40BAD" w:rsidRPr="00566160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February 23, 2023</w:t>
      </w:r>
    </w:p>
    <w:p w14:paraId="706F3C5D" w14:textId="77777777" w:rsidR="00E40BAD" w:rsidRPr="00566160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6BAD90" w14:textId="77777777" w:rsidR="00E40BAD" w:rsidRPr="00566160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BEE5398" w14:textId="77777777" w:rsidR="00E40BAD" w:rsidRPr="00566160" w:rsidRDefault="00E40BAD" w:rsidP="00E40B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1099F73" w:rsidR="00D90ECA" w:rsidRDefault="00E40BAD" w:rsidP="00E40BAD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A441806" w14:textId="77777777" w:rsidR="001C5455" w:rsidRDefault="00440D5F" w:rsidP="001C5455">
      <w:r>
        <w:rPr>
          <w:rFonts w:ascii="Microsoft Sans Serif" w:hAnsi="Microsoft Sans Serif" w:cs="Microsoft Sans Serif"/>
        </w:rPr>
        <w:br w:type="page"/>
      </w:r>
      <w:r w:rsidR="001C545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F-2022-3036953 - KENDRA DENNISON v. PHILADELPHIA GAS WORKS</w:t>
      </w:r>
      <w:r w:rsidR="001C54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C5455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02/13/23</w:t>
      </w:r>
      <w:r w:rsidR="001C5455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1C54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C5455">
        <w:rPr>
          <w:rFonts w:ascii="Microsoft Sans Serif" w:eastAsia="Microsoft Sans Serif" w:hAnsi="Microsoft Sans Serif" w:cs="Microsoft Sans Serif"/>
          <w:sz w:val="24"/>
        </w:rPr>
        <w:t>KENDRA DENNISON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2635 NORTH MYRTLEWOOD STREET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PHILADELPHIA PA  19132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</w:r>
      <w:r w:rsidR="001C5455" w:rsidRPr="004C45BE">
        <w:rPr>
          <w:rFonts w:ascii="Microsoft Sans Serif" w:eastAsia="Microsoft Sans Serif" w:hAnsi="Microsoft Sans Serif" w:cs="Microsoft Sans Serif"/>
          <w:b/>
          <w:bCs/>
          <w:sz w:val="24"/>
        </w:rPr>
        <w:t>445.500.9125</w:t>
      </w:r>
      <w:r w:rsidR="001C5455" w:rsidRPr="004C45B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1C5455">
        <w:rPr>
          <w:rFonts w:ascii="Microsoft Sans Serif" w:eastAsia="Microsoft Sans Serif" w:hAnsi="Microsoft Sans Serif" w:cs="Microsoft Sans Serif"/>
          <w:sz w:val="24"/>
        </w:rPr>
        <w:t>browndennisonkendra@gmail.com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 w:rsidR="001C5455"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</w:r>
      <w:r w:rsidR="001C5455" w:rsidRPr="00574F1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  <w:t>anita.murray@pgworks.com</w:t>
      </w:r>
      <w:r w:rsidR="001C5455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1C5455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715A58F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C5455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4929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756D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40BAD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74178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2023-02-21T19:49:00Z</dcterms:created>
  <dcterms:modified xsi:type="dcterms:W3CDTF">2023-02-21T19:51:00Z</dcterms:modified>
</cp:coreProperties>
</file>