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F2A6" w14:textId="77777777" w:rsidR="00C36399" w:rsidRDefault="00C36399" w:rsidP="00C36399">
      <w:pPr>
        <w:pStyle w:val="Title"/>
        <w:rPr>
          <w:szCs w:val="24"/>
        </w:rPr>
      </w:pPr>
      <w:r>
        <w:rPr>
          <w:szCs w:val="24"/>
        </w:rPr>
        <w:t>BEFORE THE</w:t>
      </w:r>
    </w:p>
    <w:p w14:paraId="7238AB7C" w14:textId="77777777" w:rsidR="00C36399" w:rsidRDefault="00C36399" w:rsidP="00C36399">
      <w:pPr>
        <w:pStyle w:val="Subtitle"/>
        <w:rPr>
          <w:szCs w:val="24"/>
        </w:rPr>
      </w:pPr>
      <w:r>
        <w:rPr>
          <w:szCs w:val="24"/>
        </w:rPr>
        <w:t>PENNSYLVANIA PUBLIC UTILITY COMMISSION</w:t>
      </w:r>
    </w:p>
    <w:p w14:paraId="0317A471" w14:textId="77777777" w:rsidR="00C36399" w:rsidRDefault="00C36399" w:rsidP="00C36399">
      <w:pPr>
        <w:rPr>
          <w:szCs w:val="24"/>
        </w:rPr>
      </w:pPr>
    </w:p>
    <w:p w14:paraId="3D0C4836" w14:textId="77777777" w:rsidR="00C36399" w:rsidRDefault="00C36399" w:rsidP="00C36399">
      <w:pPr>
        <w:rPr>
          <w:szCs w:val="24"/>
        </w:rPr>
      </w:pPr>
    </w:p>
    <w:p w14:paraId="1B3B0C33" w14:textId="77777777" w:rsidR="00C36399" w:rsidRDefault="00C36399" w:rsidP="00C36399">
      <w:pPr>
        <w:rPr>
          <w:szCs w:val="24"/>
        </w:rPr>
      </w:pPr>
    </w:p>
    <w:p w14:paraId="434FBD12" w14:textId="77777777" w:rsidR="00C36399" w:rsidRDefault="00C36399" w:rsidP="00C36399">
      <w:pPr>
        <w:rPr>
          <w:szCs w:val="24"/>
        </w:rPr>
      </w:pPr>
      <w:r>
        <w:rPr>
          <w:szCs w:val="24"/>
        </w:rPr>
        <w:t>Pennsylvania Public Utility Commission</w:t>
      </w:r>
      <w:r>
        <w:rPr>
          <w:szCs w:val="24"/>
        </w:rPr>
        <w:tab/>
      </w:r>
      <w:r>
        <w:rPr>
          <w:szCs w:val="24"/>
        </w:rPr>
        <w:tab/>
        <w:t>:</w:t>
      </w:r>
    </w:p>
    <w:p w14:paraId="65152C62" w14:textId="77777777" w:rsidR="00C36399" w:rsidRDefault="00C36399" w:rsidP="00C36399">
      <w:pPr>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7854AB6D" w14:textId="77777777" w:rsidR="00C36399" w:rsidRDefault="00C36399" w:rsidP="00C36399">
      <w:pPr>
        <w:rPr>
          <w:szCs w:val="24"/>
        </w:rPr>
      </w:pPr>
      <w:r>
        <w:rPr>
          <w:szCs w:val="24"/>
        </w:rPr>
        <w:tab/>
        <w:t>v.</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R-2022-3034229</w:t>
      </w:r>
    </w:p>
    <w:p w14:paraId="63417027" w14:textId="77777777" w:rsidR="00C36399" w:rsidRDefault="00C36399" w:rsidP="00C36399">
      <w:pPr>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P-2022-3034264</w:t>
      </w:r>
    </w:p>
    <w:p w14:paraId="6078763C" w14:textId="77777777" w:rsidR="00C36399" w:rsidRDefault="00C36399" w:rsidP="00C36399">
      <w:pPr>
        <w:rPr>
          <w:szCs w:val="24"/>
        </w:rPr>
      </w:pPr>
      <w:r>
        <w:rPr>
          <w:szCs w:val="24"/>
        </w:rPr>
        <w:t>Philadelphia Gas Works</w:t>
      </w:r>
      <w:r>
        <w:rPr>
          <w:szCs w:val="24"/>
        </w:rPr>
        <w:tab/>
      </w:r>
      <w:r>
        <w:rPr>
          <w:szCs w:val="24"/>
        </w:rPr>
        <w:tab/>
      </w:r>
      <w:r>
        <w:rPr>
          <w:szCs w:val="24"/>
        </w:rPr>
        <w:tab/>
      </w:r>
      <w:r>
        <w:rPr>
          <w:szCs w:val="24"/>
        </w:rPr>
        <w:tab/>
        <w:t>:</w:t>
      </w:r>
    </w:p>
    <w:p w14:paraId="085CD57C" w14:textId="77777777" w:rsidR="00C36399" w:rsidRDefault="00C36399" w:rsidP="00C36399">
      <w:pPr>
        <w:rPr>
          <w:szCs w:val="24"/>
        </w:rPr>
      </w:pPr>
    </w:p>
    <w:p w14:paraId="6C76A8EC" w14:textId="77777777" w:rsidR="00C36399" w:rsidRDefault="00C36399" w:rsidP="00C36399">
      <w:pPr>
        <w:rPr>
          <w:szCs w:val="24"/>
        </w:rPr>
      </w:pPr>
    </w:p>
    <w:p w14:paraId="1F3B4C63" w14:textId="77777777" w:rsidR="00C36399" w:rsidRDefault="00C36399" w:rsidP="00C36399">
      <w:pPr>
        <w:pStyle w:val="Heading1"/>
        <w:rPr>
          <w:szCs w:val="24"/>
        </w:rPr>
      </w:pPr>
    </w:p>
    <w:p w14:paraId="40EE461C" w14:textId="77777777" w:rsidR="00C36399" w:rsidRDefault="00C36399" w:rsidP="00C36399">
      <w:pPr>
        <w:pStyle w:val="Heading1"/>
        <w:rPr>
          <w:b/>
          <w:szCs w:val="24"/>
        </w:rPr>
      </w:pPr>
      <w:r>
        <w:rPr>
          <w:b/>
          <w:szCs w:val="24"/>
        </w:rPr>
        <w:t>PREHEARING CONFERENCE ORDER</w:t>
      </w:r>
    </w:p>
    <w:p w14:paraId="10047957" w14:textId="77777777" w:rsidR="00C36399" w:rsidRDefault="00C36399" w:rsidP="00C36399">
      <w:pPr>
        <w:jc w:val="center"/>
        <w:rPr>
          <w:szCs w:val="24"/>
        </w:rPr>
      </w:pPr>
    </w:p>
    <w:p w14:paraId="16AFB7EE" w14:textId="77777777" w:rsidR="00C36399" w:rsidRDefault="00C36399" w:rsidP="00C36399">
      <w:pPr>
        <w:jc w:val="center"/>
        <w:rPr>
          <w:szCs w:val="24"/>
        </w:rPr>
      </w:pPr>
    </w:p>
    <w:p w14:paraId="6E2FD736" w14:textId="77777777" w:rsidR="00C36399" w:rsidRDefault="00C36399" w:rsidP="00C36399">
      <w:pPr>
        <w:jc w:val="center"/>
        <w:rPr>
          <w:caps/>
          <w:szCs w:val="24"/>
          <w:u w:val="single"/>
        </w:rPr>
      </w:pPr>
      <w:r>
        <w:rPr>
          <w:caps/>
          <w:szCs w:val="24"/>
          <w:u w:val="single"/>
        </w:rPr>
        <w:t>History</w:t>
      </w:r>
    </w:p>
    <w:p w14:paraId="3C6023D6" w14:textId="77777777" w:rsidR="00C36399" w:rsidRDefault="00C36399" w:rsidP="00C36399">
      <w:pPr>
        <w:jc w:val="center"/>
        <w:rPr>
          <w:szCs w:val="24"/>
          <w:u w:val="single"/>
        </w:rPr>
      </w:pPr>
    </w:p>
    <w:p w14:paraId="4F4B8DE7" w14:textId="77777777" w:rsidR="00C36399" w:rsidRDefault="00C36399" w:rsidP="00C36399">
      <w:pPr>
        <w:jc w:val="center"/>
        <w:rPr>
          <w:szCs w:val="24"/>
          <w:u w:val="single"/>
        </w:rPr>
      </w:pPr>
    </w:p>
    <w:p w14:paraId="208FA37F" w14:textId="77777777" w:rsidR="00C36399" w:rsidRDefault="00C36399" w:rsidP="00C36399">
      <w:pPr>
        <w:spacing w:line="360" w:lineRule="auto"/>
      </w:pPr>
      <w:r>
        <w:rPr>
          <w:szCs w:val="24"/>
        </w:rPr>
        <w:tab/>
      </w:r>
      <w:r>
        <w:rPr>
          <w:szCs w:val="24"/>
        </w:rPr>
        <w:tab/>
      </w:r>
      <w:r>
        <w:t xml:space="preserve">On August 2, 2022, Philadelphia Gas Works (PGW), Utility Code 125042, filed Supplement No. 152 to Gas Service Tariff - Pa. P.U.C. No. 2 to become </w:t>
      </w:r>
      <w:proofErr w:type="gramStart"/>
      <w:r>
        <w:t>effective</w:t>
      </w:r>
      <w:proofErr w:type="gramEnd"/>
      <w:r>
        <w:t xml:space="preserve"> </w:t>
      </w:r>
    </w:p>
    <w:p w14:paraId="41800B0A" w14:textId="77777777" w:rsidR="00C36399" w:rsidRDefault="00C36399" w:rsidP="00C36399">
      <w:pPr>
        <w:spacing w:line="360" w:lineRule="auto"/>
      </w:pPr>
      <w:r>
        <w:t>October 1, 2022, and a Petition for Approval on Less than Statutory Notice of Tariff Supplement Revising Weather Normalization Adjustment.  The tariff supplement proposed changes would add a control cap to PGW’s Weather Normalization Adjustment (WNA) Clause so that its customers would not be billed a WNA charge or credit greater than 25% of total delivery charge excluding the WNA.</w:t>
      </w:r>
    </w:p>
    <w:p w14:paraId="6834588B" w14:textId="77777777" w:rsidR="00C36399" w:rsidRDefault="00C36399" w:rsidP="00C36399">
      <w:pPr>
        <w:spacing w:line="360" w:lineRule="auto"/>
        <w:rPr>
          <w:szCs w:val="24"/>
        </w:rPr>
      </w:pPr>
    </w:p>
    <w:p w14:paraId="3B35CB80" w14:textId="77777777" w:rsidR="00C36399" w:rsidRDefault="00C36399" w:rsidP="00C36399">
      <w:pPr>
        <w:spacing w:line="360" w:lineRule="auto"/>
      </w:pPr>
      <w:r>
        <w:rPr>
          <w:szCs w:val="24"/>
        </w:rPr>
        <w:tab/>
      </w:r>
      <w:r>
        <w:rPr>
          <w:szCs w:val="24"/>
        </w:rPr>
        <w:tab/>
      </w:r>
      <w:r>
        <w:t>On August 22, 2022, the Office of Consumer Advocate (OCA) filed an Answer to the filings.  The OCA stated that PGW did not provide evidence as to how it determined that a 25% cap was the appropriate level of protection for customers.  The OCA also stated that the only reasonable approach is to suspend the WNA mechanism until a revised formula, free from its current defects, can be developed.</w:t>
      </w:r>
    </w:p>
    <w:p w14:paraId="19CCC2C5" w14:textId="77777777" w:rsidR="00C36399" w:rsidRDefault="00C36399" w:rsidP="00C36399">
      <w:pPr>
        <w:spacing w:line="360" w:lineRule="auto"/>
        <w:rPr>
          <w:szCs w:val="24"/>
        </w:rPr>
      </w:pPr>
    </w:p>
    <w:p w14:paraId="5F58CE2A" w14:textId="77777777" w:rsidR="00C36399" w:rsidRDefault="00C36399" w:rsidP="00C36399">
      <w:pPr>
        <w:spacing w:line="360" w:lineRule="auto"/>
        <w:ind w:firstLine="1440"/>
        <w:rPr>
          <w:szCs w:val="24"/>
        </w:rPr>
      </w:pPr>
      <w:r>
        <w:rPr>
          <w:szCs w:val="24"/>
        </w:rPr>
        <w:t xml:space="preserve">Pursuant to the Public Utility Code, 66 Pa. C.S. § 1308(b), by Order dated September 15, 2022, the Commission suspended the proceedings until April 1, 2023 and sent the matter to the Office of Administrative Law Judge for evidentiary hearings and a Recommended Decision.  The matter was assigned to Administrative Law Judge Marta Guhl.  </w:t>
      </w:r>
    </w:p>
    <w:p w14:paraId="6CEA0FD9" w14:textId="1247E5FC" w:rsidR="00C36399" w:rsidRDefault="00C36399" w:rsidP="00C36399">
      <w:pPr>
        <w:spacing w:line="360" w:lineRule="auto"/>
      </w:pPr>
      <w:r>
        <w:lastRenderedPageBreak/>
        <w:tab/>
      </w:r>
      <w:r>
        <w:tab/>
        <w:t>The telephonic prehearing conference in this matter was held on Wednesday, September 28, 2022.  Counsel for PGW, I&amp;E, OCA, OSBA</w:t>
      </w:r>
      <w:r w:rsidR="00E12E1D">
        <w:t xml:space="preserve">, </w:t>
      </w:r>
      <w:r>
        <w:t xml:space="preserve">CAUSE-PA and </w:t>
      </w:r>
      <w:r w:rsidR="00E12E1D">
        <w:t>TURN</w:t>
      </w:r>
      <w:r>
        <w:t xml:space="preserve"> were present.  The parties needed additional time to draw up a procedural schedule and submitted it to me on</w:t>
      </w:r>
      <w:r w:rsidR="00BB4AA7">
        <w:t xml:space="preserve"> October 5, </w:t>
      </w:r>
      <w:proofErr w:type="gramStart"/>
      <w:r w:rsidR="00BB4AA7">
        <w:t>2022</w:t>
      </w:r>
      <w:proofErr w:type="gramEnd"/>
      <w:r w:rsidR="00BB4AA7">
        <w:t xml:space="preserve"> which I approved.  </w:t>
      </w:r>
    </w:p>
    <w:p w14:paraId="187EE135" w14:textId="56926CE5" w:rsidR="00BB4AA7" w:rsidRDefault="00BB4AA7" w:rsidP="00C36399">
      <w:pPr>
        <w:spacing w:line="360" w:lineRule="auto"/>
      </w:pPr>
    </w:p>
    <w:p w14:paraId="4A686156" w14:textId="6A9DE36F" w:rsidR="00BB4AA7" w:rsidRDefault="00BB4AA7" w:rsidP="00C36399">
      <w:pPr>
        <w:spacing w:line="360" w:lineRule="auto"/>
      </w:pPr>
      <w:r>
        <w:tab/>
      </w:r>
      <w:r>
        <w:tab/>
        <w:t xml:space="preserve">On November 8, 2022, PGW filed a Petition for Leave to Withdraw its filings </w:t>
      </w:r>
      <w:proofErr w:type="gramStart"/>
      <w:r>
        <w:t>and also</w:t>
      </w:r>
      <w:proofErr w:type="gramEnd"/>
      <w:r>
        <w:t xml:space="preserve"> a Motion to Hold the Procedural Schedule in Abeyance.  OCA and CAUSE-PA objected to the Petition for Leave to Withdraw.  </w:t>
      </w:r>
      <w:r w:rsidR="005A362A">
        <w:t xml:space="preserve">I granted the request to hold the matter in abeyance.  </w:t>
      </w:r>
    </w:p>
    <w:p w14:paraId="2925A3C0" w14:textId="2407BFB8" w:rsidR="00BB4AA7" w:rsidRDefault="00BB4AA7" w:rsidP="00C36399">
      <w:pPr>
        <w:spacing w:line="360" w:lineRule="auto"/>
      </w:pPr>
    </w:p>
    <w:p w14:paraId="5852C006" w14:textId="01D9E958" w:rsidR="00BB4AA7" w:rsidRDefault="00BB4AA7" w:rsidP="00C36399">
      <w:pPr>
        <w:spacing w:line="360" w:lineRule="auto"/>
      </w:pPr>
      <w:r>
        <w:tab/>
      </w:r>
      <w:r>
        <w:tab/>
      </w:r>
      <w:r w:rsidR="005A362A">
        <w:t xml:space="preserve">On December 6, 2022, </w:t>
      </w:r>
      <w:r>
        <w:t xml:space="preserve">Counsel for PGW notified me that the parties </w:t>
      </w:r>
      <w:r w:rsidR="005A362A">
        <w:t>had agreed to</w:t>
      </w:r>
      <w:r>
        <w:t xml:space="preserve"> a new procedural schedule in this matter that would render their Petition to Withdraw moot</w:t>
      </w:r>
      <w:r w:rsidR="005A362A">
        <w:t xml:space="preserve">.  I notified that parties that there were no dates for Public Input hearings and counsel for PGW provided me with dates for the Public Input hearings on December 14, 2022. </w:t>
      </w:r>
    </w:p>
    <w:p w14:paraId="1FD98EAA" w14:textId="7842E45A" w:rsidR="00E12E1D" w:rsidRDefault="00E12E1D" w:rsidP="00C36399">
      <w:pPr>
        <w:spacing w:line="360" w:lineRule="auto"/>
      </w:pPr>
    </w:p>
    <w:p w14:paraId="393F444F" w14:textId="708685C5" w:rsidR="00E12E1D" w:rsidRDefault="00E12E1D" w:rsidP="00C36399">
      <w:pPr>
        <w:spacing w:line="360" w:lineRule="auto"/>
      </w:pPr>
      <w:r>
        <w:tab/>
      </w:r>
      <w:r>
        <w:tab/>
        <w:t xml:space="preserve">On December 15, 2022, Philadelphia Industrial and Commercial Gas Users Group filed a Late-Filed Petition to Intervene in this matter.  </w:t>
      </w:r>
    </w:p>
    <w:p w14:paraId="400857B4" w14:textId="1B196684" w:rsidR="005A362A" w:rsidRDefault="005A362A" w:rsidP="00C36399">
      <w:pPr>
        <w:spacing w:line="360" w:lineRule="auto"/>
      </w:pPr>
    </w:p>
    <w:p w14:paraId="387E8C6D" w14:textId="0280A956" w:rsidR="005A362A" w:rsidRDefault="005A362A" w:rsidP="00C36399">
      <w:pPr>
        <w:spacing w:line="360" w:lineRule="auto"/>
      </w:pPr>
      <w:r>
        <w:tab/>
      </w:r>
      <w:r>
        <w:tab/>
        <w:t xml:space="preserve">This Order memorializes the schedule that I approved.  </w:t>
      </w:r>
    </w:p>
    <w:p w14:paraId="1CECEEE8" w14:textId="489609A2" w:rsidR="005A362A" w:rsidRDefault="005A362A" w:rsidP="00C36399">
      <w:pPr>
        <w:spacing w:line="360" w:lineRule="auto"/>
      </w:pPr>
    </w:p>
    <w:p w14:paraId="17AC148D" w14:textId="77777777" w:rsidR="00E12E1D" w:rsidRDefault="00E12E1D" w:rsidP="00E12E1D">
      <w:pPr>
        <w:spacing w:line="360" w:lineRule="auto"/>
        <w:jc w:val="center"/>
        <w:rPr>
          <w:szCs w:val="24"/>
          <w:u w:val="single"/>
        </w:rPr>
      </w:pPr>
      <w:r>
        <w:rPr>
          <w:szCs w:val="24"/>
          <w:u w:val="single"/>
        </w:rPr>
        <w:t>ORDER</w:t>
      </w:r>
    </w:p>
    <w:p w14:paraId="3F9D2B95" w14:textId="77777777" w:rsidR="00E12E1D" w:rsidRDefault="00E12E1D" w:rsidP="00E12E1D">
      <w:pPr>
        <w:spacing w:line="360" w:lineRule="auto"/>
        <w:contextualSpacing/>
        <w:rPr>
          <w:szCs w:val="24"/>
        </w:rPr>
      </w:pPr>
    </w:p>
    <w:p w14:paraId="0B9DBC1D" w14:textId="77777777" w:rsidR="00E12E1D" w:rsidRDefault="00E12E1D" w:rsidP="009E54F1">
      <w:pPr>
        <w:spacing w:line="360" w:lineRule="auto"/>
        <w:ind w:firstLine="1440"/>
        <w:contextualSpacing/>
        <w:rPr>
          <w:szCs w:val="24"/>
        </w:rPr>
      </w:pPr>
      <w:r>
        <w:rPr>
          <w:szCs w:val="24"/>
        </w:rPr>
        <w:t>THEREFORE,</w:t>
      </w:r>
    </w:p>
    <w:p w14:paraId="3D4654DD" w14:textId="77777777" w:rsidR="00E12E1D" w:rsidRDefault="00E12E1D" w:rsidP="00E12E1D">
      <w:pPr>
        <w:spacing w:line="360" w:lineRule="auto"/>
        <w:contextualSpacing/>
        <w:rPr>
          <w:szCs w:val="24"/>
        </w:rPr>
      </w:pPr>
    </w:p>
    <w:p w14:paraId="4E328231" w14:textId="77777777" w:rsidR="00E12E1D" w:rsidRDefault="00E12E1D" w:rsidP="009E54F1">
      <w:pPr>
        <w:spacing w:line="360" w:lineRule="auto"/>
        <w:ind w:firstLine="1440"/>
        <w:contextualSpacing/>
        <w:rPr>
          <w:szCs w:val="24"/>
        </w:rPr>
      </w:pPr>
      <w:r>
        <w:rPr>
          <w:szCs w:val="24"/>
        </w:rPr>
        <w:t>IT IS ORDERED:</w:t>
      </w:r>
    </w:p>
    <w:p w14:paraId="02B97ED3" w14:textId="77777777" w:rsidR="00E12E1D" w:rsidRDefault="00E12E1D" w:rsidP="00E12E1D">
      <w:pPr>
        <w:spacing w:line="360" w:lineRule="auto"/>
        <w:contextualSpacing/>
        <w:rPr>
          <w:szCs w:val="24"/>
        </w:rPr>
      </w:pPr>
    </w:p>
    <w:p w14:paraId="19602717" w14:textId="109875E6" w:rsidR="00E12E1D" w:rsidRDefault="00E12E1D" w:rsidP="00E12E1D">
      <w:pPr>
        <w:spacing w:line="360" w:lineRule="auto"/>
        <w:ind w:firstLine="1440"/>
        <w:contextualSpacing/>
        <w:rPr>
          <w:szCs w:val="24"/>
        </w:rPr>
      </w:pPr>
      <w:r>
        <w:rPr>
          <w:szCs w:val="24"/>
        </w:rPr>
        <w:t>1.</w:t>
      </w:r>
      <w:r>
        <w:rPr>
          <w:szCs w:val="24"/>
        </w:rPr>
        <w:tab/>
        <w:t xml:space="preserve">That the Petition to Intervene of PICGUG is granted.  </w:t>
      </w:r>
    </w:p>
    <w:p w14:paraId="18C8546E" w14:textId="77777777" w:rsidR="00E12E1D" w:rsidRDefault="00E12E1D" w:rsidP="00E12E1D">
      <w:pPr>
        <w:spacing w:line="360" w:lineRule="auto"/>
        <w:contextualSpacing/>
        <w:rPr>
          <w:szCs w:val="24"/>
        </w:rPr>
      </w:pPr>
    </w:p>
    <w:p w14:paraId="585BC6D8" w14:textId="73518A20" w:rsidR="00E12E1D" w:rsidRDefault="00E12E1D" w:rsidP="00E12E1D">
      <w:pPr>
        <w:spacing w:line="360" w:lineRule="auto"/>
        <w:ind w:firstLine="1440"/>
        <w:contextualSpacing/>
        <w:rPr>
          <w:rFonts w:eastAsia="Calibri"/>
          <w:szCs w:val="24"/>
        </w:rPr>
      </w:pPr>
      <w:r>
        <w:rPr>
          <w:rFonts w:eastAsia="Calibri"/>
          <w:szCs w:val="24"/>
        </w:rPr>
        <w:t>2.</w:t>
      </w:r>
      <w:r>
        <w:rPr>
          <w:rFonts w:eastAsia="Calibri"/>
          <w:szCs w:val="24"/>
        </w:rPr>
        <w:tab/>
        <w:t>That the parties of record as of this date are PGW, I&amp;E, OCA, OSBA, PICGUG, CAUSE-PA and TURN.</w:t>
      </w:r>
    </w:p>
    <w:p w14:paraId="53E81FDD" w14:textId="77777777" w:rsidR="00E12E1D" w:rsidRDefault="00E12E1D" w:rsidP="00E12E1D">
      <w:pPr>
        <w:spacing w:line="360" w:lineRule="auto"/>
        <w:contextualSpacing/>
        <w:rPr>
          <w:rFonts w:eastAsia="Calibri"/>
          <w:szCs w:val="24"/>
        </w:rPr>
      </w:pPr>
    </w:p>
    <w:p w14:paraId="2FAC614E" w14:textId="77777777" w:rsidR="00E12E1D" w:rsidRDefault="00E12E1D" w:rsidP="00E12E1D">
      <w:pPr>
        <w:spacing w:line="360" w:lineRule="auto"/>
        <w:contextualSpacing/>
        <w:rPr>
          <w:szCs w:val="24"/>
        </w:rPr>
      </w:pPr>
    </w:p>
    <w:p w14:paraId="031DC1B6" w14:textId="234E1997" w:rsidR="00E12E1D" w:rsidRDefault="00E12E1D" w:rsidP="00E12E1D">
      <w:pPr>
        <w:spacing w:line="360" w:lineRule="auto"/>
        <w:ind w:firstLine="1440"/>
        <w:contextualSpacing/>
        <w:rPr>
          <w:szCs w:val="24"/>
        </w:rPr>
      </w:pPr>
      <w:r>
        <w:rPr>
          <w:szCs w:val="24"/>
        </w:rPr>
        <w:lastRenderedPageBreak/>
        <w:t>3.</w:t>
      </w:r>
      <w:r>
        <w:rPr>
          <w:szCs w:val="24"/>
        </w:rPr>
        <w:tab/>
        <w:t xml:space="preserve">That parties to be officially served are listed on the attached service list.  Please direct any changes, corrections or additions to Athena </w:t>
      </w:r>
      <w:proofErr w:type="spellStart"/>
      <w:r>
        <w:rPr>
          <w:szCs w:val="24"/>
        </w:rPr>
        <w:t>DelVillar,</w:t>
      </w:r>
      <w:proofErr w:type="spellEnd"/>
      <w:r>
        <w:rPr>
          <w:szCs w:val="24"/>
        </w:rPr>
        <w:t xml:space="preserve"> Legal Assistant, at </w:t>
      </w:r>
      <w:hyperlink r:id="rId6" w:history="1">
        <w:r>
          <w:rPr>
            <w:rStyle w:val="Hyperlink"/>
            <w:szCs w:val="24"/>
          </w:rPr>
          <w:t>sdelvillar@pa.gov</w:t>
        </w:r>
      </w:hyperlink>
      <w:r>
        <w:rPr>
          <w:szCs w:val="24"/>
        </w:rPr>
        <w:t>.</w:t>
      </w:r>
    </w:p>
    <w:p w14:paraId="06386CEE" w14:textId="3DB7AD58" w:rsidR="00657D99" w:rsidRDefault="00657D99" w:rsidP="00E12E1D">
      <w:pPr>
        <w:spacing w:line="360" w:lineRule="auto"/>
        <w:ind w:firstLine="1440"/>
        <w:contextualSpacing/>
        <w:rPr>
          <w:szCs w:val="24"/>
        </w:rPr>
      </w:pPr>
    </w:p>
    <w:p w14:paraId="4A81DC5D" w14:textId="64937189" w:rsidR="00657D99" w:rsidRDefault="00657D99" w:rsidP="00E12E1D">
      <w:pPr>
        <w:spacing w:line="360" w:lineRule="auto"/>
        <w:ind w:firstLine="1440"/>
        <w:contextualSpacing/>
        <w:rPr>
          <w:rFonts w:eastAsia="Calibri"/>
          <w:szCs w:val="24"/>
        </w:rPr>
      </w:pPr>
      <w:r>
        <w:rPr>
          <w:szCs w:val="24"/>
        </w:rPr>
        <w:t>4.</w:t>
      </w:r>
      <w:r>
        <w:rPr>
          <w:szCs w:val="24"/>
        </w:rPr>
        <w:tab/>
        <w:t xml:space="preserve">That the Petition for Leave to Withdraw is now moot as well as the Motion for Abeyance and the abeyance is lifted.  </w:t>
      </w:r>
    </w:p>
    <w:p w14:paraId="2F931CEB" w14:textId="77777777" w:rsidR="00E12E1D" w:rsidRDefault="00E12E1D" w:rsidP="00E12E1D">
      <w:pPr>
        <w:spacing w:line="360" w:lineRule="auto"/>
        <w:contextualSpacing/>
        <w:rPr>
          <w:szCs w:val="24"/>
        </w:rPr>
      </w:pPr>
    </w:p>
    <w:p w14:paraId="39C91E57" w14:textId="600BC46F" w:rsidR="00E12E1D" w:rsidRDefault="00442F1F" w:rsidP="00E12E1D">
      <w:pPr>
        <w:spacing w:line="360" w:lineRule="auto"/>
        <w:ind w:firstLine="1440"/>
        <w:contextualSpacing/>
        <w:rPr>
          <w:bCs/>
          <w:szCs w:val="24"/>
        </w:rPr>
      </w:pPr>
      <w:r>
        <w:rPr>
          <w:szCs w:val="24"/>
        </w:rPr>
        <w:t>5</w:t>
      </w:r>
      <w:r w:rsidR="00E12E1D">
        <w:rPr>
          <w:szCs w:val="24"/>
        </w:rPr>
        <w:t>.</w:t>
      </w:r>
      <w:r w:rsidR="00E12E1D">
        <w:rPr>
          <w:szCs w:val="24"/>
        </w:rPr>
        <w:tab/>
        <w:t xml:space="preserve">That parties may arrange service among themselves as they agree.  Pursuant to 52 Pa.Code § 5.154(c), the parties are permitted without further order to limit the service of documents to parties who indicate that they do not wish to be served with such documents.  </w:t>
      </w:r>
      <w:r w:rsidR="00E12E1D">
        <w:rPr>
          <w:bCs/>
          <w:szCs w:val="24"/>
        </w:rPr>
        <w:t xml:space="preserve">Parties should review the Pre-hearing Memoranda and comply with the Service of Documents requests therein. </w:t>
      </w:r>
      <w:r w:rsidR="00E12E1D">
        <w:rPr>
          <w:szCs w:val="24"/>
        </w:rPr>
        <w:t xml:space="preserve"> </w:t>
      </w:r>
    </w:p>
    <w:p w14:paraId="739DC792" w14:textId="77777777" w:rsidR="00E12E1D" w:rsidRDefault="00E12E1D" w:rsidP="00E12E1D">
      <w:pPr>
        <w:spacing w:line="360" w:lineRule="auto"/>
        <w:contextualSpacing/>
        <w:rPr>
          <w:szCs w:val="24"/>
        </w:rPr>
      </w:pPr>
    </w:p>
    <w:p w14:paraId="06FE0F53" w14:textId="0AB73BB3" w:rsidR="00E12E1D" w:rsidRDefault="00442F1F" w:rsidP="00E12E1D">
      <w:pPr>
        <w:spacing w:line="360" w:lineRule="auto"/>
        <w:ind w:firstLine="1440"/>
        <w:contextualSpacing/>
        <w:rPr>
          <w:iCs/>
          <w:szCs w:val="24"/>
        </w:rPr>
      </w:pPr>
      <w:r>
        <w:rPr>
          <w:szCs w:val="24"/>
        </w:rPr>
        <w:t>6</w:t>
      </w:r>
      <w:r w:rsidR="00E12E1D">
        <w:rPr>
          <w:szCs w:val="24"/>
        </w:rPr>
        <w:t>.</w:t>
      </w:r>
      <w:r w:rsidR="00E12E1D">
        <w:rPr>
          <w:szCs w:val="24"/>
        </w:rPr>
        <w:tab/>
        <w:t xml:space="preserve">That parties may serve documents electronically by 4:30 p.m. to meet any required due date, with hard copy to follow by regular first-class mail.  </w:t>
      </w:r>
      <w:r w:rsidR="00E12E1D">
        <w:rPr>
          <w:iCs/>
          <w:szCs w:val="24"/>
        </w:rPr>
        <w:t xml:space="preserve"> </w:t>
      </w:r>
    </w:p>
    <w:p w14:paraId="3279E9AA" w14:textId="0A05FBF9" w:rsidR="009E54F1" w:rsidRDefault="009E54F1" w:rsidP="00E12E1D">
      <w:pPr>
        <w:spacing w:line="360" w:lineRule="auto"/>
        <w:ind w:firstLine="1440"/>
        <w:contextualSpacing/>
        <w:rPr>
          <w:iCs/>
          <w:szCs w:val="24"/>
        </w:rPr>
      </w:pPr>
    </w:p>
    <w:p w14:paraId="22A03170" w14:textId="76954F14" w:rsidR="009E54F1" w:rsidRDefault="009E54F1" w:rsidP="00E12E1D">
      <w:pPr>
        <w:spacing w:line="360" w:lineRule="auto"/>
        <w:ind w:firstLine="1440"/>
        <w:contextualSpacing/>
        <w:rPr>
          <w:iCs/>
          <w:szCs w:val="24"/>
        </w:rPr>
      </w:pPr>
    </w:p>
    <w:p w14:paraId="5907B7B6" w14:textId="181FAE4A" w:rsidR="009E54F1" w:rsidRDefault="009E54F1" w:rsidP="00E12E1D">
      <w:pPr>
        <w:spacing w:line="360" w:lineRule="auto"/>
        <w:ind w:firstLine="1440"/>
        <w:contextualSpacing/>
        <w:rPr>
          <w:iCs/>
          <w:szCs w:val="24"/>
        </w:rPr>
      </w:pPr>
    </w:p>
    <w:p w14:paraId="126E1950" w14:textId="24CDD008" w:rsidR="009E54F1" w:rsidRDefault="009E54F1" w:rsidP="00E12E1D">
      <w:pPr>
        <w:spacing w:line="360" w:lineRule="auto"/>
        <w:ind w:firstLine="1440"/>
        <w:contextualSpacing/>
        <w:rPr>
          <w:iCs/>
          <w:szCs w:val="24"/>
        </w:rPr>
      </w:pPr>
    </w:p>
    <w:p w14:paraId="06B27EB4" w14:textId="08B370EC" w:rsidR="009E54F1" w:rsidRDefault="009E54F1" w:rsidP="00E12E1D">
      <w:pPr>
        <w:spacing w:line="360" w:lineRule="auto"/>
        <w:ind w:firstLine="1440"/>
        <w:contextualSpacing/>
        <w:rPr>
          <w:iCs/>
          <w:szCs w:val="24"/>
        </w:rPr>
      </w:pPr>
    </w:p>
    <w:p w14:paraId="66FFC3AE" w14:textId="7D02E205" w:rsidR="009E54F1" w:rsidRDefault="009E54F1" w:rsidP="00E12E1D">
      <w:pPr>
        <w:spacing w:line="360" w:lineRule="auto"/>
        <w:ind w:firstLine="1440"/>
        <w:contextualSpacing/>
        <w:rPr>
          <w:iCs/>
          <w:szCs w:val="24"/>
        </w:rPr>
      </w:pPr>
    </w:p>
    <w:p w14:paraId="72A5C4A9" w14:textId="5C76887F" w:rsidR="009E54F1" w:rsidRDefault="009E54F1" w:rsidP="00E12E1D">
      <w:pPr>
        <w:spacing w:line="360" w:lineRule="auto"/>
        <w:ind w:firstLine="1440"/>
        <w:contextualSpacing/>
        <w:rPr>
          <w:iCs/>
          <w:szCs w:val="24"/>
        </w:rPr>
      </w:pPr>
    </w:p>
    <w:p w14:paraId="4A5F48C7" w14:textId="4477CF90" w:rsidR="009E54F1" w:rsidRDefault="009E54F1" w:rsidP="00E12E1D">
      <w:pPr>
        <w:spacing w:line="360" w:lineRule="auto"/>
        <w:ind w:firstLine="1440"/>
        <w:contextualSpacing/>
        <w:rPr>
          <w:iCs/>
          <w:szCs w:val="24"/>
        </w:rPr>
      </w:pPr>
    </w:p>
    <w:p w14:paraId="436295EA" w14:textId="381DFA3D" w:rsidR="009E54F1" w:rsidRDefault="009E54F1" w:rsidP="00E12E1D">
      <w:pPr>
        <w:spacing w:line="360" w:lineRule="auto"/>
        <w:ind w:firstLine="1440"/>
        <w:contextualSpacing/>
        <w:rPr>
          <w:iCs/>
          <w:szCs w:val="24"/>
        </w:rPr>
      </w:pPr>
    </w:p>
    <w:p w14:paraId="7115D3E5" w14:textId="6D6EDAF2" w:rsidR="009E54F1" w:rsidRDefault="009E54F1" w:rsidP="00E12E1D">
      <w:pPr>
        <w:spacing w:line="360" w:lineRule="auto"/>
        <w:ind w:firstLine="1440"/>
        <w:contextualSpacing/>
        <w:rPr>
          <w:iCs/>
          <w:szCs w:val="24"/>
        </w:rPr>
      </w:pPr>
    </w:p>
    <w:p w14:paraId="50D25F56" w14:textId="31A055F6" w:rsidR="009E54F1" w:rsidRDefault="009E54F1" w:rsidP="00E12E1D">
      <w:pPr>
        <w:spacing w:line="360" w:lineRule="auto"/>
        <w:ind w:firstLine="1440"/>
        <w:contextualSpacing/>
        <w:rPr>
          <w:iCs/>
          <w:szCs w:val="24"/>
        </w:rPr>
      </w:pPr>
    </w:p>
    <w:p w14:paraId="6F0E9189" w14:textId="1CF22670" w:rsidR="009E54F1" w:rsidRDefault="009E54F1" w:rsidP="00E12E1D">
      <w:pPr>
        <w:spacing w:line="360" w:lineRule="auto"/>
        <w:ind w:firstLine="1440"/>
        <w:contextualSpacing/>
        <w:rPr>
          <w:iCs/>
          <w:szCs w:val="24"/>
        </w:rPr>
      </w:pPr>
    </w:p>
    <w:p w14:paraId="10B95F4C" w14:textId="77777777" w:rsidR="009E54F1" w:rsidRDefault="009E54F1" w:rsidP="00E12E1D">
      <w:pPr>
        <w:spacing w:line="360" w:lineRule="auto"/>
        <w:ind w:firstLine="1440"/>
        <w:contextualSpacing/>
        <w:rPr>
          <w:szCs w:val="24"/>
        </w:rPr>
      </w:pPr>
    </w:p>
    <w:p w14:paraId="31E4F300" w14:textId="77777777" w:rsidR="00E12E1D" w:rsidRDefault="00E12E1D" w:rsidP="00E12E1D">
      <w:pPr>
        <w:spacing w:line="360" w:lineRule="auto"/>
        <w:contextualSpacing/>
        <w:rPr>
          <w:szCs w:val="24"/>
        </w:rPr>
      </w:pPr>
    </w:p>
    <w:p w14:paraId="374B0305" w14:textId="3D4B0F14" w:rsidR="00E12E1D" w:rsidRDefault="00442F1F" w:rsidP="00E12E1D">
      <w:pPr>
        <w:spacing w:line="360" w:lineRule="auto"/>
        <w:ind w:left="1440"/>
        <w:contextualSpacing/>
        <w:rPr>
          <w:szCs w:val="24"/>
        </w:rPr>
      </w:pPr>
      <w:r>
        <w:rPr>
          <w:szCs w:val="24"/>
        </w:rPr>
        <w:lastRenderedPageBreak/>
        <w:t>7</w:t>
      </w:r>
      <w:r w:rsidR="00E12E1D">
        <w:rPr>
          <w:szCs w:val="24"/>
        </w:rPr>
        <w:t>.</w:t>
      </w:r>
      <w:r w:rsidR="00E12E1D">
        <w:rPr>
          <w:szCs w:val="24"/>
        </w:rPr>
        <w:tab/>
        <w:t>That the following schedule is adopted</w:t>
      </w:r>
      <w:r w:rsidR="00E12E1D">
        <w:rPr>
          <w:sz w:val="20"/>
          <w:vertAlign w:val="superscript"/>
        </w:rPr>
        <w:footnoteReference w:id="1"/>
      </w:r>
      <w:r w:rsidR="00E12E1D">
        <w:rPr>
          <w:szCs w:val="24"/>
        </w:rPr>
        <w:t>:</w:t>
      </w:r>
    </w:p>
    <w:p w14:paraId="53BF9D40" w14:textId="77777777" w:rsidR="00E12E1D" w:rsidRDefault="00E12E1D" w:rsidP="00E12E1D">
      <w:pPr>
        <w:contextualSpacing/>
        <w:rPr>
          <w:szCs w:val="24"/>
        </w:rPr>
      </w:pPr>
    </w:p>
    <w:tbl>
      <w:tblPr>
        <w:tblW w:w="0" w:type="auto"/>
        <w:tblInd w:w="607" w:type="dxa"/>
        <w:tblCellMar>
          <w:left w:w="0" w:type="dxa"/>
          <w:right w:w="0" w:type="dxa"/>
        </w:tblCellMar>
        <w:tblLook w:val="04A0" w:firstRow="1" w:lastRow="0" w:firstColumn="1" w:lastColumn="0" w:noHBand="0" w:noVBand="1"/>
      </w:tblPr>
      <w:tblGrid>
        <w:gridCol w:w="3163"/>
        <w:gridCol w:w="2790"/>
      </w:tblGrid>
      <w:tr w:rsidR="00E12E1D" w14:paraId="5F068437" w14:textId="77777777" w:rsidTr="00E12E1D">
        <w:tc>
          <w:tcPr>
            <w:tcW w:w="316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07CBFB5C"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b/>
                <w:bCs/>
                <w:color w:val="000000"/>
              </w:rPr>
              <w:t>Action</w:t>
            </w:r>
          </w:p>
        </w:tc>
        <w:tc>
          <w:tcPr>
            <w:tcW w:w="2790" w:type="dxa"/>
            <w:tcBorders>
              <w:top w:val="single" w:sz="8" w:space="0" w:color="auto"/>
              <w:left w:val="nil"/>
              <w:bottom w:val="single" w:sz="8" w:space="0" w:color="auto"/>
              <w:right w:val="single" w:sz="8" w:space="0" w:color="auto"/>
            </w:tcBorders>
            <w:shd w:val="clear" w:color="auto" w:fill="D5DCE4"/>
            <w:hideMark/>
          </w:tcPr>
          <w:p w14:paraId="3776AE39"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b/>
                <w:bCs/>
                <w:color w:val="000000"/>
              </w:rPr>
              <w:t>Proposed Date</w:t>
            </w:r>
          </w:p>
        </w:tc>
      </w:tr>
      <w:tr w:rsidR="00E12E1D" w14:paraId="749A43E8"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B2513"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PGW Direct Testimony</w:t>
            </w:r>
          </w:p>
        </w:tc>
        <w:tc>
          <w:tcPr>
            <w:tcW w:w="2790" w:type="dxa"/>
            <w:tcBorders>
              <w:top w:val="nil"/>
              <w:left w:val="nil"/>
              <w:bottom w:val="single" w:sz="8" w:space="0" w:color="auto"/>
              <w:right w:val="single" w:sz="8" w:space="0" w:color="auto"/>
            </w:tcBorders>
            <w:hideMark/>
          </w:tcPr>
          <w:p w14:paraId="7E99FD60"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February 14, 2023</w:t>
            </w:r>
          </w:p>
        </w:tc>
      </w:tr>
      <w:tr w:rsidR="00E12E1D" w14:paraId="02F8C762"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E15B5B" w14:textId="2DFCFB1B"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Public Input Hearings</w:t>
            </w:r>
          </w:p>
        </w:tc>
        <w:tc>
          <w:tcPr>
            <w:tcW w:w="2790" w:type="dxa"/>
            <w:tcBorders>
              <w:top w:val="nil"/>
              <w:left w:val="nil"/>
              <w:bottom w:val="single" w:sz="8" w:space="0" w:color="auto"/>
              <w:right w:val="single" w:sz="8" w:space="0" w:color="auto"/>
            </w:tcBorders>
          </w:tcPr>
          <w:p w14:paraId="497AB183" w14:textId="009FB316"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 xml:space="preserve">March 9, </w:t>
            </w:r>
            <w:proofErr w:type="gramStart"/>
            <w:r w:rsidRPr="00657D99">
              <w:rPr>
                <w:rFonts w:ascii="Times New Roman" w:hAnsi="Times New Roman" w:cs="Times New Roman"/>
              </w:rPr>
              <w:t>2023</w:t>
            </w:r>
            <w:proofErr w:type="gramEnd"/>
            <w:r w:rsidRPr="00657D99">
              <w:rPr>
                <w:rFonts w:ascii="Times New Roman" w:hAnsi="Times New Roman" w:cs="Times New Roman"/>
              </w:rPr>
              <w:t xml:space="preserve"> at 10:00 a.m. and 6:00 p.m.</w:t>
            </w:r>
          </w:p>
        </w:tc>
      </w:tr>
      <w:tr w:rsidR="00E12E1D" w14:paraId="422DE58B"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C1B2F"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Other Parties’ Direct Testimony</w:t>
            </w:r>
          </w:p>
        </w:tc>
        <w:tc>
          <w:tcPr>
            <w:tcW w:w="2790" w:type="dxa"/>
            <w:tcBorders>
              <w:top w:val="nil"/>
              <w:left w:val="nil"/>
              <w:bottom w:val="single" w:sz="8" w:space="0" w:color="auto"/>
              <w:right w:val="single" w:sz="8" w:space="0" w:color="auto"/>
            </w:tcBorders>
            <w:hideMark/>
          </w:tcPr>
          <w:p w14:paraId="001BB651"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April 6, 2023</w:t>
            </w:r>
          </w:p>
        </w:tc>
      </w:tr>
      <w:tr w:rsidR="00E12E1D" w14:paraId="14D829B8"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BCE1A"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Rebuttal Testimony</w:t>
            </w:r>
          </w:p>
        </w:tc>
        <w:tc>
          <w:tcPr>
            <w:tcW w:w="2790" w:type="dxa"/>
            <w:tcBorders>
              <w:top w:val="nil"/>
              <w:left w:val="nil"/>
              <w:bottom w:val="single" w:sz="8" w:space="0" w:color="auto"/>
              <w:right w:val="single" w:sz="8" w:space="0" w:color="auto"/>
            </w:tcBorders>
            <w:hideMark/>
          </w:tcPr>
          <w:p w14:paraId="26AEA40C"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May 2, 2023</w:t>
            </w:r>
          </w:p>
        </w:tc>
      </w:tr>
      <w:tr w:rsidR="00E12E1D" w14:paraId="325249FD"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524A7"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Surrebuttal Testimony</w:t>
            </w:r>
          </w:p>
        </w:tc>
        <w:tc>
          <w:tcPr>
            <w:tcW w:w="2790" w:type="dxa"/>
            <w:tcBorders>
              <w:top w:val="nil"/>
              <w:left w:val="nil"/>
              <w:bottom w:val="single" w:sz="8" w:space="0" w:color="auto"/>
              <w:right w:val="single" w:sz="8" w:space="0" w:color="auto"/>
            </w:tcBorders>
            <w:hideMark/>
          </w:tcPr>
          <w:p w14:paraId="7D1BE5F8"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May 12, 2023</w:t>
            </w:r>
          </w:p>
        </w:tc>
      </w:tr>
      <w:tr w:rsidR="00E12E1D" w14:paraId="7EE4053E"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D4228"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Rejoinder Testimony</w:t>
            </w:r>
          </w:p>
        </w:tc>
        <w:tc>
          <w:tcPr>
            <w:tcW w:w="2790" w:type="dxa"/>
            <w:tcBorders>
              <w:top w:val="nil"/>
              <w:left w:val="nil"/>
              <w:bottom w:val="single" w:sz="8" w:space="0" w:color="auto"/>
              <w:right w:val="single" w:sz="8" w:space="0" w:color="auto"/>
            </w:tcBorders>
            <w:hideMark/>
          </w:tcPr>
          <w:p w14:paraId="3E0FCACE"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May 19, 2023</w:t>
            </w:r>
          </w:p>
        </w:tc>
      </w:tr>
      <w:tr w:rsidR="00E12E1D" w14:paraId="6ECE4EFC"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A1583"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Hearings</w:t>
            </w:r>
          </w:p>
        </w:tc>
        <w:tc>
          <w:tcPr>
            <w:tcW w:w="2790" w:type="dxa"/>
            <w:tcBorders>
              <w:top w:val="nil"/>
              <w:left w:val="nil"/>
              <w:bottom w:val="single" w:sz="8" w:space="0" w:color="auto"/>
              <w:right w:val="single" w:sz="8" w:space="0" w:color="auto"/>
            </w:tcBorders>
            <w:hideMark/>
          </w:tcPr>
          <w:p w14:paraId="7407EAF9"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May 23-25, 2023</w:t>
            </w:r>
          </w:p>
        </w:tc>
      </w:tr>
      <w:tr w:rsidR="00E12E1D" w14:paraId="79083AB0"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9158D"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Main Briefs</w:t>
            </w:r>
          </w:p>
        </w:tc>
        <w:tc>
          <w:tcPr>
            <w:tcW w:w="2790" w:type="dxa"/>
            <w:tcBorders>
              <w:top w:val="nil"/>
              <w:left w:val="nil"/>
              <w:bottom w:val="single" w:sz="8" w:space="0" w:color="auto"/>
              <w:right w:val="single" w:sz="8" w:space="0" w:color="auto"/>
            </w:tcBorders>
            <w:hideMark/>
          </w:tcPr>
          <w:p w14:paraId="067CB3BE"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June 7, 2023</w:t>
            </w:r>
          </w:p>
        </w:tc>
      </w:tr>
      <w:tr w:rsidR="00E12E1D" w14:paraId="4AB6104F"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07AC2"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Reply Briefs</w:t>
            </w:r>
          </w:p>
        </w:tc>
        <w:tc>
          <w:tcPr>
            <w:tcW w:w="2790" w:type="dxa"/>
            <w:tcBorders>
              <w:top w:val="nil"/>
              <w:left w:val="nil"/>
              <w:bottom w:val="single" w:sz="8" w:space="0" w:color="auto"/>
              <w:right w:val="single" w:sz="8" w:space="0" w:color="auto"/>
            </w:tcBorders>
            <w:hideMark/>
          </w:tcPr>
          <w:p w14:paraId="32323207"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June 16, 2023</w:t>
            </w:r>
          </w:p>
        </w:tc>
      </w:tr>
      <w:tr w:rsidR="00E12E1D" w14:paraId="1E01CD50"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C7167"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Public Meeting</w:t>
            </w:r>
          </w:p>
        </w:tc>
        <w:tc>
          <w:tcPr>
            <w:tcW w:w="2790" w:type="dxa"/>
            <w:tcBorders>
              <w:top w:val="nil"/>
              <w:left w:val="nil"/>
              <w:bottom w:val="single" w:sz="8" w:space="0" w:color="auto"/>
              <w:right w:val="single" w:sz="8" w:space="0" w:color="auto"/>
            </w:tcBorders>
            <w:hideMark/>
          </w:tcPr>
          <w:p w14:paraId="1DB759EE"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September 21, 2023</w:t>
            </w:r>
          </w:p>
        </w:tc>
      </w:tr>
      <w:tr w:rsidR="00E12E1D" w14:paraId="04BF81AA" w14:textId="77777777" w:rsidTr="00E12E1D">
        <w:tc>
          <w:tcPr>
            <w:tcW w:w="3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E4556"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End of Suspension</w:t>
            </w:r>
          </w:p>
        </w:tc>
        <w:tc>
          <w:tcPr>
            <w:tcW w:w="2790" w:type="dxa"/>
            <w:tcBorders>
              <w:top w:val="nil"/>
              <w:left w:val="nil"/>
              <w:bottom w:val="single" w:sz="8" w:space="0" w:color="auto"/>
              <w:right w:val="single" w:sz="8" w:space="0" w:color="auto"/>
            </w:tcBorders>
            <w:hideMark/>
          </w:tcPr>
          <w:p w14:paraId="7826D4D2" w14:textId="77777777" w:rsidR="00E12E1D" w:rsidRPr="00657D99" w:rsidRDefault="00E12E1D">
            <w:pPr>
              <w:pStyle w:val="xmsonormal"/>
              <w:spacing w:after="160" w:line="252" w:lineRule="auto"/>
              <w:rPr>
                <w:rFonts w:ascii="Times New Roman" w:hAnsi="Times New Roman" w:cs="Times New Roman"/>
              </w:rPr>
            </w:pPr>
            <w:r w:rsidRPr="00657D99">
              <w:rPr>
                <w:rFonts w:ascii="Times New Roman" w:hAnsi="Times New Roman" w:cs="Times New Roman"/>
              </w:rPr>
              <w:t>October 5, 2023</w:t>
            </w:r>
          </w:p>
        </w:tc>
      </w:tr>
    </w:tbl>
    <w:p w14:paraId="4F25484E" w14:textId="77777777" w:rsidR="00E12E1D" w:rsidRDefault="00E12E1D" w:rsidP="00E12E1D">
      <w:pPr>
        <w:spacing w:line="360" w:lineRule="auto"/>
        <w:contextualSpacing/>
        <w:rPr>
          <w:szCs w:val="24"/>
        </w:rPr>
      </w:pPr>
    </w:p>
    <w:p w14:paraId="6453AF07" w14:textId="0065B2AD" w:rsidR="00E12E1D" w:rsidRDefault="00442F1F" w:rsidP="00E12E1D">
      <w:pPr>
        <w:spacing w:line="360" w:lineRule="auto"/>
        <w:ind w:firstLine="1440"/>
        <w:contextualSpacing/>
        <w:rPr>
          <w:szCs w:val="24"/>
        </w:rPr>
      </w:pPr>
      <w:r>
        <w:rPr>
          <w:szCs w:val="24"/>
        </w:rPr>
        <w:t>8</w:t>
      </w:r>
      <w:r w:rsidR="00E12E1D">
        <w:rPr>
          <w:szCs w:val="24"/>
        </w:rPr>
        <w:t>.</w:t>
      </w:r>
      <w:r w:rsidR="00E12E1D">
        <w:rPr>
          <w:szCs w:val="24"/>
        </w:rPr>
        <w:tab/>
        <w:t>That the parties comply with the Commission’s requirements for the preparation and service of written testimony.  52 Pa.Code § 5.412.  These include, but are not limited to, the requirement that written testimony must be accompanied by all exhibits to which it relates.  Written testimony shall be marked with numerical, sequential statement numbers.  Oral direct, rebuttal or surrebuttal testimony or witnesses not identified in a party’s prehearing memorandum shall not be permitted, except by permission for good cause.</w:t>
      </w:r>
    </w:p>
    <w:p w14:paraId="52D15A1F" w14:textId="77777777" w:rsidR="00E12E1D" w:rsidRDefault="00E12E1D" w:rsidP="00E12E1D">
      <w:pPr>
        <w:spacing w:line="360" w:lineRule="auto"/>
        <w:contextualSpacing/>
        <w:rPr>
          <w:szCs w:val="24"/>
        </w:rPr>
      </w:pPr>
    </w:p>
    <w:p w14:paraId="447B40D6" w14:textId="0556F7B8" w:rsidR="00E12E1D" w:rsidRDefault="00442F1F" w:rsidP="00E12E1D">
      <w:pPr>
        <w:spacing w:line="360" w:lineRule="auto"/>
        <w:ind w:firstLine="1440"/>
        <w:contextualSpacing/>
        <w:rPr>
          <w:szCs w:val="24"/>
        </w:rPr>
      </w:pPr>
      <w:r>
        <w:rPr>
          <w:szCs w:val="24"/>
        </w:rPr>
        <w:t>9</w:t>
      </w:r>
      <w:r w:rsidR="00E12E1D">
        <w:rPr>
          <w:szCs w:val="24"/>
        </w:rPr>
        <w:t>.</w:t>
      </w:r>
      <w:r w:rsidR="00E12E1D">
        <w:rPr>
          <w:szCs w:val="24"/>
        </w:rPr>
        <w:tab/>
        <w:t xml:space="preserve">That the parties shall comply with the provisions of 52 </w:t>
      </w:r>
      <w:proofErr w:type="gramStart"/>
      <w:r w:rsidR="00E12E1D">
        <w:rPr>
          <w:szCs w:val="24"/>
        </w:rPr>
        <w:t>Pa.Code</w:t>
      </w:r>
      <w:proofErr w:type="gramEnd"/>
      <w:r w:rsidR="00E12E1D">
        <w:rPr>
          <w:szCs w:val="24"/>
        </w:rPr>
        <w:t xml:space="preserve"> § 5.243(e)</w:t>
      </w:r>
      <w:r w:rsidR="00E12E1D">
        <w:rPr>
          <w:i/>
          <w:iCs/>
          <w:szCs w:val="24"/>
        </w:rPr>
        <w:t xml:space="preserve"> </w:t>
      </w:r>
      <w:r w:rsidR="00E12E1D">
        <w:rPr>
          <w:szCs w:val="24"/>
        </w:rPr>
        <w:t>which prohibit the introduction of evidence during rebuttal which should have been included in the party’s case-in-chief or which substantially varies from the party’s case-in-chief, unless the party is introducing evidence in support of a proposed settlement.</w:t>
      </w:r>
    </w:p>
    <w:p w14:paraId="477328F5" w14:textId="77777777" w:rsidR="00E12E1D" w:rsidRDefault="00E12E1D" w:rsidP="00E12E1D">
      <w:pPr>
        <w:spacing w:line="360" w:lineRule="auto"/>
        <w:contextualSpacing/>
        <w:rPr>
          <w:szCs w:val="24"/>
        </w:rPr>
      </w:pPr>
    </w:p>
    <w:p w14:paraId="27F72954" w14:textId="1FE72DCD" w:rsidR="00E12E1D" w:rsidRDefault="00E12E1D" w:rsidP="00E12E1D">
      <w:pPr>
        <w:spacing w:line="360" w:lineRule="auto"/>
        <w:ind w:firstLine="1440"/>
        <w:contextualSpacing/>
        <w:rPr>
          <w:spacing w:val="-3"/>
          <w:szCs w:val="24"/>
        </w:rPr>
      </w:pPr>
      <w:r>
        <w:rPr>
          <w:szCs w:val="24"/>
        </w:rPr>
        <w:lastRenderedPageBreak/>
        <w:t>1</w:t>
      </w:r>
      <w:r w:rsidR="00442F1F">
        <w:rPr>
          <w:szCs w:val="24"/>
        </w:rPr>
        <w:t>0</w:t>
      </w:r>
      <w:r>
        <w:rPr>
          <w:szCs w:val="24"/>
        </w:rPr>
        <w:t>.</w:t>
      </w:r>
      <w:r>
        <w:rPr>
          <w:szCs w:val="24"/>
        </w:rPr>
        <w:tab/>
        <w:t>That the evidentiary hearings will be held telephonically</w:t>
      </w:r>
      <w:r>
        <w:rPr>
          <w:spacing w:val="-3"/>
          <w:szCs w:val="24"/>
        </w:rPr>
        <w:t>.</w:t>
      </w:r>
    </w:p>
    <w:p w14:paraId="4FF94BB0" w14:textId="77777777" w:rsidR="00E12E1D" w:rsidRDefault="00E12E1D" w:rsidP="00E12E1D">
      <w:pPr>
        <w:spacing w:line="360" w:lineRule="auto"/>
        <w:contextualSpacing/>
        <w:rPr>
          <w:spacing w:val="-3"/>
          <w:szCs w:val="24"/>
        </w:rPr>
      </w:pPr>
    </w:p>
    <w:p w14:paraId="29D9866A" w14:textId="0D96AD91" w:rsidR="00E12E1D" w:rsidRDefault="00442F1F" w:rsidP="00E12E1D">
      <w:pPr>
        <w:spacing w:line="360" w:lineRule="auto"/>
        <w:ind w:firstLine="1440"/>
        <w:contextualSpacing/>
        <w:rPr>
          <w:szCs w:val="24"/>
        </w:rPr>
      </w:pPr>
      <w:r>
        <w:rPr>
          <w:szCs w:val="24"/>
        </w:rPr>
        <w:t>11</w:t>
      </w:r>
      <w:r w:rsidR="00E12E1D">
        <w:rPr>
          <w:szCs w:val="24"/>
        </w:rPr>
        <w:t>.</w:t>
      </w:r>
      <w:r w:rsidR="00E12E1D">
        <w:rPr>
          <w:szCs w:val="24"/>
        </w:rPr>
        <w:tab/>
        <w:t xml:space="preserve">That the parties shall stipulate to any matters they reasonably can to expedite this proceeding, lessen the burden of time and expenses in litigation on all parties and conserve precious administrative hearing resources.  52 Pa.Code §§ 5.232 and 5.234.  All stipulations </w:t>
      </w:r>
      <w:proofErr w:type="gramStart"/>
      <w:r w:rsidR="00E12E1D">
        <w:rPr>
          <w:szCs w:val="24"/>
        </w:rPr>
        <w:t>entered into</w:t>
      </w:r>
      <w:proofErr w:type="gramEnd"/>
      <w:r w:rsidR="00E12E1D">
        <w:rPr>
          <w:szCs w:val="24"/>
        </w:rPr>
        <w:t xml:space="preserve">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42F4B8C8" w14:textId="77777777" w:rsidR="00E12E1D" w:rsidRDefault="00E12E1D" w:rsidP="00E12E1D">
      <w:pPr>
        <w:spacing w:line="360" w:lineRule="auto"/>
        <w:ind w:firstLine="1440"/>
        <w:contextualSpacing/>
        <w:rPr>
          <w:szCs w:val="24"/>
        </w:rPr>
      </w:pPr>
    </w:p>
    <w:p w14:paraId="1906646E" w14:textId="694322AD" w:rsidR="00E12E1D" w:rsidRDefault="00442F1F" w:rsidP="00E12E1D">
      <w:pPr>
        <w:spacing w:line="360" w:lineRule="auto"/>
        <w:ind w:firstLine="1440"/>
        <w:contextualSpacing/>
        <w:rPr>
          <w:szCs w:val="24"/>
        </w:rPr>
      </w:pPr>
      <w:r>
        <w:rPr>
          <w:szCs w:val="24"/>
        </w:rPr>
        <w:t>12</w:t>
      </w:r>
      <w:r w:rsidR="00E12E1D">
        <w:rPr>
          <w:szCs w:val="24"/>
        </w:rPr>
        <w:t>.</w:t>
      </w:r>
      <w:r w:rsidR="00E12E1D">
        <w:rPr>
          <w:szCs w:val="24"/>
        </w:rPr>
        <w:tab/>
        <w:t>That the evidentiary hearings in this matter constitute formal legal proceedings and will be conducted in accordance with the Commission’s Rules of Administrative Practice and Procedure, as well as the rules of evidence as applied to administrative hearings.</w:t>
      </w:r>
    </w:p>
    <w:p w14:paraId="25479439" w14:textId="77777777" w:rsidR="00E12E1D" w:rsidRDefault="00E12E1D" w:rsidP="00E12E1D">
      <w:pPr>
        <w:spacing w:line="360" w:lineRule="auto"/>
        <w:contextualSpacing/>
        <w:rPr>
          <w:szCs w:val="24"/>
        </w:rPr>
      </w:pPr>
    </w:p>
    <w:p w14:paraId="460E1464" w14:textId="70BD2672" w:rsidR="00E12E1D" w:rsidRDefault="00442F1F" w:rsidP="00E12E1D">
      <w:pPr>
        <w:spacing w:line="360" w:lineRule="auto"/>
        <w:ind w:firstLine="1440"/>
        <w:contextualSpacing/>
        <w:rPr>
          <w:szCs w:val="24"/>
        </w:rPr>
      </w:pPr>
      <w:r>
        <w:rPr>
          <w:szCs w:val="24"/>
        </w:rPr>
        <w:t>13</w:t>
      </w:r>
      <w:r w:rsidR="00E12E1D">
        <w:rPr>
          <w:szCs w:val="24"/>
        </w:rPr>
        <w:t>.</w:t>
      </w:r>
      <w:r w:rsidR="00E12E1D">
        <w:rPr>
          <w:szCs w:val="24"/>
        </w:rPr>
        <w:tab/>
        <w:t xml:space="preserve">That parties serving pre-served testimony in proceedings pending before the Commission pursuant to 52 Pa.Code § 5.412(f) shall be required, within thirty (30) days after the final hearing in an adjudicatory proceeding to either </w:t>
      </w:r>
      <w:proofErr w:type="spellStart"/>
      <w:r w:rsidR="00E12E1D">
        <w:rPr>
          <w:szCs w:val="24"/>
        </w:rPr>
        <w:t>eFile</w:t>
      </w:r>
      <w:proofErr w:type="spellEnd"/>
      <w:r w:rsidR="00E12E1D">
        <w:rPr>
          <w:szCs w:val="24"/>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25311752" w14:textId="77777777" w:rsidR="00E12E1D" w:rsidRDefault="00E12E1D" w:rsidP="00E12E1D">
      <w:pPr>
        <w:spacing w:line="360" w:lineRule="auto"/>
        <w:contextualSpacing/>
        <w:rPr>
          <w:szCs w:val="24"/>
        </w:rPr>
      </w:pPr>
    </w:p>
    <w:p w14:paraId="67587A35" w14:textId="34D81485" w:rsidR="00E12E1D" w:rsidRDefault="00442F1F" w:rsidP="00E12E1D">
      <w:pPr>
        <w:spacing w:line="360" w:lineRule="auto"/>
        <w:ind w:firstLine="1440"/>
        <w:contextualSpacing/>
        <w:rPr>
          <w:szCs w:val="24"/>
        </w:rPr>
      </w:pPr>
      <w:r>
        <w:rPr>
          <w:szCs w:val="24"/>
        </w:rPr>
        <w:t>14</w:t>
      </w:r>
      <w:r w:rsidR="00E12E1D">
        <w:rPr>
          <w:szCs w:val="24"/>
        </w:rPr>
        <w:t>.</w:t>
      </w:r>
      <w:r w:rsidR="00E12E1D">
        <w:rPr>
          <w:szCs w:val="24"/>
        </w:rPr>
        <w:tab/>
        <w:t>Motions with respect to objections to written testimony must be presented in writing no later than three days prior to the date the witness sponsoring the testimony is scheduled to testify.  Answers to such motions may be filed within three days or sooner if circumstances warrant.  Oral motions other than for good cause will not be accepted.</w:t>
      </w:r>
    </w:p>
    <w:p w14:paraId="48551FCA" w14:textId="77777777" w:rsidR="00E12E1D" w:rsidRDefault="00E12E1D" w:rsidP="00E12E1D">
      <w:pPr>
        <w:spacing w:line="360" w:lineRule="auto"/>
        <w:contextualSpacing/>
        <w:rPr>
          <w:szCs w:val="24"/>
        </w:rPr>
      </w:pPr>
    </w:p>
    <w:p w14:paraId="04B16EBD" w14:textId="196BDCC1" w:rsidR="00E12E1D" w:rsidRDefault="00442F1F" w:rsidP="00E12E1D">
      <w:pPr>
        <w:spacing w:line="360" w:lineRule="auto"/>
        <w:ind w:firstLine="1440"/>
        <w:contextualSpacing/>
        <w:rPr>
          <w:rFonts w:eastAsia="Calibri"/>
          <w:szCs w:val="24"/>
        </w:rPr>
      </w:pPr>
      <w:r>
        <w:rPr>
          <w:szCs w:val="24"/>
        </w:rPr>
        <w:t>15</w:t>
      </w:r>
      <w:r w:rsidR="00E12E1D">
        <w:rPr>
          <w:szCs w:val="24"/>
        </w:rPr>
        <w:t>.</w:t>
      </w:r>
      <w:r w:rsidR="00E12E1D">
        <w:rPr>
          <w:szCs w:val="24"/>
        </w:rPr>
        <w:tab/>
        <w:t xml:space="preserve">That the parties must comply with 52 Pa.Code §§5.501, </w:t>
      </w:r>
      <w:r w:rsidR="00E12E1D">
        <w:rPr>
          <w:i/>
          <w:szCs w:val="24"/>
        </w:rPr>
        <w:t>et</w:t>
      </w:r>
      <w:r w:rsidR="00E12E1D">
        <w:rPr>
          <w:szCs w:val="24"/>
        </w:rPr>
        <w:t xml:space="preserve"> </w:t>
      </w:r>
      <w:r w:rsidR="00E12E1D">
        <w:rPr>
          <w:i/>
          <w:szCs w:val="24"/>
        </w:rPr>
        <w:t>seq</w:t>
      </w:r>
      <w:r w:rsidR="00E12E1D">
        <w:rPr>
          <w:szCs w:val="24"/>
        </w:rPr>
        <w:t xml:space="preserve">., regarding the preparation and filing of briefs.  Service can be made electronically by no later than 4:30 p.m. on the dates listed, with a hard copy received in hand on the next business day.  </w:t>
      </w:r>
      <w:r w:rsidR="00E12E1D">
        <w:rPr>
          <w:rFonts w:eastAsia="Calibri"/>
          <w:szCs w:val="24"/>
        </w:rPr>
        <w:t xml:space="preserve">Parties are </w:t>
      </w:r>
      <w:r w:rsidR="00E12E1D">
        <w:rPr>
          <w:rFonts w:eastAsia="Calibri"/>
          <w:szCs w:val="24"/>
        </w:rPr>
        <w:lastRenderedPageBreak/>
        <w:t xml:space="preserve">directed to e-mail to the undersigned a copy of as-filed briefs in ADOBE or other compatible PDF format in addition to a WORD-formatted document.  The format of the briefs served electronically on the parties may be as requested by the parties. </w:t>
      </w:r>
    </w:p>
    <w:p w14:paraId="25F200C9" w14:textId="77777777" w:rsidR="00E12E1D" w:rsidRDefault="00E12E1D" w:rsidP="00E12E1D">
      <w:pPr>
        <w:spacing w:line="360" w:lineRule="auto"/>
        <w:contextualSpacing/>
        <w:rPr>
          <w:rFonts w:eastAsiaTheme="minorHAnsi"/>
          <w:szCs w:val="24"/>
        </w:rPr>
      </w:pPr>
    </w:p>
    <w:p w14:paraId="5014D45E" w14:textId="5052905E" w:rsidR="00E12E1D" w:rsidRDefault="00442F1F" w:rsidP="00E12E1D">
      <w:pPr>
        <w:spacing w:line="360" w:lineRule="auto"/>
        <w:ind w:firstLine="1440"/>
        <w:contextualSpacing/>
        <w:rPr>
          <w:szCs w:val="24"/>
        </w:rPr>
      </w:pPr>
      <w:r>
        <w:rPr>
          <w:szCs w:val="24"/>
        </w:rPr>
        <w:t>16</w:t>
      </w:r>
      <w:r w:rsidR="00E12E1D">
        <w:rPr>
          <w:szCs w:val="24"/>
        </w:rPr>
        <w:t>.</w:t>
      </w:r>
      <w:r w:rsidR="00E12E1D">
        <w:rPr>
          <w:szCs w:val="24"/>
        </w:rPr>
        <w:tab/>
        <w:t xml:space="preserve">Rate tables submitted by the parties MUST be in a uniform format consistent with the Commission’s </w:t>
      </w:r>
      <w:bookmarkStart w:id="0" w:name="BureauofTechnicalUtilityServices"/>
      <w:r w:rsidR="00E12E1D">
        <w:rPr>
          <w:color w:val="333333"/>
          <w:szCs w:val="24"/>
        </w:rPr>
        <w:t>Bureau of Technical Utility Services</w:t>
      </w:r>
      <w:bookmarkEnd w:id="0"/>
      <w:r w:rsidR="00E12E1D">
        <w:rPr>
          <w:color w:val="333333"/>
          <w:szCs w:val="24"/>
        </w:rPr>
        <w:t xml:space="preserve"> (TUS)</w:t>
      </w:r>
      <w:r w:rsidR="00E12E1D">
        <w:rPr>
          <w:szCs w:val="24"/>
        </w:rPr>
        <w:t xml:space="preserve"> template tables, which will be provided in a separate email from the presiding officer. </w:t>
      </w:r>
    </w:p>
    <w:p w14:paraId="4A240093" w14:textId="77777777" w:rsidR="00E12E1D" w:rsidRDefault="00E12E1D" w:rsidP="00E12E1D">
      <w:pPr>
        <w:spacing w:line="360" w:lineRule="auto"/>
        <w:contextualSpacing/>
        <w:rPr>
          <w:szCs w:val="24"/>
        </w:rPr>
      </w:pPr>
    </w:p>
    <w:p w14:paraId="6236ECDA" w14:textId="38A39A0B" w:rsidR="00E12E1D" w:rsidRDefault="00442F1F" w:rsidP="00E12E1D">
      <w:pPr>
        <w:spacing w:line="360" w:lineRule="auto"/>
        <w:ind w:firstLine="1440"/>
        <w:contextualSpacing/>
        <w:rPr>
          <w:szCs w:val="24"/>
        </w:rPr>
      </w:pPr>
      <w:r>
        <w:rPr>
          <w:szCs w:val="24"/>
        </w:rPr>
        <w:t>17</w:t>
      </w:r>
      <w:r w:rsidR="00E12E1D">
        <w:rPr>
          <w:szCs w:val="24"/>
        </w:rPr>
        <w:t>.</w:t>
      </w:r>
      <w:r w:rsidR="00E12E1D">
        <w:rPr>
          <w:szCs w:val="24"/>
        </w:rPr>
        <w:tab/>
        <w:t xml:space="preserve">That all main briefs, regardless of length, </w:t>
      </w:r>
      <w:r w:rsidR="00E12E1D">
        <w:rPr>
          <w:szCs w:val="24"/>
          <w:u w:val="single"/>
        </w:rPr>
        <w:t>must</w:t>
      </w:r>
      <w:r w:rsidR="00E12E1D">
        <w:rPr>
          <w:szCs w:val="24"/>
        </w:rPr>
        <w:t xml:space="preserve"> contain:</w:t>
      </w:r>
    </w:p>
    <w:p w14:paraId="70296526" w14:textId="77777777" w:rsidR="00E12E1D" w:rsidRDefault="00E12E1D" w:rsidP="00E12E1D">
      <w:pPr>
        <w:spacing w:line="360" w:lineRule="auto"/>
        <w:ind w:firstLine="1440"/>
        <w:contextualSpacing/>
        <w:rPr>
          <w:szCs w:val="24"/>
        </w:rPr>
      </w:pPr>
    </w:p>
    <w:p w14:paraId="7F1A499A" w14:textId="77777777" w:rsidR="00E12E1D" w:rsidRDefault="00E12E1D" w:rsidP="00E12E1D">
      <w:pPr>
        <w:ind w:left="2160"/>
        <w:contextualSpacing/>
        <w:rPr>
          <w:szCs w:val="24"/>
        </w:rPr>
      </w:pPr>
      <w:r>
        <w:rPr>
          <w:szCs w:val="24"/>
        </w:rPr>
        <w:t>(1)</w:t>
      </w:r>
      <w:r>
        <w:rPr>
          <w:szCs w:val="24"/>
        </w:rPr>
        <w:tab/>
        <w:t>A table of contents;</w:t>
      </w:r>
      <w:r>
        <w:rPr>
          <w:szCs w:val="24"/>
          <w:vertAlign w:val="superscript"/>
        </w:rPr>
        <w:footnoteReference w:id="2"/>
      </w:r>
    </w:p>
    <w:p w14:paraId="2E86A13E" w14:textId="77777777" w:rsidR="00E12E1D" w:rsidRDefault="00E12E1D" w:rsidP="00E12E1D">
      <w:pPr>
        <w:contextualSpacing/>
        <w:rPr>
          <w:szCs w:val="24"/>
        </w:rPr>
      </w:pPr>
    </w:p>
    <w:p w14:paraId="7DE48A95" w14:textId="77777777" w:rsidR="00E12E1D" w:rsidRDefault="00E12E1D" w:rsidP="00E12E1D">
      <w:pPr>
        <w:ind w:left="2160"/>
        <w:contextualSpacing/>
        <w:rPr>
          <w:szCs w:val="24"/>
        </w:rPr>
      </w:pPr>
      <w:r>
        <w:rPr>
          <w:szCs w:val="24"/>
        </w:rPr>
        <w:t>(2)</w:t>
      </w:r>
      <w:r>
        <w:rPr>
          <w:szCs w:val="24"/>
        </w:rPr>
        <w:tab/>
        <w:t xml:space="preserve">A history of the </w:t>
      </w:r>
      <w:proofErr w:type="gramStart"/>
      <w:r>
        <w:rPr>
          <w:szCs w:val="24"/>
        </w:rPr>
        <w:t>proceeding;</w:t>
      </w:r>
      <w:proofErr w:type="gramEnd"/>
    </w:p>
    <w:p w14:paraId="43A565C6" w14:textId="77777777" w:rsidR="00E12E1D" w:rsidRDefault="00E12E1D" w:rsidP="00E12E1D">
      <w:pPr>
        <w:contextualSpacing/>
        <w:rPr>
          <w:szCs w:val="24"/>
        </w:rPr>
      </w:pPr>
    </w:p>
    <w:p w14:paraId="3B3E2948" w14:textId="77777777" w:rsidR="00E12E1D" w:rsidRDefault="00E12E1D" w:rsidP="00E12E1D">
      <w:pPr>
        <w:ind w:left="2160"/>
        <w:contextualSpacing/>
        <w:rPr>
          <w:szCs w:val="24"/>
        </w:rPr>
      </w:pPr>
      <w:r>
        <w:rPr>
          <w:szCs w:val="24"/>
        </w:rPr>
        <w:t>(3)</w:t>
      </w:r>
      <w:r>
        <w:rPr>
          <w:szCs w:val="24"/>
        </w:rPr>
        <w:tab/>
        <w:t xml:space="preserve">A </w:t>
      </w:r>
      <w:proofErr w:type="gramStart"/>
      <w:r>
        <w:rPr>
          <w:szCs w:val="24"/>
        </w:rPr>
        <w:t>discussion;</w:t>
      </w:r>
      <w:proofErr w:type="gramEnd"/>
    </w:p>
    <w:p w14:paraId="5AC28C84" w14:textId="77777777" w:rsidR="00E12E1D" w:rsidRDefault="00E12E1D" w:rsidP="00E12E1D">
      <w:pPr>
        <w:contextualSpacing/>
        <w:rPr>
          <w:szCs w:val="24"/>
        </w:rPr>
      </w:pPr>
    </w:p>
    <w:p w14:paraId="74958A3A" w14:textId="77777777" w:rsidR="00E12E1D" w:rsidRDefault="00E12E1D" w:rsidP="00E12E1D">
      <w:pPr>
        <w:ind w:left="2160"/>
        <w:contextualSpacing/>
        <w:rPr>
          <w:szCs w:val="24"/>
        </w:rPr>
      </w:pPr>
      <w:r>
        <w:rPr>
          <w:szCs w:val="24"/>
        </w:rPr>
        <w:t>(4)</w:t>
      </w:r>
      <w:r>
        <w:rPr>
          <w:szCs w:val="24"/>
        </w:rPr>
        <w:tab/>
        <w:t>Proposed findings of facts (with record citations to transcript pages, written testimony pages or exhibits where supporting evidence appears</w:t>
      </w:r>
      <w:proofErr w:type="gramStart"/>
      <w:r>
        <w:rPr>
          <w:szCs w:val="24"/>
        </w:rPr>
        <w:t>);</w:t>
      </w:r>
      <w:proofErr w:type="gramEnd"/>
      <w:r>
        <w:rPr>
          <w:szCs w:val="24"/>
        </w:rPr>
        <w:t xml:space="preserve">  </w:t>
      </w:r>
    </w:p>
    <w:p w14:paraId="27E4D0F4" w14:textId="77777777" w:rsidR="00E12E1D" w:rsidRDefault="00E12E1D" w:rsidP="00E12E1D">
      <w:pPr>
        <w:contextualSpacing/>
        <w:rPr>
          <w:szCs w:val="24"/>
        </w:rPr>
      </w:pPr>
    </w:p>
    <w:p w14:paraId="1030DA1D" w14:textId="77777777" w:rsidR="00E12E1D" w:rsidRDefault="00E12E1D" w:rsidP="00E12E1D">
      <w:pPr>
        <w:ind w:left="2160"/>
        <w:contextualSpacing/>
        <w:rPr>
          <w:szCs w:val="24"/>
        </w:rPr>
      </w:pPr>
      <w:r>
        <w:rPr>
          <w:szCs w:val="24"/>
        </w:rPr>
        <w:t>(5)</w:t>
      </w:r>
      <w:r>
        <w:rPr>
          <w:szCs w:val="24"/>
        </w:rPr>
        <w:tab/>
        <w:t xml:space="preserve">Proposed conclusions of law (with citations to supporting statutes, regulations or relevant case law); and </w:t>
      </w:r>
    </w:p>
    <w:p w14:paraId="3D2C4A3A" w14:textId="77777777" w:rsidR="00E12E1D" w:rsidRDefault="00E12E1D" w:rsidP="00E12E1D">
      <w:pPr>
        <w:contextualSpacing/>
        <w:rPr>
          <w:szCs w:val="24"/>
        </w:rPr>
      </w:pPr>
    </w:p>
    <w:p w14:paraId="672855AE" w14:textId="77777777" w:rsidR="00E12E1D" w:rsidRDefault="00E12E1D" w:rsidP="00E12E1D">
      <w:pPr>
        <w:ind w:left="2160"/>
        <w:contextualSpacing/>
        <w:rPr>
          <w:szCs w:val="24"/>
        </w:rPr>
      </w:pPr>
      <w:r>
        <w:rPr>
          <w:szCs w:val="24"/>
        </w:rPr>
        <w:t>(6)</w:t>
      </w:r>
      <w:r>
        <w:rPr>
          <w:szCs w:val="24"/>
        </w:rPr>
        <w:tab/>
        <w:t>Proposed ordering paragraphs specifically identifying the relief sought.</w:t>
      </w:r>
    </w:p>
    <w:p w14:paraId="116BE069" w14:textId="77777777" w:rsidR="00E12E1D" w:rsidRDefault="00E12E1D" w:rsidP="00E12E1D">
      <w:pPr>
        <w:contextualSpacing/>
        <w:rPr>
          <w:szCs w:val="24"/>
        </w:rPr>
      </w:pPr>
    </w:p>
    <w:p w14:paraId="728CDAB5" w14:textId="77777777" w:rsidR="00E12E1D" w:rsidRDefault="00E12E1D" w:rsidP="00E12E1D">
      <w:pPr>
        <w:ind w:left="2160"/>
        <w:contextualSpacing/>
        <w:rPr>
          <w:rFonts w:eastAsia="Calibri"/>
          <w:szCs w:val="24"/>
        </w:rPr>
      </w:pPr>
      <w:r>
        <w:rPr>
          <w:rFonts w:eastAsia="Calibri"/>
          <w:szCs w:val="24"/>
        </w:rPr>
        <w:t xml:space="preserve">Note: 52 Pa.Code § 5.501(e) requires that “Briefs shall be as concise as possible.”  Page limitations on briefs will be discussed on or before the last day of hearing.  </w:t>
      </w:r>
    </w:p>
    <w:p w14:paraId="20AF454C" w14:textId="77777777" w:rsidR="00E12E1D" w:rsidRDefault="00E12E1D" w:rsidP="00E12E1D">
      <w:pPr>
        <w:spacing w:line="360" w:lineRule="auto"/>
        <w:contextualSpacing/>
        <w:rPr>
          <w:rFonts w:eastAsia="Calibri"/>
          <w:szCs w:val="24"/>
        </w:rPr>
      </w:pPr>
    </w:p>
    <w:p w14:paraId="11529F76" w14:textId="24AB1D9D" w:rsidR="00E12E1D" w:rsidRPr="008A7378" w:rsidRDefault="00442F1F" w:rsidP="008A7378">
      <w:pPr>
        <w:spacing w:line="360" w:lineRule="auto"/>
        <w:ind w:firstLine="1440"/>
        <w:contextualSpacing/>
        <w:rPr>
          <w:rFonts w:eastAsiaTheme="minorHAnsi"/>
          <w:szCs w:val="24"/>
        </w:rPr>
      </w:pPr>
      <w:r>
        <w:rPr>
          <w:szCs w:val="24"/>
        </w:rPr>
        <w:t>18</w:t>
      </w:r>
      <w:r w:rsidR="00E12E1D">
        <w:rPr>
          <w:szCs w:val="24"/>
        </w:rPr>
        <w:t>.</w:t>
      </w:r>
      <w:r w:rsidR="00E12E1D">
        <w:rPr>
          <w:szCs w:val="24"/>
        </w:rPr>
        <w:tab/>
        <w:t xml:space="preserve">That if a party does not file a reply brief, it will be assumed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w:t>
      </w:r>
      <w:proofErr w:type="gramStart"/>
      <w:r w:rsidR="00E12E1D">
        <w:rPr>
          <w:szCs w:val="24"/>
        </w:rPr>
        <w:t>is located in</w:t>
      </w:r>
      <w:proofErr w:type="gramEnd"/>
      <w:r w:rsidR="00E12E1D">
        <w:rPr>
          <w:szCs w:val="24"/>
        </w:rPr>
        <w:t xml:space="preserve"> the main brief and how it responds to the other parties’ assertions, contentions, or arguments.</w:t>
      </w:r>
    </w:p>
    <w:p w14:paraId="29BC1F0D" w14:textId="2FC43A58" w:rsidR="00E12E1D" w:rsidRDefault="00442F1F" w:rsidP="00E12E1D">
      <w:pPr>
        <w:spacing w:line="360" w:lineRule="auto"/>
        <w:ind w:firstLine="1440"/>
        <w:contextualSpacing/>
        <w:rPr>
          <w:szCs w:val="24"/>
        </w:rPr>
      </w:pPr>
      <w:r>
        <w:rPr>
          <w:szCs w:val="24"/>
        </w:rPr>
        <w:lastRenderedPageBreak/>
        <w:t>19</w:t>
      </w:r>
      <w:r w:rsidR="00E12E1D">
        <w:rPr>
          <w:szCs w:val="24"/>
        </w:rPr>
        <w:t>.</w:t>
      </w:r>
      <w:r w:rsidR="00E12E1D">
        <w:rPr>
          <w:szCs w:val="24"/>
        </w:rPr>
        <w:tab/>
        <w:t>That any brief not filed and served on or before the date fixed therefore will not be accepted for filing, except by permission for good cause.</w:t>
      </w:r>
    </w:p>
    <w:p w14:paraId="30FFFD81" w14:textId="77777777" w:rsidR="00E12E1D" w:rsidRDefault="00E12E1D" w:rsidP="00E12E1D">
      <w:pPr>
        <w:spacing w:line="360" w:lineRule="auto"/>
        <w:contextualSpacing/>
        <w:rPr>
          <w:szCs w:val="24"/>
        </w:rPr>
      </w:pPr>
    </w:p>
    <w:p w14:paraId="67AD1826" w14:textId="72AA8D1C" w:rsidR="00E12E1D" w:rsidRDefault="00E12E1D" w:rsidP="00E12E1D">
      <w:pPr>
        <w:spacing w:line="360" w:lineRule="auto"/>
        <w:ind w:firstLine="1440"/>
        <w:contextualSpacing/>
        <w:rPr>
          <w:szCs w:val="24"/>
        </w:rPr>
      </w:pPr>
      <w:r>
        <w:rPr>
          <w:szCs w:val="24"/>
        </w:rPr>
        <w:t>2</w:t>
      </w:r>
      <w:r w:rsidR="00442F1F">
        <w:rPr>
          <w:szCs w:val="24"/>
        </w:rPr>
        <w:t>0</w:t>
      </w:r>
      <w:r>
        <w:rPr>
          <w:szCs w:val="24"/>
        </w:rPr>
        <w:t>.</w:t>
      </w:r>
      <w:r>
        <w:rPr>
          <w:szCs w:val="24"/>
        </w:rPr>
        <w:tab/>
        <w:t xml:space="preserve">That the parties are to confer among themselves </w:t>
      </w:r>
      <w:proofErr w:type="gramStart"/>
      <w:r>
        <w:rPr>
          <w:szCs w:val="24"/>
        </w:rPr>
        <w:t>in an attempt to</w:t>
      </w:r>
      <w:proofErr w:type="gramEnd"/>
      <w:r>
        <w:rPr>
          <w:szCs w:val="24"/>
        </w:rPr>
        <w:t xml:space="preserve"> resolve all or some of the issues associated with these Complaints.  The parties are reminded it is the Commission’s policy to encourage settlements.  52 Pa.Code § 5.231(a).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the undersigned.</w:t>
      </w:r>
    </w:p>
    <w:p w14:paraId="76846549" w14:textId="77777777" w:rsidR="00E12E1D" w:rsidRDefault="00E12E1D" w:rsidP="00E12E1D">
      <w:pPr>
        <w:spacing w:line="360" w:lineRule="auto"/>
        <w:contextualSpacing/>
        <w:rPr>
          <w:szCs w:val="24"/>
        </w:rPr>
      </w:pPr>
    </w:p>
    <w:p w14:paraId="502E888C" w14:textId="329EA8DB" w:rsidR="00E12E1D" w:rsidRDefault="00442F1F" w:rsidP="00E12E1D">
      <w:pPr>
        <w:spacing w:line="360" w:lineRule="auto"/>
        <w:ind w:firstLine="1440"/>
        <w:contextualSpacing/>
        <w:rPr>
          <w:szCs w:val="24"/>
        </w:rPr>
      </w:pPr>
      <w:r>
        <w:rPr>
          <w:szCs w:val="24"/>
        </w:rPr>
        <w:t>21</w:t>
      </w:r>
      <w:r w:rsidR="00E12E1D">
        <w:rPr>
          <w:szCs w:val="24"/>
        </w:rPr>
        <w:t>.</w:t>
      </w:r>
      <w:r w:rsidR="00E12E1D">
        <w:rPr>
          <w:szCs w:val="24"/>
        </w:rPr>
        <w:tab/>
        <w:t xml:space="preserve">That any provision of this prehearing order may be modified upon motion and good cause shown by any party in interest in accordance with 52 Pa.Code § 5.223(a). </w:t>
      </w:r>
    </w:p>
    <w:p w14:paraId="3BCE1EC9" w14:textId="77777777" w:rsidR="00C36399" w:rsidRDefault="00C36399" w:rsidP="00C36399">
      <w:pPr>
        <w:spacing w:line="360" w:lineRule="auto"/>
        <w:rPr>
          <w:szCs w:val="24"/>
        </w:rPr>
      </w:pPr>
    </w:p>
    <w:p w14:paraId="6D7FE35A" w14:textId="77777777" w:rsidR="00C36399" w:rsidRDefault="00C36399" w:rsidP="00C36399">
      <w:pPr>
        <w:spacing w:line="360" w:lineRule="auto"/>
        <w:rPr>
          <w:szCs w:val="24"/>
        </w:rPr>
      </w:pPr>
    </w:p>
    <w:p w14:paraId="5E41E7D5" w14:textId="2F8AFFB6" w:rsidR="00C36399" w:rsidRDefault="00C36399" w:rsidP="00C36399">
      <w:pPr>
        <w:rPr>
          <w:b/>
          <w:szCs w:val="24"/>
        </w:rPr>
      </w:pPr>
      <w:r>
        <w:rPr>
          <w:szCs w:val="24"/>
        </w:rPr>
        <w:t xml:space="preserve">Date:  </w:t>
      </w:r>
      <w:r w:rsidR="005A362A">
        <w:rPr>
          <w:szCs w:val="24"/>
          <w:u w:val="single"/>
        </w:rPr>
        <w:t>February 22, 2023</w:t>
      </w:r>
      <w:r>
        <w:rPr>
          <w:szCs w:val="24"/>
        </w:rPr>
        <w:tab/>
        <w:t xml:space="preserve">   </w:t>
      </w:r>
      <w:r>
        <w:rPr>
          <w:szCs w:val="24"/>
        </w:rPr>
        <w:tab/>
      </w:r>
      <w:r>
        <w:rPr>
          <w:szCs w:val="24"/>
        </w:rPr>
        <w:tab/>
      </w:r>
      <w:r>
        <w:rPr>
          <w:szCs w:val="24"/>
        </w:rPr>
        <w:tab/>
      </w:r>
      <w:r>
        <w:rPr>
          <w:szCs w:val="24"/>
          <w:u w:val="single"/>
        </w:rPr>
        <w:tab/>
      </w:r>
      <w:r>
        <w:rPr>
          <w:szCs w:val="24"/>
          <w:u w:val="single"/>
        </w:rPr>
        <w:tab/>
        <w:t>/s/</w:t>
      </w:r>
      <w:r>
        <w:rPr>
          <w:szCs w:val="24"/>
          <w:u w:val="single"/>
        </w:rPr>
        <w:tab/>
      </w:r>
      <w:r>
        <w:rPr>
          <w:szCs w:val="24"/>
          <w:u w:val="single"/>
        </w:rPr>
        <w:tab/>
      </w:r>
      <w:r>
        <w:rPr>
          <w:szCs w:val="24"/>
          <w:u w:val="single"/>
        </w:rPr>
        <w:tab/>
      </w:r>
      <w:r>
        <w:rPr>
          <w:szCs w:val="24"/>
          <w:u w:val="single"/>
        </w:rPr>
        <w:tab/>
      </w:r>
    </w:p>
    <w:p w14:paraId="2167C533" w14:textId="77777777" w:rsidR="00C36399" w:rsidRDefault="00C36399" w:rsidP="00C36399">
      <w:pPr>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rPr>
        <w:t>Marta Guhl</w:t>
      </w:r>
    </w:p>
    <w:p w14:paraId="250501CE" w14:textId="77777777" w:rsidR="00C36399" w:rsidRDefault="00C36399" w:rsidP="00C36399">
      <w:pPr>
        <w:rPr>
          <w:szCs w:val="24"/>
        </w:rPr>
      </w:pPr>
      <w:r>
        <w:rPr>
          <w:szCs w:val="24"/>
        </w:rPr>
        <w:tab/>
      </w:r>
      <w:r>
        <w:rPr>
          <w:szCs w:val="24"/>
        </w:rPr>
        <w:tab/>
      </w:r>
      <w:r>
        <w:rPr>
          <w:szCs w:val="24"/>
        </w:rPr>
        <w:tab/>
      </w:r>
      <w:r>
        <w:rPr>
          <w:szCs w:val="24"/>
        </w:rPr>
        <w:tab/>
      </w:r>
      <w:r>
        <w:rPr>
          <w:szCs w:val="24"/>
        </w:rPr>
        <w:tab/>
      </w:r>
      <w:r>
        <w:rPr>
          <w:szCs w:val="24"/>
        </w:rPr>
        <w:tab/>
      </w:r>
      <w:r>
        <w:rPr>
          <w:szCs w:val="24"/>
        </w:rPr>
        <w:tab/>
        <w:t>Administrative Law Judge</w:t>
      </w:r>
    </w:p>
    <w:p w14:paraId="4C23123A" w14:textId="77777777" w:rsidR="00C36399" w:rsidRDefault="00C36399" w:rsidP="00C36399">
      <w:pPr>
        <w:spacing w:after="160" w:line="256" w:lineRule="auto"/>
      </w:pPr>
      <w:r>
        <w:br w:type="page"/>
      </w:r>
    </w:p>
    <w:p w14:paraId="31406BF7" w14:textId="6E9DA3F9" w:rsidR="009E54F1" w:rsidRPr="009E54F1" w:rsidRDefault="009E54F1" w:rsidP="009E54F1">
      <w:pPr>
        <w:spacing w:after="160" w:line="259" w:lineRule="auto"/>
        <w:rPr>
          <w:rFonts w:eastAsia="Microsoft Sans Serif"/>
          <w:szCs w:val="24"/>
        </w:rPr>
      </w:pPr>
      <w:r w:rsidRPr="009E54F1">
        <w:rPr>
          <w:rFonts w:eastAsia="Microsoft Sans Serif"/>
          <w:b/>
          <w:szCs w:val="24"/>
          <w:u w:val="single"/>
        </w:rPr>
        <w:lastRenderedPageBreak/>
        <w:t xml:space="preserve">R-2022-3034229 – Pennsylvania Public Utility Commission v. </w:t>
      </w:r>
      <w:r w:rsidRPr="009E54F1">
        <w:rPr>
          <w:rFonts w:eastAsiaTheme="minorEastAsia"/>
          <w:b/>
          <w:bCs/>
          <w:szCs w:val="24"/>
          <w:u w:val="single"/>
        </w:rPr>
        <w:t>Philadelphia Gas Works</w:t>
      </w:r>
      <w:r w:rsidRPr="009E54F1">
        <w:rPr>
          <w:rFonts w:eastAsiaTheme="minorEastAsia"/>
          <w:szCs w:val="24"/>
          <w:u w:val="single"/>
        </w:rPr>
        <w:t xml:space="preserve"> </w:t>
      </w:r>
      <w:r w:rsidRPr="009E54F1">
        <w:rPr>
          <w:rFonts w:eastAsiaTheme="minorEastAsia"/>
          <w:szCs w:val="24"/>
          <w:u w:val="single"/>
        </w:rPr>
        <w:br/>
      </w:r>
      <w:r w:rsidRPr="009E54F1">
        <w:rPr>
          <w:rFonts w:eastAsiaTheme="minorEastAsia"/>
          <w:szCs w:val="24"/>
          <w:u w:val="single"/>
        </w:rPr>
        <w:br/>
      </w:r>
      <w:r w:rsidRPr="009E54F1">
        <w:rPr>
          <w:rFonts w:eastAsia="Microsoft Sans Serif"/>
          <w:b/>
          <w:szCs w:val="24"/>
          <w:u w:val="single"/>
        </w:rPr>
        <w:t xml:space="preserve">P-2022-3034264 – Petition of Philadelphia Gas Works for Approval on Less than Statutory Notice of Tariff Supplement Revising Weather Normalization Adjustment  </w:t>
      </w:r>
      <w:r w:rsidRPr="009E54F1">
        <w:rPr>
          <w:rFonts w:eastAsia="Microsoft Sans Serif"/>
          <w:szCs w:val="24"/>
        </w:rPr>
        <w:t>=</w:t>
      </w:r>
    </w:p>
    <w:p w14:paraId="3B3ED959" w14:textId="77777777" w:rsidR="009E54F1" w:rsidRPr="009E54F1" w:rsidRDefault="009E54F1" w:rsidP="009E54F1">
      <w:pPr>
        <w:spacing w:after="160" w:line="259" w:lineRule="auto"/>
        <w:rPr>
          <w:rFonts w:eastAsia="Microsoft Sans Serif"/>
          <w:szCs w:val="24"/>
        </w:rPr>
      </w:pPr>
    </w:p>
    <w:p w14:paraId="75250099" w14:textId="77777777" w:rsidR="009E54F1" w:rsidRPr="009E54F1" w:rsidRDefault="009E54F1" w:rsidP="009E54F1">
      <w:pPr>
        <w:spacing w:after="160" w:line="259" w:lineRule="auto"/>
        <w:rPr>
          <w:rFonts w:eastAsia="Microsoft Sans Serif"/>
          <w:szCs w:val="24"/>
        </w:rPr>
        <w:sectPr w:rsidR="009E54F1" w:rsidRPr="009E54F1">
          <w:pgSz w:w="12240" w:h="15840"/>
          <w:pgMar w:top="1440" w:right="1440" w:bottom="1440" w:left="1440" w:header="720" w:footer="720" w:gutter="0"/>
          <w:cols w:space="720"/>
          <w:docGrid w:linePitch="360"/>
        </w:sectPr>
      </w:pPr>
    </w:p>
    <w:p w14:paraId="6F42A582" w14:textId="488BEE39" w:rsidR="009E54F1" w:rsidRPr="009E54F1" w:rsidRDefault="009E54F1" w:rsidP="009E54F1">
      <w:pPr>
        <w:spacing w:after="160" w:line="259" w:lineRule="auto"/>
        <w:rPr>
          <w:rFonts w:eastAsia="Microsoft Sans Serif"/>
          <w:i/>
          <w:iCs/>
          <w:szCs w:val="24"/>
        </w:rPr>
      </w:pPr>
      <w:r w:rsidRPr="009E54F1">
        <w:rPr>
          <w:rFonts w:eastAsia="Microsoft Sans Serif"/>
          <w:szCs w:val="24"/>
        </w:rPr>
        <w:t>KAREN O. MOURY ESQUIRE</w:t>
      </w:r>
      <w:r w:rsidRPr="009E54F1">
        <w:rPr>
          <w:rFonts w:eastAsia="Microsoft Sans Serif"/>
          <w:szCs w:val="24"/>
        </w:rPr>
        <w:br/>
        <w:t>DANIEL CLEARFIELD ESQUIRE</w:t>
      </w:r>
      <w:r w:rsidRPr="009E54F1">
        <w:rPr>
          <w:rFonts w:eastAsia="Microsoft Sans Serif"/>
          <w:szCs w:val="24"/>
        </w:rPr>
        <w:cr/>
        <w:t>ECKERT SEAMANS CHERIN &amp; MELLOTT LLC</w:t>
      </w:r>
      <w:r w:rsidRPr="009E54F1">
        <w:rPr>
          <w:rFonts w:eastAsia="Microsoft Sans Serif"/>
          <w:szCs w:val="24"/>
        </w:rPr>
        <w:cr/>
        <w:t>213 MARKET STREET 8TH FL</w:t>
      </w:r>
      <w:r w:rsidRPr="009E54F1">
        <w:rPr>
          <w:rFonts w:eastAsia="Microsoft Sans Serif"/>
          <w:szCs w:val="24"/>
        </w:rPr>
        <w:cr/>
        <w:t>HARRISBURG PA  17101</w:t>
      </w:r>
      <w:r w:rsidRPr="009E54F1">
        <w:rPr>
          <w:rFonts w:eastAsia="Microsoft Sans Serif"/>
          <w:szCs w:val="24"/>
        </w:rPr>
        <w:cr/>
      </w:r>
      <w:r w:rsidRPr="009E54F1">
        <w:rPr>
          <w:rFonts w:eastAsia="Microsoft Sans Serif"/>
          <w:b/>
          <w:bCs/>
          <w:szCs w:val="24"/>
        </w:rPr>
        <w:t>717.237.6036</w:t>
      </w:r>
      <w:r w:rsidRPr="009E54F1">
        <w:rPr>
          <w:rFonts w:eastAsia="Microsoft Sans Serif"/>
          <w:b/>
          <w:bCs/>
          <w:szCs w:val="24"/>
        </w:rPr>
        <w:cr/>
        <w:t>717.571.1420</w:t>
      </w:r>
      <w:r w:rsidRPr="009E54F1">
        <w:rPr>
          <w:rFonts w:eastAsia="Microsoft Sans Serif"/>
          <w:szCs w:val="24"/>
        </w:rPr>
        <w:cr/>
      </w:r>
      <w:hyperlink r:id="rId7" w:history="1">
        <w:r w:rsidRPr="009E54F1">
          <w:rPr>
            <w:rFonts w:eastAsia="Microsoft Sans Serif"/>
            <w:color w:val="0563C1" w:themeColor="hyperlink"/>
            <w:szCs w:val="24"/>
            <w:u w:val="single"/>
          </w:rPr>
          <w:t>kmoury@eckertseamans.com</w:t>
        </w:r>
      </w:hyperlink>
      <w:r w:rsidRPr="009E54F1">
        <w:rPr>
          <w:rFonts w:eastAsia="Microsoft Sans Serif"/>
          <w:color w:val="0563C1" w:themeColor="hyperlink"/>
          <w:szCs w:val="24"/>
          <w:u w:val="single"/>
        </w:rPr>
        <w:br/>
      </w:r>
      <w:r w:rsidRPr="009E54F1">
        <w:rPr>
          <w:rFonts w:eastAsiaTheme="minorEastAsia"/>
          <w:color w:val="0563C1" w:themeColor="hyperlink"/>
          <w:szCs w:val="24"/>
          <w:u w:val="single"/>
        </w:rPr>
        <w:t>dclearfield@eckertseamans.com</w:t>
      </w:r>
      <w:r w:rsidRPr="009E54F1">
        <w:rPr>
          <w:rFonts w:eastAsiaTheme="minorEastAsia"/>
          <w:color w:val="0563C1" w:themeColor="hyperlink"/>
          <w:szCs w:val="24"/>
          <w:u w:val="single"/>
        </w:rPr>
        <w:br/>
      </w:r>
      <w:r w:rsidRPr="009E54F1">
        <w:rPr>
          <w:rFonts w:eastAsia="Microsoft Sans Serif"/>
          <w:szCs w:val="24"/>
        </w:rPr>
        <w:t>Accepts eService</w:t>
      </w:r>
      <w:r w:rsidRPr="009E54F1">
        <w:rPr>
          <w:rFonts w:eastAsia="Microsoft Sans Serif"/>
          <w:szCs w:val="24"/>
        </w:rPr>
        <w:br/>
      </w:r>
      <w:r w:rsidRPr="009E54F1">
        <w:rPr>
          <w:rFonts w:eastAsia="Microsoft Sans Serif"/>
          <w:i/>
          <w:iCs/>
          <w:szCs w:val="24"/>
        </w:rPr>
        <w:t>(Counsel for Philadelphia Gas Works)</w:t>
      </w:r>
      <w:r w:rsidRPr="009E54F1">
        <w:rPr>
          <w:rFonts w:eastAsia="Microsoft Sans Serif"/>
          <w:szCs w:val="24"/>
        </w:rPr>
        <w:cr/>
      </w:r>
      <w:r w:rsidRPr="009E54F1">
        <w:rPr>
          <w:rFonts w:eastAsia="Microsoft Sans Serif"/>
          <w:szCs w:val="24"/>
        </w:rPr>
        <w:br/>
        <w:t>CRAIG W BERRY ESQUIRE</w:t>
      </w:r>
      <w:r w:rsidRPr="009E54F1">
        <w:rPr>
          <w:rFonts w:eastAsia="Microsoft Sans Serif"/>
          <w:szCs w:val="24"/>
        </w:rPr>
        <w:cr/>
        <w:t>PHILADELPHIA GAS WORKS</w:t>
      </w:r>
      <w:r w:rsidRPr="009E54F1">
        <w:rPr>
          <w:rFonts w:eastAsia="Microsoft Sans Serif"/>
          <w:szCs w:val="24"/>
        </w:rPr>
        <w:cr/>
        <w:t>800 W MONTGOMERY AVENUE</w:t>
      </w:r>
      <w:r w:rsidRPr="009E54F1">
        <w:rPr>
          <w:rFonts w:eastAsia="Microsoft Sans Serif"/>
          <w:szCs w:val="24"/>
        </w:rPr>
        <w:cr/>
        <w:t>PHILADELPHIA PA  19122</w:t>
      </w:r>
      <w:r w:rsidRPr="009E54F1">
        <w:rPr>
          <w:rFonts w:eastAsia="Microsoft Sans Serif"/>
          <w:szCs w:val="24"/>
        </w:rPr>
        <w:cr/>
        <w:t>215-684-6049</w:t>
      </w:r>
      <w:r w:rsidRPr="009E54F1">
        <w:rPr>
          <w:rFonts w:eastAsia="Microsoft Sans Serif"/>
          <w:szCs w:val="24"/>
        </w:rPr>
        <w:cr/>
        <w:t>703-895-1396</w:t>
      </w:r>
      <w:r w:rsidRPr="009E54F1">
        <w:rPr>
          <w:rFonts w:eastAsia="Microsoft Sans Serif"/>
          <w:szCs w:val="24"/>
        </w:rPr>
        <w:cr/>
      </w:r>
      <w:r w:rsidRPr="009E54F1">
        <w:rPr>
          <w:rFonts w:eastAsiaTheme="minorEastAsia"/>
          <w:color w:val="0563C1" w:themeColor="hyperlink"/>
          <w:szCs w:val="24"/>
          <w:u w:val="single"/>
        </w:rPr>
        <w:t>craig.berry@pgworks.com</w:t>
      </w:r>
      <w:r w:rsidRPr="009E54F1">
        <w:rPr>
          <w:rFonts w:eastAsia="Microsoft Sans Serif"/>
          <w:szCs w:val="24"/>
        </w:rPr>
        <w:cr/>
        <w:t>Accepts eService</w:t>
      </w:r>
      <w:r w:rsidRPr="009E54F1">
        <w:rPr>
          <w:rFonts w:eastAsia="Microsoft Sans Serif"/>
          <w:szCs w:val="24"/>
        </w:rPr>
        <w:br/>
      </w:r>
      <w:r w:rsidRPr="009E54F1">
        <w:rPr>
          <w:rFonts w:eastAsia="Microsoft Sans Serif"/>
          <w:szCs w:val="24"/>
        </w:rPr>
        <w:cr/>
        <w:t>ARON J. BEATTY ESQUIRE</w:t>
      </w:r>
      <w:r w:rsidRPr="009E54F1">
        <w:rPr>
          <w:rFonts w:eastAsia="Microsoft Sans Serif"/>
          <w:szCs w:val="24"/>
        </w:rPr>
        <w:br/>
        <w:t>FORUM PLACE</w:t>
      </w:r>
      <w:r w:rsidRPr="009E54F1">
        <w:rPr>
          <w:rFonts w:eastAsia="Microsoft Sans Serif"/>
          <w:szCs w:val="24"/>
        </w:rPr>
        <w:cr/>
        <w:t>555 WALNUT STREET 5TH FLOOR</w:t>
      </w:r>
      <w:r w:rsidRPr="009E54F1">
        <w:rPr>
          <w:rFonts w:eastAsia="Microsoft Sans Serif"/>
          <w:szCs w:val="24"/>
        </w:rPr>
        <w:cr/>
        <w:t>HARRISBURG PA  17101</w:t>
      </w:r>
      <w:r w:rsidRPr="009E54F1">
        <w:rPr>
          <w:rFonts w:eastAsia="Microsoft Sans Serif"/>
          <w:szCs w:val="24"/>
        </w:rPr>
        <w:cr/>
      </w:r>
      <w:r w:rsidRPr="009E54F1">
        <w:rPr>
          <w:rFonts w:eastAsia="Microsoft Sans Serif"/>
          <w:b/>
          <w:bCs/>
          <w:szCs w:val="24"/>
        </w:rPr>
        <w:t>717.783.5048</w:t>
      </w:r>
      <w:r w:rsidRPr="009E54F1">
        <w:rPr>
          <w:rFonts w:eastAsia="Microsoft Sans Serif"/>
          <w:b/>
          <w:bCs/>
          <w:szCs w:val="24"/>
        </w:rPr>
        <w:cr/>
        <w:t>717.780.4517</w:t>
      </w:r>
      <w:r w:rsidRPr="009E54F1">
        <w:rPr>
          <w:rFonts w:eastAsia="Microsoft Sans Serif"/>
          <w:b/>
          <w:bCs/>
          <w:szCs w:val="24"/>
        </w:rPr>
        <w:cr/>
      </w:r>
      <w:hyperlink r:id="rId8" w:history="1">
        <w:r w:rsidRPr="009E54F1">
          <w:rPr>
            <w:rFonts w:eastAsia="Microsoft Sans Serif"/>
            <w:color w:val="0563C1" w:themeColor="hyperlink"/>
            <w:szCs w:val="24"/>
            <w:u w:val="single"/>
          </w:rPr>
          <w:t>abeatty@paoca.org</w:t>
        </w:r>
      </w:hyperlink>
      <w:r w:rsidRPr="009E54F1">
        <w:rPr>
          <w:rFonts w:eastAsia="Microsoft Sans Serif"/>
          <w:szCs w:val="24"/>
        </w:rPr>
        <w:br/>
        <w:t>Accepts eService</w:t>
      </w:r>
      <w:r w:rsidRPr="009E54F1">
        <w:rPr>
          <w:rFonts w:eastAsia="Microsoft Sans Serif"/>
          <w:szCs w:val="24"/>
        </w:rPr>
        <w:br/>
      </w:r>
      <w:r w:rsidRPr="009E54F1">
        <w:rPr>
          <w:rFonts w:eastAsia="Microsoft Sans Serif"/>
          <w:i/>
          <w:iCs/>
          <w:szCs w:val="24"/>
        </w:rPr>
        <w:t>(Counsel for Office of Consumer Advocate)</w:t>
      </w:r>
    </w:p>
    <w:p w14:paraId="6AD44E4E" w14:textId="77777777" w:rsidR="009E54F1" w:rsidRPr="009E54F1" w:rsidRDefault="009E54F1" w:rsidP="009E54F1">
      <w:pPr>
        <w:spacing w:after="160" w:line="259" w:lineRule="auto"/>
        <w:rPr>
          <w:rFonts w:eastAsia="Microsoft Sans Serif"/>
          <w:szCs w:val="24"/>
        </w:rPr>
      </w:pPr>
      <w:r w:rsidRPr="009E54F1">
        <w:rPr>
          <w:rFonts w:eastAsia="Microsoft Sans Serif"/>
          <w:szCs w:val="24"/>
        </w:rPr>
        <w:t>SHARON E. WEBB ESQUIRE</w:t>
      </w:r>
      <w:r w:rsidRPr="009E54F1">
        <w:rPr>
          <w:rFonts w:eastAsia="Microsoft Sans Serif"/>
          <w:szCs w:val="24"/>
        </w:rPr>
        <w:cr/>
        <w:t>FORUM PLACE</w:t>
      </w:r>
      <w:r w:rsidRPr="009E54F1">
        <w:rPr>
          <w:rFonts w:eastAsia="Microsoft Sans Serif"/>
          <w:szCs w:val="24"/>
        </w:rPr>
        <w:cr/>
        <w:t>555 WALNUT STREET 1ST FLOOR</w:t>
      </w:r>
      <w:r w:rsidRPr="009E54F1">
        <w:rPr>
          <w:rFonts w:eastAsia="Microsoft Sans Serif"/>
          <w:szCs w:val="24"/>
        </w:rPr>
        <w:cr/>
        <w:t>HARRISBURG PA  17101</w:t>
      </w:r>
      <w:r w:rsidRPr="009E54F1">
        <w:rPr>
          <w:rFonts w:eastAsia="Microsoft Sans Serif"/>
          <w:szCs w:val="24"/>
        </w:rPr>
        <w:cr/>
      </w:r>
      <w:r w:rsidRPr="009E54F1">
        <w:rPr>
          <w:rFonts w:eastAsia="Microsoft Sans Serif"/>
          <w:b/>
          <w:bCs/>
          <w:szCs w:val="24"/>
        </w:rPr>
        <w:t>717.783.2525</w:t>
      </w:r>
      <w:r w:rsidRPr="009E54F1">
        <w:rPr>
          <w:rFonts w:eastAsia="Microsoft Sans Serif"/>
          <w:b/>
          <w:bCs/>
          <w:szCs w:val="24"/>
        </w:rPr>
        <w:cr/>
      </w:r>
      <w:hyperlink r:id="rId9" w:history="1">
        <w:r w:rsidRPr="009E54F1">
          <w:rPr>
            <w:rFonts w:eastAsia="Microsoft Sans Serif"/>
            <w:color w:val="0563C1" w:themeColor="hyperlink"/>
            <w:szCs w:val="24"/>
            <w:u w:val="single"/>
          </w:rPr>
          <w:t>swebb@pa.gov</w:t>
        </w:r>
      </w:hyperlink>
      <w:r w:rsidRPr="009E54F1">
        <w:rPr>
          <w:rFonts w:eastAsia="Microsoft Sans Serif"/>
          <w:szCs w:val="24"/>
        </w:rPr>
        <w:br/>
      </w:r>
      <w:r w:rsidRPr="009E54F1">
        <w:rPr>
          <w:rFonts w:eastAsia="Microsoft Sans Serif"/>
          <w:i/>
          <w:iCs/>
          <w:szCs w:val="24"/>
        </w:rPr>
        <w:t>(Counsel for Office of Small Business Advocate)</w:t>
      </w:r>
      <w:r w:rsidRPr="009E54F1">
        <w:rPr>
          <w:rFonts w:eastAsia="Microsoft Sans Serif"/>
          <w:i/>
          <w:iCs/>
          <w:szCs w:val="24"/>
        </w:rPr>
        <w:cr/>
      </w:r>
      <w:r w:rsidRPr="009E54F1">
        <w:rPr>
          <w:rFonts w:eastAsia="Microsoft Sans Serif"/>
          <w:szCs w:val="24"/>
        </w:rPr>
        <w:cr/>
        <w:t>CARRIE B WRIGHT ESQUIRE</w:t>
      </w:r>
      <w:r w:rsidRPr="009E54F1">
        <w:rPr>
          <w:rFonts w:eastAsia="Microsoft Sans Serif"/>
          <w:szCs w:val="24"/>
        </w:rPr>
        <w:cr/>
        <w:t>PA PUC BIE</w:t>
      </w:r>
      <w:r w:rsidRPr="009E54F1">
        <w:rPr>
          <w:rFonts w:eastAsia="Microsoft Sans Serif"/>
          <w:szCs w:val="24"/>
        </w:rPr>
        <w:br/>
        <w:t>400 NORTH STREET</w:t>
      </w:r>
      <w:r w:rsidRPr="009E54F1">
        <w:rPr>
          <w:rFonts w:eastAsia="Microsoft Sans Serif"/>
          <w:szCs w:val="24"/>
        </w:rPr>
        <w:cr/>
        <w:t>HARRISBURG PA  17120</w:t>
      </w:r>
      <w:r w:rsidRPr="009E54F1">
        <w:rPr>
          <w:rFonts w:eastAsia="Microsoft Sans Serif"/>
          <w:szCs w:val="24"/>
        </w:rPr>
        <w:cr/>
      </w:r>
      <w:r w:rsidRPr="009E54F1">
        <w:rPr>
          <w:rFonts w:eastAsia="Microsoft Sans Serif"/>
          <w:b/>
          <w:bCs/>
          <w:szCs w:val="24"/>
        </w:rPr>
        <w:t>717.783.6156</w:t>
      </w:r>
      <w:r w:rsidRPr="009E54F1">
        <w:rPr>
          <w:rFonts w:eastAsia="Microsoft Sans Serif"/>
          <w:szCs w:val="24"/>
        </w:rPr>
        <w:cr/>
      </w:r>
      <w:hyperlink r:id="rId10" w:history="1">
        <w:r w:rsidRPr="009E54F1">
          <w:rPr>
            <w:rFonts w:eastAsiaTheme="minorEastAsia"/>
            <w:color w:val="0563C1" w:themeColor="hyperlink"/>
            <w:szCs w:val="24"/>
            <w:u w:val="single"/>
          </w:rPr>
          <w:t>carwright@pa.gov</w:t>
        </w:r>
      </w:hyperlink>
      <w:r w:rsidRPr="009E54F1">
        <w:rPr>
          <w:rFonts w:eastAsia="Microsoft Sans Serif"/>
          <w:szCs w:val="24"/>
        </w:rPr>
        <w:br/>
        <w:t xml:space="preserve">Accepts </w:t>
      </w:r>
      <w:proofErr w:type="gramStart"/>
      <w:r w:rsidRPr="009E54F1">
        <w:rPr>
          <w:rFonts w:eastAsia="Microsoft Sans Serif"/>
          <w:szCs w:val="24"/>
        </w:rPr>
        <w:t>eService</w:t>
      </w:r>
      <w:proofErr w:type="gramEnd"/>
      <w:r w:rsidRPr="009E54F1">
        <w:rPr>
          <w:rFonts w:eastAsia="Microsoft Sans Serif"/>
          <w:szCs w:val="24"/>
        </w:rPr>
        <w:cr/>
      </w:r>
    </w:p>
    <w:p w14:paraId="6DCCFDB2" w14:textId="589E320D" w:rsidR="009E54F1" w:rsidRPr="009E54F1" w:rsidRDefault="009E54F1" w:rsidP="009E54F1">
      <w:pPr>
        <w:spacing w:after="160" w:line="259" w:lineRule="auto"/>
        <w:rPr>
          <w:rFonts w:eastAsia="Microsoft Sans Serif"/>
          <w:i/>
          <w:iCs/>
          <w:szCs w:val="24"/>
        </w:rPr>
      </w:pPr>
      <w:r w:rsidRPr="009E54F1">
        <w:rPr>
          <w:rFonts w:eastAsia="Microsoft Sans Serif"/>
          <w:szCs w:val="24"/>
        </w:rPr>
        <w:t xml:space="preserve">JOHN W. SWEET ESQUIRE </w:t>
      </w:r>
      <w:r w:rsidRPr="009E54F1">
        <w:rPr>
          <w:rFonts w:eastAsia="Microsoft Sans Serif"/>
          <w:szCs w:val="24"/>
        </w:rPr>
        <w:br/>
        <w:t xml:space="preserve">ELIZABETH R. MARX </w:t>
      </w:r>
      <w:bookmarkStart w:id="1" w:name="_Hlk114231888"/>
      <w:r w:rsidRPr="009E54F1">
        <w:rPr>
          <w:rFonts w:eastAsia="Microsoft Sans Serif"/>
          <w:szCs w:val="24"/>
        </w:rPr>
        <w:t>ESQUIRE</w:t>
      </w:r>
      <w:bookmarkEnd w:id="1"/>
      <w:r w:rsidRPr="009E54F1">
        <w:rPr>
          <w:rFonts w:eastAsia="Microsoft Sans Serif"/>
          <w:szCs w:val="24"/>
        </w:rPr>
        <w:br/>
        <w:t>RIA M. PEREIRA ESQUIRE</w:t>
      </w:r>
      <w:r w:rsidRPr="009E54F1">
        <w:rPr>
          <w:rFonts w:eastAsia="Microsoft Sans Serif"/>
          <w:szCs w:val="24"/>
        </w:rPr>
        <w:br/>
        <w:t>LAUREN N. BERMAN ESQUIRE</w:t>
      </w:r>
      <w:r w:rsidRPr="009E54F1">
        <w:rPr>
          <w:rFonts w:eastAsia="Microsoft Sans Serif"/>
          <w:szCs w:val="24"/>
        </w:rPr>
        <w:cr/>
        <w:t>118 LOCUST STREET</w:t>
      </w:r>
      <w:r w:rsidRPr="009E54F1">
        <w:rPr>
          <w:rFonts w:eastAsia="Microsoft Sans Serif"/>
          <w:szCs w:val="24"/>
        </w:rPr>
        <w:cr/>
        <w:t>HARRISBURG PA  17101</w:t>
      </w:r>
      <w:r w:rsidRPr="009E54F1">
        <w:rPr>
          <w:rFonts w:eastAsia="Microsoft Sans Serif"/>
          <w:szCs w:val="24"/>
        </w:rPr>
        <w:cr/>
      </w:r>
      <w:r w:rsidRPr="009E54F1">
        <w:rPr>
          <w:rFonts w:eastAsia="Microsoft Sans Serif"/>
          <w:b/>
          <w:bCs/>
          <w:szCs w:val="24"/>
        </w:rPr>
        <w:t>717.701.3837</w:t>
      </w:r>
      <w:r w:rsidRPr="009E54F1">
        <w:rPr>
          <w:rFonts w:eastAsia="Microsoft Sans Serif"/>
          <w:b/>
          <w:bCs/>
          <w:szCs w:val="24"/>
        </w:rPr>
        <w:br/>
        <w:t>717.236.9486</w:t>
      </w:r>
      <w:r w:rsidRPr="009E54F1">
        <w:rPr>
          <w:rFonts w:eastAsia="Microsoft Sans Serif"/>
          <w:szCs w:val="24"/>
        </w:rPr>
        <w:cr/>
      </w:r>
      <w:hyperlink r:id="rId11" w:history="1">
        <w:r w:rsidRPr="009E54F1">
          <w:rPr>
            <w:rFonts w:eastAsia="Microsoft Sans Serif"/>
            <w:color w:val="0563C1" w:themeColor="hyperlink"/>
            <w:szCs w:val="24"/>
            <w:u w:val="single"/>
          </w:rPr>
          <w:t>jsweet@pautilitylawproject.org</w:t>
        </w:r>
      </w:hyperlink>
      <w:r w:rsidRPr="009E54F1">
        <w:rPr>
          <w:rFonts w:eastAsia="Microsoft Sans Serif"/>
          <w:szCs w:val="24"/>
        </w:rPr>
        <w:br/>
      </w:r>
      <w:hyperlink r:id="rId12" w:history="1">
        <w:r w:rsidRPr="009E54F1">
          <w:rPr>
            <w:rFonts w:eastAsia="Microsoft Sans Serif"/>
            <w:color w:val="0563C1" w:themeColor="hyperlink"/>
            <w:szCs w:val="24"/>
            <w:u w:val="single"/>
          </w:rPr>
          <w:t>emarx@pautilitylawproject.org</w:t>
        </w:r>
      </w:hyperlink>
      <w:r w:rsidRPr="009E54F1">
        <w:rPr>
          <w:rFonts w:eastAsia="Microsoft Sans Serif"/>
          <w:szCs w:val="24"/>
        </w:rPr>
        <w:br/>
      </w:r>
      <w:hyperlink r:id="rId13" w:history="1">
        <w:r w:rsidRPr="009E54F1">
          <w:rPr>
            <w:rFonts w:eastAsia="Microsoft Sans Serif"/>
            <w:color w:val="0563C1" w:themeColor="hyperlink"/>
            <w:szCs w:val="24"/>
            <w:u w:val="single"/>
          </w:rPr>
          <w:t>rpereira@pautilitylawproject.org</w:t>
        </w:r>
      </w:hyperlink>
      <w:r w:rsidRPr="009E54F1">
        <w:rPr>
          <w:rFonts w:eastAsia="Microsoft Sans Serif"/>
          <w:szCs w:val="24"/>
        </w:rPr>
        <w:br/>
      </w:r>
      <w:hyperlink r:id="rId14" w:history="1">
        <w:r w:rsidRPr="009E54F1">
          <w:rPr>
            <w:rFonts w:eastAsia="Microsoft Sans Serif"/>
            <w:color w:val="0563C1" w:themeColor="hyperlink"/>
            <w:szCs w:val="24"/>
            <w:u w:val="single"/>
          </w:rPr>
          <w:t>lberman@pautilitylawproject.org</w:t>
        </w:r>
      </w:hyperlink>
      <w:r w:rsidRPr="009E54F1">
        <w:rPr>
          <w:rFonts w:eastAsia="Microsoft Sans Serif"/>
          <w:szCs w:val="24"/>
        </w:rPr>
        <w:br/>
        <w:t>Accepts eService</w:t>
      </w:r>
      <w:r w:rsidRPr="009E54F1">
        <w:rPr>
          <w:rFonts w:eastAsia="Microsoft Sans Serif"/>
          <w:szCs w:val="24"/>
        </w:rPr>
        <w:br/>
      </w:r>
      <w:r w:rsidRPr="009E54F1">
        <w:rPr>
          <w:rFonts w:eastAsia="Microsoft Sans Serif"/>
          <w:i/>
          <w:iCs/>
          <w:szCs w:val="24"/>
        </w:rPr>
        <w:t>(Counsel for “CAUSE-PA”)</w:t>
      </w:r>
      <w:r w:rsidRPr="009E54F1">
        <w:rPr>
          <w:rFonts w:eastAsia="Microsoft Sans Serif"/>
          <w:i/>
          <w:iCs/>
          <w:szCs w:val="24"/>
        </w:rPr>
        <w:cr/>
      </w:r>
      <w:r w:rsidRPr="009E54F1">
        <w:rPr>
          <w:rFonts w:eastAsia="Microsoft Sans Serif"/>
          <w:szCs w:val="24"/>
        </w:rPr>
        <w:cr/>
        <w:t>ROBERT W. BALLENGER ESQUIRE</w:t>
      </w:r>
      <w:r w:rsidRPr="009E54F1">
        <w:rPr>
          <w:rFonts w:eastAsia="Microsoft Sans Serif"/>
          <w:szCs w:val="24"/>
        </w:rPr>
        <w:br/>
        <w:t>JOLINE PRICE ESQUIRE</w:t>
      </w:r>
      <w:r w:rsidRPr="009E54F1">
        <w:rPr>
          <w:rFonts w:eastAsia="Microsoft Sans Serif"/>
          <w:szCs w:val="24"/>
        </w:rPr>
        <w:cr/>
        <w:t>1424 CHESTNUT STREET</w:t>
      </w:r>
      <w:r w:rsidRPr="009E54F1">
        <w:rPr>
          <w:rFonts w:eastAsia="Microsoft Sans Serif"/>
          <w:szCs w:val="24"/>
        </w:rPr>
        <w:cr/>
        <w:t>PHILADELPHIA PA  19102</w:t>
      </w:r>
      <w:r w:rsidRPr="009E54F1">
        <w:rPr>
          <w:rFonts w:eastAsia="Microsoft Sans Serif"/>
          <w:szCs w:val="24"/>
        </w:rPr>
        <w:cr/>
      </w:r>
      <w:r w:rsidRPr="009E54F1">
        <w:rPr>
          <w:rFonts w:eastAsia="Microsoft Sans Serif"/>
          <w:b/>
          <w:bCs/>
          <w:szCs w:val="24"/>
        </w:rPr>
        <w:t>215.981.3788</w:t>
      </w:r>
      <w:r w:rsidRPr="009E54F1">
        <w:rPr>
          <w:rFonts w:eastAsia="Microsoft Sans Serif"/>
          <w:b/>
          <w:bCs/>
          <w:szCs w:val="24"/>
        </w:rPr>
        <w:br/>
        <w:t>215.981.3756</w:t>
      </w:r>
      <w:r w:rsidRPr="009E54F1">
        <w:rPr>
          <w:rFonts w:eastAsia="Microsoft Sans Serif"/>
          <w:b/>
          <w:bCs/>
          <w:szCs w:val="24"/>
        </w:rPr>
        <w:cr/>
      </w:r>
      <w:hyperlink r:id="rId15" w:history="1">
        <w:r w:rsidRPr="009E54F1">
          <w:rPr>
            <w:rFonts w:eastAsia="Microsoft Sans Serif"/>
            <w:color w:val="0563C1" w:themeColor="hyperlink"/>
            <w:szCs w:val="24"/>
            <w:u w:val="single"/>
          </w:rPr>
          <w:t>rballenger@clsphila.org</w:t>
        </w:r>
      </w:hyperlink>
      <w:r w:rsidRPr="009E54F1">
        <w:rPr>
          <w:rFonts w:eastAsia="Microsoft Sans Serif"/>
          <w:szCs w:val="24"/>
        </w:rPr>
        <w:br/>
      </w:r>
      <w:hyperlink r:id="rId16" w:history="1">
        <w:r w:rsidRPr="009E54F1">
          <w:rPr>
            <w:rFonts w:eastAsia="Microsoft Sans Serif"/>
            <w:color w:val="0563C1" w:themeColor="hyperlink"/>
            <w:szCs w:val="24"/>
            <w:u w:val="single"/>
          </w:rPr>
          <w:t>jprice@clsphila.org</w:t>
        </w:r>
      </w:hyperlink>
      <w:r w:rsidRPr="009E54F1">
        <w:rPr>
          <w:rFonts w:eastAsia="Microsoft Sans Serif"/>
          <w:szCs w:val="24"/>
        </w:rPr>
        <w:br/>
        <w:t>Accepts eService</w:t>
      </w:r>
      <w:r w:rsidRPr="009E54F1">
        <w:rPr>
          <w:rFonts w:eastAsia="Microsoft Sans Serif"/>
          <w:szCs w:val="24"/>
        </w:rPr>
        <w:br/>
      </w:r>
      <w:r w:rsidRPr="009E54F1">
        <w:rPr>
          <w:rFonts w:eastAsia="Microsoft Sans Serif"/>
          <w:i/>
          <w:iCs/>
          <w:szCs w:val="24"/>
        </w:rPr>
        <w:lastRenderedPageBreak/>
        <w:t>(Counsel for Community Legal Services, Inc.)</w:t>
      </w:r>
      <w:r w:rsidRPr="009E54F1">
        <w:rPr>
          <w:rFonts w:eastAsia="Microsoft Sans Serif"/>
          <w:szCs w:val="24"/>
        </w:rPr>
        <w:cr/>
      </w:r>
      <w:r w:rsidRPr="009E54F1">
        <w:rPr>
          <w:rFonts w:eastAsia="Microsoft Sans Serif"/>
          <w:szCs w:val="24"/>
        </w:rPr>
        <w:br/>
        <w:t>CHARIS MINCAVAGE ESQUIRE</w:t>
      </w:r>
      <w:r w:rsidRPr="009E54F1">
        <w:rPr>
          <w:rFonts w:eastAsia="Microsoft Sans Serif"/>
          <w:szCs w:val="24"/>
        </w:rPr>
        <w:br/>
        <w:t>ADEOLU A BAKARE ESQUIRE</w:t>
      </w:r>
      <w:r w:rsidRPr="009E54F1">
        <w:rPr>
          <w:rFonts w:eastAsia="Microsoft Sans Serif"/>
          <w:szCs w:val="24"/>
        </w:rPr>
        <w:cr/>
        <w:t>SARAH HIBBERT ESQUIRE</w:t>
      </w:r>
      <w:r w:rsidRPr="009E54F1">
        <w:rPr>
          <w:rFonts w:eastAsia="Microsoft Sans Serif"/>
          <w:szCs w:val="24"/>
        </w:rPr>
        <w:cr/>
        <w:t>MCNEES WALLACE &amp; NURICK LLC</w:t>
      </w:r>
      <w:r w:rsidRPr="009E54F1">
        <w:rPr>
          <w:rFonts w:eastAsia="Microsoft Sans Serif"/>
          <w:szCs w:val="24"/>
        </w:rPr>
        <w:cr/>
        <w:t>PO BOX 1166</w:t>
      </w:r>
      <w:r w:rsidRPr="009E54F1">
        <w:rPr>
          <w:rFonts w:eastAsia="Microsoft Sans Serif"/>
          <w:szCs w:val="24"/>
        </w:rPr>
        <w:cr/>
        <w:t>100 PINE STREET</w:t>
      </w:r>
      <w:r w:rsidRPr="009E54F1">
        <w:rPr>
          <w:rFonts w:eastAsia="Microsoft Sans Serif"/>
          <w:szCs w:val="24"/>
        </w:rPr>
        <w:cr/>
        <w:t>HARRISBURG PA  17108-1166</w:t>
      </w:r>
      <w:r w:rsidRPr="009E54F1">
        <w:rPr>
          <w:rFonts w:eastAsia="Microsoft Sans Serif"/>
          <w:szCs w:val="24"/>
        </w:rPr>
        <w:cr/>
      </w:r>
      <w:r w:rsidRPr="009E54F1">
        <w:rPr>
          <w:rFonts w:eastAsia="Microsoft Sans Serif"/>
          <w:b/>
          <w:bCs/>
          <w:szCs w:val="24"/>
        </w:rPr>
        <w:t>717.232.8000</w:t>
      </w:r>
      <w:r w:rsidRPr="009E54F1">
        <w:rPr>
          <w:rFonts w:eastAsia="Microsoft Sans Serif"/>
          <w:szCs w:val="24"/>
        </w:rPr>
        <w:br/>
      </w:r>
      <w:r w:rsidRPr="009E54F1">
        <w:rPr>
          <w:rFonts w:eastAsiaTheme="minorEastAsia"/>
          <w:color w:val="0563C1" w:themeColor="hyperlink"/>
          <w:szCs w:val="24"/>
          <w:u w:val="single"/>
        </w:rPr>
        <w:t>cmincavage@mwn.com</w:t>
      </w:r>
      <w:r w:rsidRPr="009E54F1">
        <w:rPr>
          <w:rFonts w:eastAsiaTheme="minorEastAsia"/>
          <w:color w:val="0563C1" w:themeColor="hyperlink"/>
          <w:szCs w:val="24"/>
          <w:u w:val="single"/>
        </w:rPr>
        <w:cr/>
        <w:t>abakare@mwn.com</w:t>
      </w:r>
      <w:r w:rsidRPr="009E54F1">
        <w:rPr>
          <w:rFonts w:eastAsia="Microsoft Sans Serif"/>
          <w:szCs w:val="24"/>
        </w:rPr>
        <w:cr/>
        <w:t>Accepts eService</w:t>
      </w:r>
      <w:r w:rsidRPr="009E54F1">
        <w:rPr>
          <w:rFonts w:eastAsiaTheme="minorEastAsia"/>
          <w:color w:val="0563C1" w:themeColor="hyperlink"/>
          <w:szCs w:val="24"/>
          <w:u w:val="single"/>
        </w:rPr>
        <w:t xml:space="preserve"> </w:t>
      </w:r>
      <w:r w:rsidRPr="009E54F1">
        <w:rPr>
          <w:rFonts w:eastAsiaTheme="minorEastAsia"/>
          <w:color w:val="0563C1" w:themeColor="hyperlink"/>
          <w:szCs w:val="24"/>
          <w:u w:val="single"/>
        </w:rPr>
        <w:br/>
      </w:r>
      <w:hyperlink r:id="rId17" w:history="1">
        <w:r w:rsidRPr="009E54F1">
          <w:rPr>
            <w:rFonts w:eastAsia="Microsoft Sans Serif"/>
            <w:color w:val="0563C1" w:themeColor="hyperlink"/>
            <w:szCs w:val="24"/>
            <w:u w:val="single"/>
          </w:rPr>
          <w:t>shibbert@mcneeslaw.com</w:t>
        </w:r>
      </w:hyperlink>
      <w:r w:rsidRPr="009E54F1">
        <w:rPr>
          <w:rFonts w:eastAsiaTheme="minorEastAsia"/>
          <w:color w:val="0563C1" w:themeColor="hyperlink"/>
          <w:szCs w:val="24"/>
          <w:u w:val="single"/>
        </w:rPr>
        <w:br/>
      </w:r>
      <w:r w:rsidRPr="009E54F1">
        <w:rPr>
          <w:rFonts w:eastAsia="Microsoft Sans Serif"/>
          <w:i/>
          <w:iCs/>
          <w:szCs w:val="24"/>
        </w:rPr>
        <w:t>(Counsel for “PI</w:t>
      </w:r>
      <w:r w:rsidR="000A2EF4">
        <w:rPr>
          <w:rFonts w:eastAsia="Microsoft Sans Serif"/>
          <w:i/>
          <w:iCs/>
          <w:szCs w:val="24"/>
        </w:rPr>
        <w:t>C</w:t>
      </w:r>
      <w:r w:rsidRPr="009E54F1">
        <w:rPr>
          <w:rFonts w:eastAsia="Microsoft Sans Serif"/>
          <w:i/>
          <w:iCs/>
          <w:szCs w:val="24"/>
        </w:rPr>
        <w:t>GUG”)</w:t>
      </w:r>
    </w:p>
    <w:p w14:paraId="5B60EFFF" w14:textId="77777777" w:rsidR="005A6C07" w:rsidRPr="009E54F1" w:rsidRDefault="005A6C07">
      <w:pPr>
        <w:rPr>
          <w:szCs w:val="24"/>
        </w:rPr>
      </w:pPr>
    </w:p>
    <w:sectPr w:rsidR="005A6C07" w:rsidRPr="009E54F1" w:rsidSect="009E54F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9F53" w14:textId="77777777" w:rsidR="00251C83" w:rsidRDefault="00251C83" w:rsidP="00E12E1D">
      <w:r>
        <w:separator/>
      </w:r>
    </w:p>
  </w:endnote>
  <w:endnote w:type="continuationSeparator" w:id="0">
    <w:p w14:paraId="024B4DAD" w14:textId="77777777" w:rsidR="00251C83" w:rsidRDefault="00251C83" w:rsidP="00E1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141B" w14:textId="77777777" w:rsidR="00251C83" w:rsidRDefault="00251C83" w:rsidP="00E12E1D">
      <w:r>
        <w:separator/>
      </w:r>
    </w:p>
  </w:footnote>
  <w:footnote w:type="continuationSeparator" w:id="0">
    <w:p w14:paraId="2314909A" w14:textId="77777777" w:rsidR="00251C83" w:rsidRDefault="00251C83" w:rsidP="00E12E1D">
      <w:r>
        <w:continuationSeparator/>
      </w:r>
    </w:p>
  </w:footnote>
  <w:footnote w:id="1">
    <w:p w14:paraId="24393369" w14:textId="77777777" w:rsidR="00E12E1D" w:rsidRDefault="00E12E1D" w:rsidP="009E54F1">
      <w:pPr>
        <w:autoSpaceDE w:val="0"/>
        <w:autoSpaceDN w:val="0"/>
        <w:ind w:firstLine="720"/>
        <w:rPr>
          <w:rFonts w:cstheme="minorBidi"/>
          <w:szCs w:val="24"/>
        </w:rPr>
      </w:pPr>
      <w:r>
        <w:rPr>
          <w:rStyle w:val="rpc411"/>
          <w:sz w:val="20"/>
          <w:vertAlign w:val="superscript"/>
        </w:rPr>
        <w:footnoteRef/>
      </w:r>
      <w:r>
        <w:rPr>
          <w:sz w:val="20"/>
          <w:vertAlign w:val="superscript"/>
        </w:rPr>
        <w:t xml:space="preserve"> </w:t>
      </w:r>
      <w:r>
        <w:tab/>
      </w:r>
      <w:r>
        <w:rPr>
          <w:sz w:val="20"/>
        </w:rPr>
        <w:t>Testimony shall not be filed with the Commission at the time of service, but parties may file a certificate of service.</w:t>
      </w:r>
    </w:p>
    <w:p w14:paraId="417600BC" w14:textId="77777777" w:rsidR="00E12E1D" w:rsidRDefault="00E12E1D" w:rsidP="00E12E1D">
      <w:pPr>
        <w:rPr>
          <w:rFonts w:eastAsiaTheme="minorHAnsi"/>
          <w:sz w:val="20"/>
        </w:rPr>
      </w:pPr>
    </w:p>
  </w:footnote>
  <w:footnote w:id="2">
    <w:p w14:paraId="670711F9" w14:textId="77777777" w:rsidR="00E12E1D" w:rsidRDefault="00E12E1D" w:rsidP="009E54F1">
      <w:pPr>
        <w:ind w:firstLine="720"/>
        <w:rPr>
          <w:rFonts w:cstheme="minorBidi"/>
          <w:sz w:val="20"/>
        </w:rPr>
      </w:pPr>
      <w:r>
        <w:rPr>
          <w:rStyle w:val="rpc411"/>
          <w:sz w:val="20"/>
          <w:vertAlign w:val="superscript"/>
        </w:rPr>
        <w:footnoteRef/>
      </w:r>
      <w:r>
        <w:rPr>
          <w:sz w:val="20"/>
        </w:rPr>
        <w:t xml:space="preserve"> </w:t>
      </w:r>
      <w:r>
        <w:rPr>
          <w:sz w:val="20"/>
        </w:rPr>
        <w:tab/>
        <w:t xml:space="preserve">In addition, each reply brief </w:t>
      </w:r>
      <w:r>
        <w:rPr>
          <w:sz w:val="20"/>
          <w:u w:val="single"/>
        </w:rPr>
        <w:t>must</w:t>
      </w:r>
      <w:r>
        <w:rPr>
          <w:sz w:val="20"/>
        </w:rPr>
        <w:t xml:space="preserve"> contain a table of contents.  All briefs must contain references to the record to support their arguments.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99"/>
    <w:rsid w:val="000371BA"/>
    <w:rsid w:val="000A2EF4"/>
    <w:rsid w:val="00207ACE"/>
    <w:rsid w:val="00251C83"/>
    <w:rsid w:val="002D4CA1"/>
    <w:rsid w:val="00305AC9"/>
    <w:rsid w:val="00442F1F"/>
    <w:rsid w:val="005A362A"/>
    <w:rsid w:val="005A6C07"/>
    <w:rsid w:val="00657D99"/>
    <w:rsid w:val="008A7378"/>
    <w:rsid w:val="009E54F1"/>
    <w:rsid w:val="00BB4AA7"/>
    <w:rsid w:val="00C36399"/>
    <w:rsid w:val="00E12E1D"/>
    <w:rsid w:val="00F1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309B"/>
  <w15:chartTrackingRefBased/>
  <w15:docId w15:val="{BE08FFA6-5527-49E4-85D4-3901519D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9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6399"/>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399"/>
    <w:rPr>
      <w:rFonts w:ascii="Times New Roman" w:eastAsia="Times New Roman" w:hAnsi="Times New Roman" w:cs="Times New Roman"/>
      <w:sz w:val="24"/>
      <w:szCs w:val="20"/>
      <w:u w:val="single"/>
    </w:rPr>
  </w:style>
  <w:style w:type="character" w:styleId="Hyperlink">
    <w:name w:val="Hyperlink"/>
    <w:basedOn w:val="DefaultParagraphFont"/>
    <w:uiPriority w:val="99"/>
    <w:semiHidden/>
    <w:unhideWhenUsed/>
    <w:rsid w:val="00C36399"/>
    <w:rPr>
      <w:color w:val="0563C1" w:themeColor="hyperlink"/>
      <w:u w:val="single"/>
    </w:rPr>
  </w:style>
  <w:style w:type="paragraph" w:styleId="Title">
    <w:name w:val="Title"/>
    <w:basedOn w:val="Normal"/>
    <w:link w:val="TitleChar"/>
    <w:qFormat/>
    <w:rsid w:val="00C36399"/>
    <w:pPr>
      <w:jc w:val="center"/>
    </w:pPr>
    <w:rPr>
      <w:b/>
    </w:rPr>
  </w:style>
  <w:style w:type="character" w:customStyle="1" w:styleId="TitleChar">
    <w:name w:val="Title Char"/>
    <w:basedOn w:val="DefaultParagraphFont"/>
    <w:link w:val="Title"/>
    <w:rsid w:val="00C36399"/>
    <w:rPr>
      <w:rFonts w:ascii="Times New Roman" w:eastAsia="Times New Roman" w:hAnsi="Times New Roman" w:cs="Times New Roman"/>
      <w:b/>
      <w:sz w:val="24"/>
      <w:szCs w:val="20"/>
    </w:rPr>
  </w:style>
  <w:style w:type="paragraph" w:styleId="Subtitle">
    <w:name w:val="Subtitle"/>
    <w:basedOn w:val="Normal"/>
    <w:link w:val="SubtitleChar"/>
    <w:qFormat/>
    <w:rsid w:val="00C36399"/>
    <w:pPr>
      <w:jc w:val="center"/>
    </w:pPr>
    <w:rPr>
      <w:b/>
    </w:rPr>
  </w:style>
  <w:style w:type="character" w:customStyle="1" w:styleId="SubtitleChar">
    <w:name w:val="Subtitle Char"/>
    <w:basedOn w:val="DefaultParagraphFont"/>
    <w:link w:val="Subtitle"/>
    <w:rsid w:val="00C36399"/>
    <w:rPr>
      <w:rFonts w:ascii="Times New Roman" w:eastAsia="Times New Roman" w:hAnsi="Times New Roman" w:cs="Times New Roman"/>
      <w:b/>
      <w:sz w:val="24"/>
      <w:szCs w:val="20"/>
    </w:rPr>
  </w:style>
  <w:style w:type="paragraph" w:styleId="BodyTextIndent2">
    <w:name w:val="Body Text Indent 2"/>
    <w:basedOn w:val="Normal"/>
    <w:link w:val="BodyTextIndent2Char"/>
    <w:semiHidden/>
    <w:unhideWhenUsed/>
    <w:rsid w:val="00C36399"/>
    <w:pPr>
      <w:spacing w:line="360" w:lineRule="auto"/>
      <w:ind w:firstLine="1440"/>
    </w:pPr>
    <w:rPr>
      <w:sz w:val="26"/>
    </w:rPr>
  </w:style>
  <w:style w:type="character" w:customStyle="1" w:styleId="BodyTextIndent2Char">
    <w:name w:val="Body Text Indent 2 Char"/>
    <w:basedOn w:val="DefaultParagraphFont"/>
    <w:link w:val="BodyTextIndent2"/>
    <w:semiHidden/>
    <w:rsid w:val="00C36399"/>
    <w:rPr>
      <w:rFonts w:ascii="Times New Roman" w:eastAsia="Times New Roman" w:hAnsi="Times New Roman" w:cs="Times New Roman"/>
      <w:sz w:val="26"/>
      <w:szCs w:val="20"/>
    </w:rPr>
  </w:style>
  <w:style w:type="paragraph" w:styleId="NoSpacing">
    <w:name w:val="No Spacing"/>
    <w:uiPriority w:val="1"/>
    <w:qFormat/>
    <w:rsid w:val="00C36399"/>
    <w:pPr>
      <w:spacing w:after="0" w:line="240" w:lineRule="auto"/>
    </w:pPr>
    <w:rPr>
      <w:rFonts w:ascii="Times New Roman" w:eastAsia="Times New Roman" w:hAnsi="Times New Roman" w:cs="Times New Roman"/>
      <w:sz w:val="24"/>
      <w:szCs w:val="20"/>
    </w:rPr>
  </w:style>
  <w:style w:type="character" w:styleId="Strong">
    <w:name w:val="Strong"/>
    <w:basedOn w:val="DefaultParagraphFont"/>
    <w:qFormat/>
    <w:rsid w:val="00C36399"/>
    <w:rPr>
      <w:b/>
      <w:bCs/>
    </w:rPr>
  </w:style>
  <w:style w:type="character" w:customStyle="1" w:styleId="rpc411">
    <w:name w:val="_rpc_411"/>
    <w:basedOn w:val="DefaultParagraphFont"/>
    <w:rsid w:val="00E12E1D"/>
  </w:style>
  <w:style w:type="paragraph" w:customStyle="1" w:styleId="xmsonormal">
    <w:name w:val="xmsonormal"/>
    <w:basedOn w:val="Normal"/>
    <w:uiPriority w:val="99"/>
    <w:rsid w:val="00E12E1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4527">
      <w:bodyDiv w:val="1"/>
      <w:marLeft w:val="0"/>
      <w:marRight w:val="0"/>
      <w:marTop w:val="0"/>
      <w:marBottom w:val="0"/>
      <w:divBdr>
        <w:top w:val="none" w:sz="0" w:space="0" w:color="auto"/>
        <w:left w:val="none" w:sz="0" w:space="0" w:color="auto"/>
        <w:bottom w:val="none" w:sz="0" w:space="0" w:color="auto"/>
        <w:right w:val="none" w:sz="0" w:space="0" w:color="auto"/>
      </w:divBdr>
    </w:div>
    <w:div w:id="948783269">
      <w:bodyDiv w:val="1"/>
      <w:marLeft w:val="0"/>
      <w:marRight w:val="0"/>
      <w:marTop w:val="0"/>
      <w:marBottom w:val="0"/>
      <w:divBdr>
        <w:top w:val="none" w:sz="0" w:space="0" w:color="auto"/>
        <w:left w:val="none" w:sz="0" w:space="0" w:color="auto"/>
        <w:bottom w:val="none" w:sz="0" w:space="0" w:color="auto"/>
        <w:right w:val="none" w:sz="0" w:space="0" w:color="auto"/>
      </w:divBdr>
    </w:div>
    <w:div w:id="17957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tty@paoca.org" TargetMode="External"/><Relationship Id="rId13" Type="http://schemas.openxmlformats.org/officeDocument/2006/relationships/hyperlink" Target="mailto:rpereira@pautilitylawproject.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moury@eckertseamans.com" TargetMode="External"/><Relationship Id="rId12" Type="http://schemas.openxmlformats.org/officeDocument/2006/relationships/hyperlink" Target="mailto:emarx@pautilitylawproject.org" TargetMode="External"/><Relationship Id="rId17" Type="http://schemas.openxmlformats.org/officeDocument/2006/relationships/hyperlink" Target="mailto:shibbert@mcneeslaw.com" TargetMode="External"/><Relationship Id="rId2" Type="http://schemas.openxmlformats.org/officeDocument/2006/relationships/settings" Target="settings.xml"/><Relationship Id="rId16" Type="http://schemas.openxmlformats.org/officeDocument/2006/relationships/hyperlink" Target="mailto:jprice@clsphila.org" TargetMode="External"/><Relationship Id="rId1" Type="http://schemas.openxmlformats.org/officeDocument/2006/relationships/styles" Target="styles.xml"/><Relationship Id="rId6" Type="http://schemas.openxmlformats.org/officeDocument/2006/relationships/hyperlink" Target="mailto:sdelvillar@pa.gov" TargetMode="External"/><Relationship Id="rId11" Type="http://schemas.openxmlformats.org/officeDocument/2006/relationships/hyperlink" Target="mailto:jsweet@pautilitylawproject.org" TargetMode="External"/><Relationship Id="rId5" Type="http://schemas.openxmlformats.org/officeDocument/2006/relationships/endnotes" Target="endnotes.xml"/><Relationship Id="rId15" Type="http://schemas.openxmlformats.org/officeDocument/2006/relationships/hyperlink" Target="mailto:rballenger@clsphila.org" TargetMode="External"/><Relationship Id="rId10" Type="http://schemas.openxmlformats.org/officeDocument/2006/relationships/hyperlink" Target="mailto:carwright@pa.gov"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webb@pa.gov" TargetMode="External"/><Relationship Id="rId14" Type="http://schemas.openxmlformats.org/officeDocument/2006/relationships/hyperlink" Target="mailto:lberman@pautilitylaw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2</cp:revision>
  <dcterms:created xsi:type="dcterms:W3CDTF">2023-02-22T20:56:00Z</dcterms:created>
  <dcterms:modified xsi:type="dcterms:W3CDTF">2023-02-22T20:56:00Z</dcterms:modified>
</cp:coreProperties>
</file>