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064B" w14:textId="77777777" w:rsidR="00165689" w:rsidRDefault="00165689" w:rsidP="00165689">
      <w:pPr>
        <w:tabs>
          <w:tab w:val="center" w:pos="4680"/>
        </w:tabs>
        <w:jc w:val="center"/>
        <w:rPr>
          <w:b/>
          <w:sz w:val="24"/>
          <w:szCs w:val="24"/>
        </w:rPr>
      </w:pPr>
      <w:r>
        <w:rPr>
          <w:b/>
          <w:sz w:val="24"/>
          <w:szCs w:val="24"/>
        </w:rPr>
        <w:t>BEFORE THE</w:t>
      </w:r>
    </w:p>
    <w:p w14:paraId="6A1E4874" w14:textId="77777777" w:rsidR="00165689" w:rsidRDefault="00165689" w:rsidP="00165689">
      <w:pPr>
        <w:tabs>
          <w:tab w:val="center" w:pos="4680"/>
        </w:tabs>
        <w:jc w:val="center"/>
        <w:rPr>
          <w:b/>
          <w:sz w:val="24"/>
          <w:szCs w:val="24"/>
        </w:rPr>
      </w:pPr>
      <w:r>
        <w:rPr>
          <w:b/>
          <w:sz w:val="24"/>
          <w:szCs w:val="24"/>
        </w:rPr>
        <w:t>PENNSYLVANIA PUBLIC UTILITY COMMISSION</w:t>
      </w:r>
    </w:p>
    <w:p w14:paraId="26CE88D9" w14:textId="77777777" w:rsidR="00165689" w:rsidRDefault="00165689" w:rsidP="00165689">
      <w:pPr>
        <w:tabs>
          <w:tab w:val="center" w:pos="4680"/>
        </w:tabs>
        <w:jc w:val="both"/>
        <w:rPr>
          <w:sz w:val="24"/>
          <w:szCs w:val="24"/>
        </w:rPr>
      </w:pPr>
    </w:p>
    <w:p w14:paraId="5C64A63A" w14:textId="77777777" w:rsidR="00165689" w:rsidRDefault="00165689" w:rsidP="00165689">
      <w:pPr>
        <w:jc w:val="both"/>
        <w:rPr>
          <w:sz w:val="24"/>
          <w:szCs w:val="24"/>
        </w:rPr>
      </w:pPr>
    </w:p>
    <w:p w14:paraId="1C49DE28" w14:textId="77777777" w:rsidR="00165689" w:rsidRDefault="00165689" w:rsidP="00165689">
      <w:pPr>
        <w:jc w:val="both"/>
        <w:rPr>
          <w:sz w:val="24"/>
          <w:szCs w:val="24"/>
        </w:rPr>
      </w:pPr>
    </w:p>
    <w:p w14:paraId="58DC6B43" w14:textId="61E5FB05" w:rsidR="00165689" w:rsidRDefault="00165689" w:rsidP="00165689">
      <w:pPr>
        <w:jc w:val="both"/>
        <w:rPr>
          <w:sz w:val="24"/>
          <w:szCs w:val="24"/>
        </w:rPr>
      </w:pPr>
      <w:r>
        <w:rPr>
          <w:sz w:val="24"/>
          <w:szCs w:val="24"/>
        </w:rPr>
        <w:t>Frederick White</w:t>
      </w:r>
      <w:r>
        <w:rPr>
          <w:sz w:val="24"/>
          <w:szCs w:val="24"/>
        </w:rPr>
        <w:tab/>
      </w:r>
      <w:r>
        <w:rPr>
          <w:sz w:val="24"/>
          <w:szCs w:val="24"/>
        </w:rPr>
        <w:tab/>
      </w:r>
      <w:r>
        <w:rPr>
          <w:sz w:val="24"/>
          <w:szCs w:val="24"/>
        </w:rPr>
        <w:tab/>
      </w:r>
      <w:r>
        <w:rPr>
          <w:sz w:val="24"/>
          <w:szCs w:val="24"/>
        </w:rPr>
        <w:tab/>
      </w:r>
      <w:r>
        <w:rPr>
          <w:sz w:val="24"/>
          <w:szCs w:val="24"/>
        </w:rPr>
        <w:tab/>
        <w:t>:</w:t>
      </w:r>
    </w:p>
    <w:p w14:paraId="1B0BD52A" w14:textId="77777777" w:rsidR="00165689" w:rsidRDefault="00165689" w:rsidP="00165689">
      <w:pPr>
        <w:ind w:left="720" w:firstLine="4320"/>
        <w:jc w:val="both"/>
        <w:rPr>
          <w:sz w:val="24"/>
          <w:szCs w:val="24"/>
        </w:rPr>
      </w:pPr>
      <w:r>
        <w:rPr>
          <w:sz w:val="24"/>
          <w:szCs w:val="24"/>
        </w:rPr>
        <w:t>:</w:t>
      </w:r>
    </w:p>
    <w:p w14:paraId="2FFD6E59" w14:textId="628FAFED" w:rsidR="00165689" w:rsidRDefault="00165689" w:rsidP="00165689">
      <w:pPr>
        <w:ind w:firstLine="720"/>
        <w:jc w:val="both"/>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C-2022-3034688</w:t>
      </w:r>
    </w:p>
    <w:p w14:paraId="287F07C0" w14:textId="77777777" w:rsidR="00165689" w:rsidRDefault="00165689" w:rsidP="00165689">
      <w:pPr>
        <w:ind w:left="720" w:firstLine="4320"/>
        <w:jc w:val="both"/>
        <w:rPr>
          <w:sz w:val="24"/>
          <w:szCs w:val="24"/>
        </w:rPr>
      </w:pPr>
      <w:r>
        <w:rPr>
          <w:sz w:val="24"/>
          <w:szCs w:val="24"/>
        </w:rPr>
        <w:t>:</w:t>
      </w:r>
    </w:p>
    <w:p w14:paraId="2C592C2A" w14:textId="4E9511FC" w:rsidR="00165689" w:rsidRDefault="00165689" w:rsidP="00165689">
      <w:pPr>
        <w:jc w:val="both"/>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14:paraId="740011CF" w14:textId="77777777" w:rsidR="00165689" w:rsidRDefault="00165689" w:rsidP="00165689">
      <w:pPr>
        <w:jc w:val="both"/>
        <w:rPr>
          <w:sz w:val="24"/>
          <w:szCs w:val="24"/>
        </w:rPr>
      </w:pPr>
    </w:p>
    <w:p w14:paraId="41B82823" w14:textId="77777777" w:rsidR="00165689" w:rsidRDefault="00165689" w:rsidP="00165689">
      <w:pPr>
        <w:jc w:val="both"/>
        <w:rPr>
          <w:sz w:val="24"/>
          <w:szCs w:val="24"/>
        </w:rPr>
      </w:pPr>
    </w:p>
    <w:p w14:paraId="50E89CF5" w14:textId="77777777" w:rsidR="00165689" w:rsidRDefault="00165689" w:rsidP="00165689">
      <w:pPr>
        <w:jc w:val="both"/>
        <w:rPr>
          <w:sz w:val="24"/>
          <w:szCs w:val="24"/>
        </w:rPr>
      </w:pPr>
    </w:p>
    <w:p w14:paraId="06DA3F78" w14:textId="77777777" w:rsidR="00165689" w:rsidRDefault="00165689" w:rsidP="00165689">
      <w:pPr>
        <w:pStyle w:val="Heading1"/>
        <w:jc w:val="center"/>
        <w:rPr>
          <w:b/>
          <w:szCs w:val="24"/>
        </w:rPr>
      </w:pPr>
      <w:bookmarkStart w:id="0" w:name="_Hlk54619669"/>
      <w:r>
        <w:rPr>
          <w:b/>
          <w:szCs w:val="24"/>
        </w:rPr>
        <w:t xml:space="preserve">INTERIM ORDER </w:t>
      </w:r>
    </w:p>
    <w:p w14:paraId="7DC1979C" w14:textId="77777777" w:rsidR="00165689" w:rsidRDefault="00165689" w:rsidP="00165689">
      <w:pPr>
        <w:pStyle w:val="Heading1"/>
        <w:jc w:val="center"/>
        <w:rPr>
          <w:b/>
          <w:szCs w:val="24"/>
          <w:u w:val="single"/>
        </w:rPr>
      </w:pPr>
      <w:r>
        <w:rPr>
          <w:b/>
          <w:szCs w:val="24"/>
          <w:u w:val="single"/>
        </w:rPr>
        <w:t>GRANTING PRELIMINARY OBJECTION</w:t>
      </w:r>
      <w:bookmarkEnd w:id="0"/>
      <w:r>
        <w:rPr>
          <w:b/>
          <w:szCs w:val="24"/>
          <w:u w:val="single"/>
        </w:rPr>
        <w:t xml:space="preserve"> IN PART</w:t>
      </w:r>
    </w:p>
    <w:p w14:paraId="06E244A5" w14:textId="77777777" w:rsidR="00165689" w:rsidRDefault="00165689" w:rsidP="00165689">
      <w:pPr>
        <w:widowControl w:val="0"/>
        <w:autoSpaceDE w:val="0"/>
        <w:autoSpaceDN w:val="0"/>
        <w:adjustRightInd w:val="0"/>
        <w:spacing w:line="360" w:lineRule="auto"/>
        <w:ind w:firstLine="720"/>
        <w:rPr>
          <w:color w:val="000000"/>
          <w:w w:val="107"/>
          <w:sz w:val="24"/>
          <w:szCs w:val="24"/>
        </w:rPr>
      </w:pPr>
    </w:p>
    <w:p w14:paraId="317022EB" w14:textId="2CCC0A9E" w:rsidR="00165689" w:rsidRDefault="00165689" w:rsidP="00165689">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On </w:t>
      </w:r>
      <w:r w:rsidR="005A36CA">
        <w:rPr>
          <w:color w:val="000000"/>
          <w:w w:val="107"/>
          <w:sz w:val="24"/>
          <w:szCs w:val="24"/>
        </w:rPr>
        <w:t>August 22, 2022</w:t>
      </w:r>
      <w:r>
        <w:rPr>
          <w:color w:val="000000"/>
          <w:w w:val="107"/>
          <w:sz w:val="24"/>
          <w:szCs w:val="24"/>
        </w:rPr>
        <w:t xml:space="preserve">, </w:t>
      </w:r>
      <w:r w:rsidR="006D482A">
        <w:rPr>
          <w:color w:val="000000"/>
          <w:w w:val="107"/>
          <w:sz w:val="24"/>
          <w:szCs w:val="24"/>
        </w:rPr>
        <w:t>Frederick White</w:t>
      </w:r>
      <w:r>
        <w:rPr>
          <w:color w:val="000000"/>
          <w:w w:val="107"/>
          <w:sz w:val="24"/>
          <w:szCs w:val="24"/>
        </w:rPr>
        <w:t xml:space="preserve"> (Complainant) </w:t>
      </w:r>
      <w:r>
        <w:rPr>
          <w:color w:val="000000"/>
          <w:w w:val="108"/>
          <w:sz w:val="24"/>
          <w:szCs w:val="24"/>
        </w:rPr>
        <w:t xml:space="preserve">filed a Formal Complaint, using the Commission’s Formal Complaint form, against </w:t>
      </w:r>
      <w:r w:rsidR="006D482A">
        <w:rPr>
          <w:color w:val="000000"/>
          <w:w w:val="108"/>
          <w:sz w:val="24"/>
          <w:szCs w:val="24"/>
        </w:rPr>
        <w:t>PECO Energy Company</w:t>
      </w:r>
      <w:r>
        <w:rPr>
          <w:color w:val="000000"/>
          <w:w w:val="108"/>
          <w:sz w:val="24"/>
          <w:szCs w:val="24"/>
        </w:rPr>
        <w:t xml:space="preserve"> (Respondent, </w:t>
      </w:r>
      <w:r>
        <w:rPr>
          <w:color w:val="000000"/>
          <w:w w:val="107"/>
          <w:sz w:val="24"/>
          <w:szCs w:val="24"/>
        </w:rPr>
        <w:t xml:space="preserve">Company, or </w:t>
      </w:r>
      <w:r w:rsidR="006D482A">
        <w:rPr>
          <w:color w:val="000000"/>
          <w:w w:val="107"/>
          <w:sz w:val="24"/>
          <w:szCs w:val="24"/>
        </w:rPr>
        <w:t>PECO</w:t>
      </w:r>
      <w:r>
        <w:rPr>
          <w:color w:val="000000"/>
          <w:w w:val="107"/>
          <w:sz w:val="24"/>
          <w:szCs w:val="24"/>
        </w:rPr>
        <w:t xml:space="preserve">), alleging </w:t>
      </w:r>
      <w:r w:rsidR="00BA7488">
        <w:rPr>
          <w:color w:val="000000"/>
          <w:w w:val="107"/>
          <w:sz w:val="24"/>
          <w:szCs w:val="24"/>
        </w:rPr>
        <w:t xml:space="preserve">the Respondent failed to fully reimburse him for damages that he sustained at his </w:t>
      </w:r>
      <w:r w:rsidR="008F7AB2">
        <w:rPr>
          <w:color w:val="000000"/>
          <w:w w:val="107"/>
          <w:sz w:val="24"/>
          <w:szCs w:val="24"/>
        </w:rPr>
        <w:t>property after a lightning strike caused a</w:t>
      </w:r>
      <w:r w:rsidR="00EE4CC4">
        <w:rPr>
          <w:color w:val="000000"/>
          <w:w w:val="107"/>
          <w:sz w:val="24"/>
          <w:szCs w:val="24"/>
        </w:rPr>
        <w:t xml:space="preserve">n electric surge at his property.  </w:t>
      </w:r>
      <w:r>
        <w:rPr>
          <w:color w:val="000000"/>
          <w:w w:val="107"/>
          <w:sz w:val="24"/>
          <w:szCs w:val="24"/>
        </w:rPr>
        <w:t xml:space="preserve">The Complainant requested to be reimbursed for the cost of </w:t>
      </w:r>
      <w:r w:rsidR="006A1543">
        <w:rPr>
          <w:color w:val="000000"/>
          <w:w w:val="107"/>
          <w:sz w:val="24"/>
          <w:szCs w:val="24"/>
        </w:rPr>
        <w:t>additional items that were damaged by the electric surge</w:t>
      </w:r>
      <w:r>
        <w:rPr>
          <w:color w:val="000000"/>
          <w:w w:val="107"/>
          <w:sz w:val="24"/>
          <w:szCs w:val="24"/>
        </w:rPr>
        <w:t>.</w:t>
      </w:r>
      <w:r w:rsidR="006A1543">
        <w:rPr>
          <w:color w:val="000000"/>
          <w:w w:val="107"/>
          <w:sz w:val="24"/>
          <w:szCs w:val="24"/>
        </w:rPr>
        <w:t xml:space="preserve">  The Complainant also indicates that it took PECO a year to respond to his request</w:t>
      </w:r>
      <w:r w:rsidR="001E3641">
        <w:rPr>
          <w:color w:val="000000"/>
          <w:w w:val="107"/>
          <w:sz w:val="24"/>
          <w:szCs w:val="24"/>
        </w:rPr>
        <w:t xml:space="preserve">s to be reimbursed for items that were damaged at his </w:t>
      </w:r>
      <w:r w:rsidR="00262604">
        <w:rPr>
          <w:color w:val="000000"/>
          <w:w w:val="107"/>
          <w:sz w:val="24"/>
          <w:szCs w:val="24"/>
        </w:rPr>
        <w:t xml:space="preserve">property.  </w:t>
      </w:r>
      <w:r>
        <w:rPr>
          <w:color w:val="000000"/>
          <w:w w:val="107"/>
          <w:sz w:val="24"/>
          <w:szCs w:val="24"/>
        </w:rPr>
        <w:t xml:space="preserve">  </w:t>
      </w:r>
    </w:p>
    <w:p w14:paraId="35F854F5" w14:textId="77777777" w:rsidR="00165689" w:rsidRDefault="00165689" w:rsidP="00165689">
      <w:pPr>
        <w:widowControl w:val="0"/>
        <w:autoSpaceDE w:val="0"/>
        <w:autoSpaceDN w:val="0"/>
        <w:adjustRightInd w:val="0"/>
        <w:spacing w:line="360" w:lineRule="auto"/>
        <w:rPr>
          <w:color w:val="000000"/>
          <w:w w:val="107"/>
          <w:sz w:val="24"/>
          <w:szCs w:val="24"/>
        </w:rPr>
      </w:pPr>
    </w:p>
    <w:p w14:paraId="12E00EB4" w14:textId="5968298E" w:rsidR="00165689" w:rsidRDefault="00165689" w:rsidP="00165689">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t xml:space="preserve">On </w:t>
      </w:r>
      <w:r w:rsidR="00954D36">
        <w:rPr>
          <w:color w:val="000000"/>
          <w:w w:val="107"/>
          <w:sz w:val="24"/>
          <w:szCs w:val="24"/>
        </w:rPr>
        <w:t>September 14, 2022</w:t>
      </w:r>
      <w:r>
        <w:rPr>
          <w:color w:val="000000"/>
          <w:w w:val="107"/>
          <w:sz w:val="24"/>
          <w:szCs w:val="24"/>
        </w:rPr>
        <w:t xml:space="preserve">, the Company filed an Answer to the Formal Complaint, as well as a Preliminary Objection </w:t>
      </w:r>
      <w:r>
        <w:rPr>
          <w:color w:val="000000"/>
          <w:w w:val="108"/>
          <w:sz w:val="24"/>
          <w:szCs w:val="24"/>
        </w:rPr>
        <w:t xml:space="preserve">pursuant to 52 Pa.Code § 5.101.  In its Answer, the Company </w:t>
      </w:r>
      <w:r>
        <w:rPr>
          <w:color w:val="000000"/>
          <w:w w:val="107"/>
          <w:sz w:val="24"/>
          <w:szCs w:val="24"/>
        </w:rPr>
        <w:t>denies it improperly denied Complainant’s claim</w:t>
      </w:r>
      <w:r w:rsidR="00262604">
        <w:rPr>
          <w:color w:val="000000"/>
          <w:w w:val="107"/>
          <w:sz w:val="24"/>
          <w:szCs w:val="24"/>
        </w:rPr>
        <w:t xml:space="preserve"> for additional reimbursement</w:t>
      </w:r>
      <w:r>
        <w:rPr>
          <w:color w:val="000000"/>
          <w:w w:val="107"/>
          <w:sz w:val="24"/>
          <w:szCs w:val="24"/>
        </w:rPr>
        <w:t>.  Additionally, the Company avers the Commission lacks the authority to award monetary damages.</w:t>
      </w:r>
    </w:p>
    <w:p w14:paraId="38A0BEBF" w14:textId="77777777" w:rsidR="00165689" w:rsidRDefault="00165689" w:rsidP="00165689">
      <w:pPr>
        <w:widowControl w:val="0"/>
        <w:autoSpaceDE w:val="0"/>
        <w:autoSpaceDN w:val="0"/>
        <w:adjustRightInd w:val="0"/>
        <w:spacing w:line="360" w:lineRule="auto"/>
        <w:rPr>
          <w:color w:val="000000"/>
          <w:w w:val="108"/>
          <w:sz w:val="24"/>
          <w:szCs w:val="24"/>
        </w:rPr>
      </w:pPr>
    </w:p>
    <w:p w14:paraId="09C27770" w14:textId="77777777" w:rsidR="00165689" w:rsidRDefault="00165689" w:rsidP="00165689">
      <w:pPr>
        <w:widowControl w:val="0"/>
        <w:autoSpaceDE w:val="0"/>
        <w:autoSpaceDN w:val="0"/>
        <w:adjustRightInd w:val="0"/>
        <w:spacing w:line="360" w:lineRule="auto"/>
        <w:rPr>
          <w:color w:val="000000"/>
          <w:w w:val="107"/>
          <w:sz w:val="24"/>
          <w:szCs w:val="24"/>
        </w:rPr>
      </w:pPr>
      <w:r>
        <w:rPr>
          <w:color w:val="000000"/>
          <w:w w:val="108"/>
          <w:sz w:val="24"/>
          <w:szCs w:val="24"/>
        </w:rPr>
        <w:tab/>
      </w:r>
      <w:r>
        <w:rPr>
          <w:color w:val="000000"/>
          <w:w w:val="108"/>
          <w:sz w:val="24"/>
          <w:szCs w:val="24"/>
        </w:rPr>
        <w:tab/>
        <w:t xml:space="preserve">In its Preliminary Objection, the Company argues </w:t>
      </w:r>
      <w:r>
        <w:rPr>
          <w:color w:val="000000"/>
          <w:w w:val="107"/>
          <w:sz w:val="24"/>
          <w:szCs w:val="24"/>
        </w:rPr>
        <w:t xml:space="preserve">the Commission lacks the authority to award monetary damages and requests that the Complainants’ request for monetary damages be stricken from the Formal Complaint. </w:t>
      </w:r>
    </w:p>
    <w:p w14:paraId="046CB332" w14:textId="77777777" w:rsidR="00165689" w:rsidRDefault="00165689" w:rsidP="00165689">
      <w:pPr>
        <w:widowControl w:val="0"/>
        <w:autoSpaceDE w:val="0"/>
        <w:autoSpaceDN w:val="0"/>
        <w:adjustRightInd w:val="0"/>
        <w:spacing w:line="360" w:lineRule="auto"/>
        <w:rPr>
          <w:color w:val="000000"/>
          <w:w w:val="107"/>
          <w:sz w:val="24"/>
          <w:szCs w:val="24"/>
        </w:rPr>
      </w:pPr>
    </w:p>
    <w:p w14:paraId="59233EC8" w14:textId="7D28B5C8" w:rsidR="00165689" w:rsidRDefault="00165689" w:rsidP="00165689">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r>
        <w:rPr>
          <w:color w:val="000000"/>
          <w:w w:val="108"/>
          <w:sz w:val="24"/>
          <w:szCs w:val="24"/>
        </w:rPr>
        <w:t xml:space="preserve">The Preliminary Objection contained a </w:t>
      </w:r>
      <w:r>
        <w:rPr>
          <w:color w:val="000000"/>
          <w:w w:val="107"/>
          <w:sz w:val="24"/>
          <w:szCs w:val="24"/>
        </w:rPr>
        <w:t xml:space="preserve">Notice to Plead directing the </w:t>
      </w:r>
      <w:r>
        <w:rPr>
          <w:color w:val="000000"/>
          <w:w w:val="107"/>
          <w:sz w:val="24"/>
          <w:szCs w:val="24"/>
        </w:rPr>
        <w:lastRenderedPageBreak/>
        <w:t xml:space="preserve">Complainant to file a response within ten days of service.  The Complainant </w:t>
      </w:r>
      <w:r w:rsidR="00F01116">
        <w:rPr>
          <w:color w:val="000000"/>
          <w:w w:val="107"/>
          <w:sz w:val="24"/>
          <w:szCs w:val="24"/>
        </w:rPr>
        <w:t>did not file any response to the Preliminary Objection</w:t>
      </w:r>
      <w:r>
        <w:rPr>
          <w:color w:val="000000"/>
          <w:w w:val="107"/>
          <w:sz w:val="24"/>
          <w:szCs w:val="24"/>
        </w:rPr>
        <w:t>.</w:t>
      </w:r>
    </w:p>
    <w:p w14:paraId="382C72A5" w14:textId="77777777" w:rsidR="00165689" w:rsidRDefault="00165689" w:rsidP="00165689">
      <w:pPr>
        <w:widowControl w:val="0"/>
        <w:autoSpaceDE w:val="0"/>
        <w:autoSpaceDN w:val="0"/>
        <w:adjustRightInd w:val="0"/>
        <w:spacing w:line="360" w:lineRule="auto"/>
        <w:rPr>
          <w:color w:val="000000"/>
          <w:w w:val="107"/>
          <w:sz w:val="24"/>
          <w:szCs w:val="24"/>
        </w:rPr>
      </w:pPr>
    </w:p>
    <w:p w14:paraId="1C3704AD" w14:textId="6755CA81" w:rsidR="00165689" w:rsidRDefault="00165689" w:rsidP="00165689">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 xml:space="preserve">On </w:t>
      </w:r>
      <w:r w:rsidR="00973168">
        <w:rPr>
          <w:color w:val="000000"/>
          <w:w w:val="107"/>
          <w:sz w:val="24"/>
          <w:szCs w:val="24"/>
        </w:rPr>
        <w:t>October 27, 2022</w:t>
      </w:r>
      <w:r>
        <w:rPr>
          <w:color w:val="000000"/>
          <w:w w:val="107"/>
          <w:sz w:val="24"/>
          <w:szCs w:val="24"/>
        </w:rPr>
        <w:t xml:space="preserve">, the Commission issued a Motion Judge Assignment </w:t>
      </w:r>
      <w:proofErr w:type="gramStart"/>
      <w:r>
        <w:rPr>
          <w:color w:val="000000"/>
          <w:w w:val="107"/>
          <w:sz w:val="24"/>
          <w:szCs w:val="24"/>
        </w:rPr>
        <w:t>Notice</w:t>
      </w:r>
      <w:proofErr w:type="gramEnd"/>
      <w:r>
        <w:rPr>
          <w:color w:val="000000"/>
          <w:w w:val="107"/>
          <w:sz w:val="24"/>
          <w:szCs w:val="24"/>
        </w:rPr>
        <w:t xml:space="preserve"> and the matter was assigned to me.</w:t>
      </w:r>
    </w:p>
    <w:p w14:paraId="05BB276F" w14:textId="77777777" w:rsidR="00165689" w:rsidRDefault="00165689" w:rsidP="00165689">
      <w:pPr>
        <w:widowControl w:val="0"/>
        <w:autoSpaceDE w:val="0"/>
        <w:autoSpaceDN w:val="0"/>
        <w:adjustRightInd w:val="0"/>
        <w:spacing w:line="360" w:lineRule="auto"/>
        <w:rPr>
          <w:color w:val="000000"/>
          <w:w w:val="107"/>
          <w:sz w:val="24"/>
          <w:szCs w:val="24"/>
        </w:rPr>
      </w:pPr>
    </w:p>
    <w:p w14:paraId="77E484D8" w14:textId="77777777" w:rsidR="00165689" w:rsidRDefault="00165689" w:rsidP="00165689">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t>This matter is now ripe for a ruling on the Preliminary Objections.</w:t>
      </w:r>
    </w:p>
    <w:p w14:paraId="14C9432A" w14:textId="77777777" w:rsidR="00165689" w:rsidRDefault="00165689" w:rsidP="00165689">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p>
    <w:p w14:paraId="08225CEE" w14:textId="77777777" w:rsidR="00165689" w:rsidRDefault="00165689" w:rsidP="00165689">
      <w:pPr>
        <w:spacing w:line="360" w:lineRule="auto"/>
        <w:jc w:val="center"/>
        <w:rPr>
          <w:sz w:val="24"/>
          <w:szCs w:val="24"/>
          <w:u w:val="single"/>
        </w:rPr>
      </w:pPr>
      <w:r>
        <w:rPr>
          <w:sz w:val="24"/>
          <w:szCs w:val="24"/>
          <w:u w:val="single"/>
        </w:rPr>
        <w:t>DISCUSSION</w:t>
      </w:r>
    </w:p>
    <w:p w14:paraId="2953D28E" w14:textId="77777777" w:rsidR="00165689" w:rsidRDefault="00165689" w:rsidP="00165689">
      <w:pPr>
        <w:spacing w:line="360" w:lineRule="auto"/>
        <w:rPr>
          <w:sz w:val="24"/>
          <w:szCs w:val="24"/>
        </w:rPr>
      </w:pPr>
    </w:p>
    <w:p w14:paraId="0FC15EFD" w14:textId="77777777" w:rsidR="00165689" w:rsidRDefault="00165689" w:rsidP="00165689">
      <w:pPr>
        <w:widowControl w:val="0"/>
        <w:autoSpaceDE w:val="0"/>
        <w:autoSpaceDN w:val="0"/>
        <w:adjustRightInd w:val="0"/>
        <w:spacing w:line="360" w:lineRule="auto"/>
        <w:ind w:firstLine="1440"/>
        <w:rPr>
          <w:color w:val="000000"/>
          <w:sz w:val="24"/>
          <w:szCs w:val="24"/>
        </w:rPr>
      </w:pPr>
      <w:r>
        <w:rPr>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i/>
          <w:color w:val="000000"/>
          <w:sz w:val="24"/>
          <w:szCs w:val="24"/>
        </w:rPr>
        <w:t>Equitable Small Transportation Intervenors v. Equitable Gas Company</w:t>
      </w:r>
      <w:r>
        <w:rPr>
          <w:i/>
          <w:iCs/>
          <w:color w:val="000000"/>
          <w:sz w:val="24"/>
          <w:szCs w:val="24"/>
        </w:rPr>
        <w:t xml:space="preserve">, </w:t>
      </w:r>
      <w:r>
        <w:rPr>
          <w:color w:val="000000"/>
          <w:sz w:val="24"/>
          <w:szCs w:val="24"/>
        </w:rPr>
        <w:t>1994 Pa PUC LEXIS 69, Docket No. C</w:t>
      </w:r>
      <w:r>
        <w:rPr>
          <w:color w:val="000000"/>
          <w:sz w:val="24"/>
          <w:szCs w:val="24"/>
        </w:rPr>
        <w:noBreakHyphen/>
        <w:t>00935435 (July 18, 1994).  The Commission’s regulation at 52 Pa.Code § 5.101(a) limit preliminary objections to the following grounds:</w:t>
      </w:r>
    </w:p>
    <w:p w14:paraId="0865DBBE" w14:textId="77777777" w:rsidR="00165689" w:rsidRDefault="00165689" w:rsidP="00165689">
      <w:pPr>
        <w:widowControl w:val="0"/>
        <w:autoSpaceDE w:val="0"/>
        <w:autoSpaceDN w:val="0"/>
        <w:adjustRightInd w:val="0"/>
        <w:spacing w:line="360" w:lineRule="auto"/>
        <w:ind w:firstLine="1440"/>
        <w:rPr>
          <w:color w:val="000000"/>
          <w:sz w:val="24"/>
          <w:szCs w:val="24"/>
        </w:rPr>
      </w:pPr>
    </w:p>
    <w:p w14:paraId="46ABB49B" w14:textId="77777777" w:rsidR="00165689" w:rsidRDefault="00165689" w:rsidP="00165689">
      <w:pPr>
        <w:widowControl w:val="0"/>
        <w:tabs>
          <w:tab w:val="left" w:pos="2196"/>
          <w:tab w:val="left" w:pos="2909"/>
        </w:tabs>
        <w:autoSpaceDE w:val="0"/>
        <w:autoSpaceDN w:val="0"/>
        <w:adjustRightInd w:val="0"/>
        <w:ind w:left="2160" w:right="1440" w:hanging="720"/>
        <w:rPr>
          <w:color w:val="000000"/>
          <w:sz w:val="24"/>
          <w:szCs w:val="24"/>
        </w:rPr>
      </w:pPr>
      <w:r>
        <w:rPr>
          <w:color w:val="000000"/>
          <w:sz w:val="24"/>
          <w:szCs w:val="24"/>
        </w:rPr>
        <w:t>(1)</w:t>
      </w:r>
      <w:r>
        <w:rPr>
          <w:color w:val="000000"/>
          <w:sz w:val="24"/>
          <w:szCs w:val="24"/>
        </w:rPr>
        <w:tab/>
        <w:t>Lack of Commission jurisdiction or improper service of the pleading initiating the proceeding.</w:t>
      </w:r>
    </w:p>
    <w:p w14:paraId="443C7B12" w14:textId="77777777" w:rsidR="00165689" w:rsidRDefault="00165689" w:rsidP="00165689">
      <w:pPr>
        <w:widowControl w:val="0"/>
        <w:autoSpaceDE w:val="0"/>
        <w:autoSpaceDN w:val="0"/>
        <w:adjustRightInd w:val="0"/>
        <w:ind w:left="1440" w:right="1440"/>
        <w:rPr>
          <w:color w:val="000000"/>
          <w:sz w:val="24"/>
          <w:szCs w:val="24"/>
        </w:rPr>
      </w:pPr>
    </w:p>
    <w:p w14:paraId="5F4A366E" w14:textId="77777777" w:rsidR="00165689" w:rsidRDefault="00165689" w:rsidP="0016568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(2)</w:t>
      </w:r>
      <w:r>
        <w:rPr>
          <w:color w:val="000000"/>
          <w:sz w:val="24"/>
          <w:szCs w:val="24"/>
        </w:rPr>
        <w:tab/>
        <w:t>Failure of a pleading to conform to this chapter or the inclusion of scandalous or impertinent matter.</w:t>
      </w:r>
    </w:p>
    <w:p w14:paraId="3D171272" w14:textId="77777777" w:rsidR="00165689" w:rsidRDefault="00165689" w:rsidP="00165689">
      <w:pPr>
        <w:widowControl w:val="0"/>
        <w:tabs>
          <w:tab w:val="left" w:pos="2203"/>
          <w:tab w:val="left" w:pos="2909"/>
        </w:tabs>
        <w:autoSpaceDE w:val="0"/>
        <w:autoSpaceDN w:val="0"/>
        <w:adjustRightInd w:val="0"/>
        <w:ind w:left="1440" w:right="1440"/>
        <w:rPr>
          <w:color w:val="000000"/>
          <w:sz w:val="24"/>
          <w:szCs w:val="24"/>
        </w:rPr>
      </w:pPr>
    </w:p>
    <w:p w14:paraId="392B7C40" w14:textId="77777777" w:rsidR="00165689" w:rsidRDefault="00165689" w:rsidP="0016568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(3)</w:t>
      </w:r>
      <w:r>
        <w:rPr>
          <w:color w:val="000000"/>
          <w:sz w:val="24"/>
          <w:szCs w:val="24"/>
        </w:rPr>
        <w:tab/>
        <w:t>Insufficient specificity of a pleading.</w:t>
      </w:r>
    </w:p>
    <w:p w14:paraId="544A7F1C" w14:textId="77777777" w:rsidR="00165689" w:rsidRDefault="00165689" w:rsidP="00165689">
      <w:pPr>
        <w:widowControl w:val="0"/>
        <w:tabs>
          <w:tab w:val="left" w:pos="2203"/>
          <w:tab w:val="left" w:pos="2909"/>
        </w:tabs>
        <w:autoSpaceDE w:val="0"/>
        <w:autoSpaceDN w:val="0"/>
        <w:adjustRightInd w:val="0"/>
        <w:ind w:left="1440" w:right="1440"/>
        <w:rPr>
          <w:color w:val="000000"/>
          <w:sz w:val="24"/>
          <w:szCs w:val="24"/>
        </w:rPr>
      </w:pPr>
    </w:p>
    <w:p w14:paraId="48FB4989" w14:textId="77777777" w:rsidR="00165689" w:rsidRDefault="00165689" w:rsidP="0016568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(4)</w:t>
      </w:r>
      <w:r>
        <w:rPr>
          <w:color w:val="000000"/>
          <w:sz w:val="24"/>
          <w:szCs w:val="24"/>
        </w:rPr>
        <w:tab/>
        <w:t>Legal insufficiency of a pleading.</w:t>
      </w:r>
    </w:p>
    <w:p w14:paraId="6B40E9FA" w14:textId="77777777" w:rsidR="00165689" w:rsidRDefault="00165689" w:rsidP="00165689">
      <w:pPr>
        <w:widowControl w:val="0"/>
        <w:tabs>
          <w:tab w:val="left" w:pos="2203"/>
          <w:tab w:val="left" w:pos="2909"/>
        </w:tabs>
        <w:autoSpaceDE w:val="0"/>
        <w:autoSpaceDN w:val="0"/>
        <w:adjustRightInd w:val="0"/>
        <w:ind w:left="1440" w:right="1440"/>
        <w:rPr>
          <w:color w:val="000000"/>
          <w:sz w:val="24"/>
          <w:szCs w:val="24"/>
        </w:rPr>
      </w:pPr>
    </w:p>
    <w:p w14:paraId="345D1A86" w14:textId="77777777" w:rsidR="00165689" w:rsidRDefault="00165689" w:rsidP="0016568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(5)</w:t>
      </w:r>
      <w:r>
        <w:rPr>
          <w:color w:val="000000"/>
          <w:sz w:val="24"/>
          <w:szCs w:val="24"/>
        </w:rPr>
        <w:tab/>
        <w:t>Lack of capacity to sue, nonjoinder of a necessary party or misjoinder of a cause of action.</w:t>
      </w:r>
    </w:p>
    <w:p w14:paraId="72CF6683" w14:textId="77777777" w:rsidR="00165689" w:rsidRDefault="00165689" w:rsidP="00165689">
      <w:pPr>
        <w:widowControl w:val="0"/>
        <w:tabs>
          <w:tab w:val="left" w:pos="2203"/>
          <w:tab w:val="left" w:pos="2909"/>
        </w:tabs>
        <w:autoSpaceDE w:val="0"/>
        <w:autoSpaceDN w:val="0"/>
        <w:adjustRightInd w:val="0"/>
        <w:ind w:left="2160" w:right="1440" w:hanging="720"/>
        <w:rPr>
          <w:color w:val="000000"/>
          <w:sz w:val="24"/>
          <w:szCs w:val="24"/>
        </w:rPr>
      </w:pPr>
    </w:p>
    <w:p w14:paraId="199C95A5" w14:textId="77777777" w:rsidR="00165689" w:rsidRDefault="00165689" w:rsidP="0016568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(6)</w:t>
      </w:r>
      <w:r>
        <w:rPr>
          <w:color w:val="000000"/>
          <w:sz w:val="24"/>
          <w:szCs w:val="24"/>
        </w:rPr>
        <w:tab/>
        <w:t>Pendency of a prior proceeding or agreement for alternative dispute resolution.</w:t>
      </w:r>
    </w:p>
    <w:p w14:paraId="27259DB4" w14:textId="77777777" w:rsidR="00165689" w:rsidRDefault="00165689" w:rsidP="00165689">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(7)</w:t>
      </w:r>
      <w:r>
        <w:rPr>
          <w:color w:val="000000"/>
          <w:sz w:val="24"/>
          <w:szCs w:val="24"/>
        </w:rPr>
        <w:tab/>
        <w:t>Standing of a party to participate in the proceeding.</w:t>
      </w:r>
    </w:p>
    <w:p w14:paraId="691FD629" w14:textId="77777777" w:rsidR="00165689" w:rsidRDefault="00165689" w:rsidP="00165689">
      <w:pPr>
        <w:tabs>
          <w:tab w:val="left" w:pos="-720"/>
        </w:tabs>
        <w:suppressAutoHyphens/>
        <w:autoSpaceDE w:val="0"/>
        <w:autoSpaceDN w:val="0"/>
        <w:spacing w:line="360" w:lineRule="auto"/>
        <w:ind w:firstLine="1440"/>
        <w:rPr>
          <w:sz w:val="24"/>
          <w:szCs w:val="24"/>
        </w:rPr>
      </w:pPr>
    </w:p>
    <w:p w14:paraId="0567BF96" w14:textId="77777777" w:rsidR="00165689" w:rsidRDefault="00165689" w:rsidP="00165689">
      <w:pPr>
        <w:tabs>
          <w:tab w:val="left" w:pos="-720"/>
        </w:tabs>
        <w:suppressAutoHyphens/>
        <w:autoSpaceDE w:val="0"/>
        <w:autoSpaceDN w:val="0"/>
        <w:spacing w:line="360" w:lineRule="auto"/>
        <w:ind w:firstLine="1440"/>
        <w:rPr>
          <w:sz w:val="24"/>
          <w:szCs w:val="24"/>
        </w:rPr>
      </w:pPr>
      <w:r>
        <w:rPr>
          <w:sz w:val="24"/>
          <w:szCs w:val="24"/>
        </w:rPr>
        <w:t xml:space="preserve">For purposes of disposing of the preliminary objections, the Commission must accept as true all well-pleaded material facts of the nonmoving party, as well as every reasonable </w:t>
      </w:r>
      <w:r>
        <w:rPr>
          <w:sz w:val="24"/>
          <w:szCs w:val="24"/>
        </w:rPr>
        <w:lastRenderedPageBreak/>
        <w:t xml:space="preserve">inference deducible from those facts.  </w:t>
      </w:r>
      <w:r>
        <w:rPr>
          <w:i/>
          <w:iCs/>
          <w:sz w:val="24"/>
          <w:szCs w:val="24"/>
        </w:rPr>
        <w:t>County of Allegheny v. Commonwealth of Pennsylvania</w:t>
      </w:r>
      <w:r>
        <w:rPr>
          <w:sz w:val="24"/>
          <w:szCs w:val="24"/>
        </w:rPr>
        <w:t xml:space="preserve">, 490 A. 2d 402 (Pa. 1985); </w:t>
      </w:r>
      <w:r>
        <w:rPr>
          <w:i/>
          <w:iCs/>
          <w:sz w:val="24"/>
          <w:szCs w:val="24"/>
        </w:rPr>
        <w:t>Commonwealth of Pennsylvania v. Bell Telephone Co. of Pa.,</w:t>
      </w:r>
      <w:r>
        <w:rPr>
          <w:sz w:val="24"/>
          <w:szCs w:val="24"/>
        </w:rPr>
        <w:t xml:space="preserve"> 551 A.2d 602 (Pa.Cmwlth. 1988).  The moving party may not rely on its own factual assertions.  </w:t>
      </w:r>
      <w:r>
        <w:rPr>
          <w:i/>
          <w:iCs/>
          <w:sz w:val="24"/>
          <w:szCs w:val="24"/>
        </w:rPr>
        <w:t>Id.</w:t>
      </w:r>
      <w:r>
        <w:rPr>
          <w:sz w:val="24"/>
          <w:szCs w:val="24"/>
        </w:rPr>
        <w:t xml:space="preserve">  </w:t>
      </w:r>
    </w:p>
    <w:p w14:paraId="782D850D" w14:textId="77777777" w:rsidR="00165689" w:rsidRDefault="00165689" w:rsidP="00165689">
      <w:pPr>
        <w:tabs>
          <w:tab w:val="left" w:pos="-720"/>
        </w:tabs>
        <w:suppressAutoHyphens/>
        <w:autoSpaceDE w:val="0"/>
        <w:autoSpaceDN w:val="0"/>
        <w:spacing w:line="360" w:lineRule="auto"/>
        <w:ind w:firstLine="1440"/>
        <w:rPr>
          <w:sz w:val="24"/>
          <w:szCs w:val="24"/>
        </w:rPr>
      </w:pPr>
    </w:p>
    <w:p w14:paraId="05564055" w14:textId="77777777" w:rsidR="00165689" w:rsidRDefault="00165689" w:rsidP="00165689">
      <w:pPr>
        <w:tabs>
          <w:tab w:val="left" w:pos="-720"/>
        </w:tabs>
        <w:suppressAutoHyphens/>
        <w:autoSpaceDE w:val="0"/>
        <w:autoSpaceDN w:val="0"/>
        <w:spacing w:line="360" w:lineRule="auto"/>
        <w:ind w:firstLine="1440"/>
        <w:rPr>
          <w:sz w:val="24"/>
          <w:szCs w:val="24"/>
        </w:rPr>
      </w:pPr>
      <w:r>
        <w:rPr>
          <w:sz w:val="24"/>
          <w:szCs w:val="24"/>
        </w:rPr>
        <w:t xml:space="preserve">The Commission must view the Complaint in the light most favorable to Complainant and should dismiss the Complaint only if it appears that Complainant would not be entitled to relief under any circumstances as a matter of law.  </w:t>
      </w:r>
      <w:r>
        <w:rPr>
          <w:i/>
          <w:iCs/>
          <w:sz w:val="24"/>
          <w:szCs w:val="24"/>
        </w:rPr>
        <w:t>Equitable Small Transportation Intervenors v. Equitable Gas Company,</w:t>
      </w:r>
      <w:r>
        <w:rPr>
          <w:sz w:val="24"/>
          <w:szCs w:val="24"/>
        </w:rPr>
        <w:t xml:space="preserve"> 1994 Pa. PUC LEXIS 69, Docket No. C-00935435 (July 18, 1994); </w:t>
      </w:r>
      <w:r>
        <w:rPr>
          <w:i/>
          <w:sz w:val="24"/>
          <w:szCs w:val="24"/>
        </w:rPr>
        <w:t>see also</w:t>
      </w:r>
      <w:r>
        <w:rPr>
          <w:i/>
          <w:iCs/>
          <w:sz w:val="24"/>
          <w:szCs w:val="24"/>
        </w:rPr>
        <w:t>, Interstate Traveler Services, Inc. v. Commonwealth, Department of Environmental Resources,</w:t>
      </w:r>
      <w:r>
        <w:rPr>
          <w:sz w:val="24"/>
          <w:szCs w:val="24"/>
        </w:rPr>
        <w:t xml:space="preserve"> 486 Pa. 536, 406 A.2d 1020 (1979).  </w:t>
      </w:r>
    </w:p>
    <w:p w14:paraId="58EEB30D" w14:textId="77777777" w:rsidR="00165689" w:rsidRDefault="00165689" w:rsidP="00165689">
      <w:pPr>
        <w:spacing w:line="360" w:lineRule="auto"/>
        <w:rPr>
          <w:sz w:val="24"/>
          <w:szCs w:val="24"/>
        </w:rPr>
      </w:pPr>
      <w:r>
        <w:rPr>
          <w:sz w:val="24"/>
          <w:szCs w:val="24"/>
        </w:rPr>
        <w:t xml:space="preserve"> </w:t>
      </w:r>
    </w:p>
    <w:p w14:paraId="5857E013" w14:textId="77777777" w:rsidR="00165689" w:rsidRDefault="00165689" w:rsidP="00165689">
      <w:pPr>
        <w:widowControl w:val="0"/>
        <w:autoSpaceDE w:val="0"/>
        <w:autoSpaceDN w:val="0"/>
        <w:adjustRightInd w:val="0"/>
        <w:spacing w:line="360" w:lineRule="auto"/>
        <w:ind w:firstLine="1440"/>
        <w:rPr>
          <w:color w:val="000000"/>
          <w:w w:val="107"/>
          <w:sz w:val="24"/>
          <w:szCs w:val="24"/>
        </w:rPr>
      </w:pPr>
      <w:r>
        <w:rPr>
          <w:color w:val="000000"/>
          <w:w w:val="107"/>
          <w:sz w:val="24"/>
          <w:szCs w:val="24"/>
        </w:rPr>
        <w:t>The Company argues the Commission must strike Complainant’s request for monetary damages because the Commission lacks the jurisdiction to award them.</w:t>
      </w:r>
    </w:p>
    <w:p w14:paraId="3E3C1763" w14:textId="77777777" w:rsidR="00165689" w:rsidRDefault="00165689" w:rsidP="00165689">
      <w:pPr>
        <w:spacing w:line="360" w:lineRule="auto"/>
        <w:rPr>
          <w:sz w:val="24"/>
          <w:szCs w:val="24"/>
        </w:rPr>
      </w:pPr>
    </w:p>
    <w:p w14:paraId="225A0CAE" w14:textId="5D141FCE" w:rsidR="00165689" w:rsidRDefault="00165689" w:rsidP="00165689">
      <w:pPr>
        <w:spacing w:line="360" w:lineRule="auto"/>
        <w:rPr>
          <w:sz w:val="24"/>
          <w:szCs w:val="24"/>
          <w:vertAlign w:val="superscript"/>
        </w:rPr>
      </w:pPr>
      <w:r>
        <w:rPr>
          <w:sz w:val="24"/>
          <w:szCs w:val="24"/>
        </w:rPr>
        <w:tab/>
      </w:r>
      <w:r>
        <w:rPr>
          <w:sz w:val="24"/>
          <w:szCs w:val="24"/>
        </w:rPr>
        <w:tab/>
        <w:t>Subject matter jurisdiction is a prerequisite to the exercise of the power to decide a controversy.</w:t>
      </w:r>
      <w:r>
        <w:rPr>
          <w:rStyle w:val="FootnoteReference"/>
          <w:szCs w:val="24"/>
          <w:vertAlign w:val="superscript"/>
        </w:rPr>
        <w:footnoteReference w:id="1"/>
      </w:r>
      <w:r w:rsidR="00287F42">
        <w:rPr>
          <w:sz w:val="24"/>
          <w:szCs w:val="24"/>
        </w:rPr>
        <w:t xml:space="preserve">  </w:t>
      </w:r>
      <w:r>
        <w:rPr>
          <w:sz w:val="24"/>
          <w:szCs w:val="24"/>
        </w:rPr>
        <w:t>The Commission cannot exceed its jurisdiction and must act within it.</w:t>
      </w:r>
      <w:r>
        <w:rPr>
          <w:rStyle w:val="FootnoteReference"/>
          <w:szCs w:val="24"/>
          <w:vertAlign w:val="superscript"/>
        </w:rPr>
        <w:footnoteReference w:id="2"/>
      </w:r>
      <w:r>
        <w:rPr>
          <w:sz w:val="24"/>
          <w:szCs w:val="24"/>
          <w:vertAlign w:val="superscript"/>
        </w:rPr>
        <w:t xml:space="preserve"> </w:t>
      </w:r>
      <w:r>
        <w:rPr>
          <w:sz w:val="24"/>
          <w:szCs w:val="24"/>
        </w:rPr>
        <w:t xml:space="preserve">  Jurisdiction may not be conferred by the parties where none exists.</w:t>
      </w:r>
      <w:r>
        <w:rPr>
          <w:rStyle w:val="FootnoteReference"/>
          <w:szCs w:val="24"/>
          <w:vertAlign w:val="superscript"/>
        </w:rPr>
        <w:footnoteReference w:id="3"/>
      </w:r>
      <w:r>
        <w:rPr>
          <w:sz w:val="24"/>
          <w:szCs w:val="24"/>
          <w:vertAlign w:val="superscript"/>
        </w:rPr>
        <w:t xml:space="preserve">   </w:t>
      </w:r>
    </w:p>
    <w:p w14:paraId="73A52F46" w14:textId="77777777" w:rsidR="00165689" w:rsidRDefault="00165689" w:rsidP="00165689">
      <w:pPr>
        <w:spacing w:line="360" w:lineRule="auto"/>
        <w:rPr>
          <w:sz w:val="24"/>
          <w:szCs w:val="24"/>
        </w:rPr>
      </w:pPr>
      <w:r>
        <w:rPr>
          <w:sz w:val="24"/>
          <w:szCs w:val="24"/>
        </w:rPr>
        <w:tab/>
      </w:r>
      <w:r>
        <w:rPr>
          <w:sz w:val="24"/>
          <w:szCs w:val="24"/>
        </w:rPr>
        <w:tab/>
      </w:r>
    </w:p>
    <w:p w14:paraId="3C9E36D8" w14:textId="68151A52" w:rsidR="00165689" w:rsidRDefault="00165689" w:rsidP="00165689">
      <w:pPr>
        <w:spacing w:line="360" w:lineRule="auto"/>
        <w:rPr>
          <w:sz w:val="24"/>
          <w:szCs w:val="24"/>
        </w:rPr>
      </w:pPr>
      <w:r>
        <w:rPr>
          <w:sz w:val="24"/>
          <w:szCs w:val="24"/>
        </w:rPr>
        <w:tab/>
      </w:r>
      <w:r>
        <w:rPr>
          <w:sz w:val="24"/>
          <w:szCs w:val="24"/>
        </w:rPr>
        <w:tab/>
        <w:t>The courts of Pennsylvania have long recognized that the reasonableness, adequacy, and sufficiency of public utility service are within the exclusive original jurisdiction of the Commission.</w:t>
      </w:r>
      <w:r>
        <w:rPr>
          <w:rStyle w:val="FootnoteReference"/>
          <w:szCs w:val="24"/>
          <w:vertAlign w:val="superscript"/>
        </w:rPr>
        <w:footnoteReference w:id="4"/>
      </w:r>
      <w:r>
        <w:rPr>
          <w:sz w:val="24"/>
          <w:szCs w:val="24"/>
        </w:rPr>
        <w:t xml:space="preserve">  However, Pennsylvania courts have also held that the enforcement powers of the Commission do not include the power to award monetary damages.  </w:t>
      </w:r>
      <w:r>
        <w:rPr>
          <w:i/>
          <w:iCs/>
          <w:sz w:val="24"/>
          <w:szCs w:val="24"/>
        </w:rPr>
        <w:t>Elkin v. Bell</w:t>
      </w:r>
      <w:r>
        <w:rPr>
          <w:sz w:val="24"/>
          <w:szCs w:val="24"/>
        </w:rPr>
        <w:t xml:space="preserve">, 420 A.2d 371 (1980); </w:t>
      </w:r>
      <w:r>
        <w:rPr>
          <w:i/>
          <w:iCs/>
          <w:sz w:val="24"/>
          <w:szCs w:val="24"/>
        </w:rPr>
        <w:t>Feingold v. Bell of Pa</w:t>
      </w:r>
      <w:r w:rsidR="005E62A5">
        <w:rPr>
          <w:i/>
          <w:iCs/>
          <w:sz w:val="24"/>
          <w:szCs w:val="24"/>
        </w:rPr>
        <w:t>.</w:t>
      </w:r>
      <w:r>
        <w:rPr>
          <w:sz w:val="24"/>
          <w:szCs w:val="24"/>
        </w:rPr>
        <w:t xml:space="preserve">, 383 A.2d 791 (1978); </w:t>
      </w:r>
      <w:r>
        <w:rPr>
          <w:i/>
          <w:sz w:val="24"/>
          <w:szCs w:val="24"/>
        </w:rPr>
        <w:t xml:space="preserve">see </w:t>
      </w:r>
      <w:r>
        <w:rPr>
          <w:i/>
          <w:iCs/>
          <w:sz w:val="24"/>
          <w:szCs w:val="24"/>
        </w:rPr>
        <w:t>Nagy v. Bell Tel. Co.,</w:t>
      </w:r>
      <w:r>
        <w:rPr>
          <w:sz w:val="24"/>
          <w:szCs w:val="24"/>
        </w:rPr>
        <w:t xml:space="preserve"> 436 </w:t>
      </w:r>
      <w:r w:rsidR="00460141">
        <w:rPr>
          <w:sz w:val="24"/>
          <w:szCs w:val="24"/>
        </w:rPr>
        <w:t>A</w:t>
      </w:r>
      <w:r>
        <w:rPr>
          <w:sz w:val="24"/>
          <w:szCs w:val="24"/>
        </w:rPr>
        <w:t>.2d 701 (Pa.</w:t>
      </w:r>
      <w:r w:rsidR="005E62A5">
        <w:rPr>
          <w:sz w:val="24"/>
          <w:szCs w:val="24"/>
        </w:rPr>
        <w:t xml:space="preserve"> </w:t>
      </w:r>
      <w:r>
        <w:rPr>
          <w:sz w:val="24"/>
          <w:szCs w:val="24"/>
        </w:rPr>
        <w:t xml:space="preserve">Super. 1981).  The Court of Common Pleas retains original jurisdiction over suits for monetary damages.  </w:t>
      </w:r>
      <w:r>
        <w:rPr>
          <w:i/>
          <w:iCs/>
          <w:sz w:val="24"/>
          <w:szCs w:val="24"/>
        </w:rPr>
        <w:t>Behrend v. Bell Tel</w:t>
      </w:r>
      <w:r w:rsidR="005E62A5">
        <w:rPr>
          <w:i/>
          <w:iCs/>
          <w:sz w:val="24"/>
          <w:szCs w:val="24"/>
        </w:rPr>
        <w:t>.</w:t>
      </w:r>
      <w:r>
        <w:rPr>
          <w:i/>
          <w:iCs/>
          <w:sz w:val="24"/>
          <w:szCs w:val="24"/>
        </w:rPr>
        <w:t xml:space="preserve"> Co.,</w:t>
      </w:r>
      <w:r>
        <w:rPr>
          <w:sz w:val="24"/>
          <w:szCs w:val="24"/>
        </w:rPr>
        <w:t xml:space="preserve"> 363 A.2d 1152 (Pa.</w:t>
      </w:r>
      <w:r w:rsidR="005E62A5">
        <w:rPr>
          <w:sz w:val="24"/>
          <w:szCs w:val="24"/>
        </w:rPr>
        <w:t xml:space="preserve"> </w:t>
      </w:r>
      <w:r>
        <w:rPr>
          <w:sz w:val="24"/>
          <w:szCs w:val="24"/>
        </w:rPr>
        <w:t xml:space="preserve">Super 1976).  </w:t>
      </w:r>
    </w:p>
    <w:p w14:paraId="1CAACAD9" w14:textId="50790C66" w:rsidR="00165689" w:rsidRDefault="00165689" w:rsidP="00165689">
      <w:pPr>
        <w:spacing w:line="360" w:lineRule="auto"/>
        <w:rPr>
          <w:sz w:val="24"/>
          <w:szCs w:val="24"/>
        </w:rPr>
      </w:pPr>
      <w:r>
        <w:rPr>
          <w:sz w:val="24"/>
          <w:szCs w:val="24"/>
        </w:rPr>
        <w:lastRenderedPageBreak/>
        <w:tab/>
      </w:r>
      <w:r>
        <w:rPr>
          <w:sz w:val="24"/>
          <w:szCs w:val="24"/>
        </w:rPr>
        <w:tab/>
        <w:t>In this proceeding, Complainant explicitly requests</w:t>
      </w:r>
      <w:r>
        <w:rPr>
          <w:color w:val="000000"/>
          <w:w w:val="108"/>
          <w:sz w:val="24"/>
          <w:szCs w:val="24"/>
        </w:rPr>
        <w:t xml:space="preserve"> the Commission order the Company reimburse him </w:t>
      </w:r>
      <w:r w:rsidR="005E62A5">
        <w:rPr>
          <w:color w:val="000000"/>
          <w:w w:val="108"/>
          <w:sz w:val="24"/>
          <w:szCs w:val="24"/>
        </w:rPr>
        <w:t>for additional damages that occurred at his property after a power surge</w:t>
      </w:r>
      <w:r>
        <w:rPr>
          <w:color w:val="000000"/>
          <w:w w:val="108"/>
          <w:sz w:val="24"/>
          <w:szCs w:val="24"/>
        </w:rPr>
        <w:t>.</w:t>
      </w:r>
      <w:r>
        <w:rPr>
          <w:sz w:val="24"/>
          <w:szCs w:val="24"/>
        </w:rPr>
        <w:t xml:space="preserve">  This portion of the Complaint is stricken from the Complaint and dismissed without hearing because the Commission lacks jurisdiction to award monetary damages.  </w:t>
      </w:r>
    </w:p>
    <w:p w14:paraId="5F349A28" w14:textId="77777777" w:rsidR="00165689" w:rsidRPr="00F1718F" w:rsidRDefault="00165689" w:rsidP="00165689">
      <w:pPr>
        <w:tabs>
          <w:tab w:val="left" w:pos="-720"/>
        </w:tabs>
        <w:suppressAutoHyphens/>
        <w:autoSpaceDE w:val="0"/>
        <w:autoSpaceDN w:val="0"/>
        <w:spacing w:line="360" w:lineRule="auto"/>
        <w:ind w:firstLine="1440"/>
        <w:rPr>
          <w:sz w:val="24"/>
          <w:szCs w:val="24"/>
        </w:rPr>
      </w:pPr>
    </w:p>
    <w:p w14:paraId="48BCB330" w14:textId="77777777" w:rsidR="00F1718F" w:rsidRPr="00F1718F" w:rsidRDefault="00F1718F" w:rsidP="00F1718F">
      <w:pPr>
        <w:spacing w:line="360" w:lineRule="auto"/>
        <w:ind w:firstLine="1440"/>
        <w:rPr>
          <w:rFonts w:eastAsiaTheme="minorHAnsi"/>
          <w:sz w:val="24"/>
          <w:szCs w:val="24"/>
        </w:rPr>
      </w:pPr>
      <w:r w:rsidRPr="00F1718F">
        <w:rPr>
          <w:snapToGrid w:val="0"/>
          <w:spacing w:val="-3"/>
          <w:sz w:val="24"/>
          <w:szCs w:val="24"/>
        </w:rPr>
        <w:t xml:space="preserve">The Public Utility Code at 66 </w:t>
      </w:r>
      <w:proofErr w:type="spellStart"/>
      <w:r w:rsidRPr="00F1718F">
        <w:rPr>
          <w:snapToGrid w:val="0"/>
          <w:spacing w:val="-3"/>
          <w:sz w:val="24"/>
          <w:szCs w:val="24"/>
        </w:rPr>
        <w:t>Pa.C.S</w:t>
      </w:r>
      <w:proofErr w:type="spellEnd"/>
      <w:r w:rsidRPr="00F1718F">
        <w:rPr>
          <w:snapToGrid w:val="0"/>
          <w:spacing w:val="-3"/>
          <w:sz w:val="24"/>
          <w:szCs w:val="24"/>
        </w:rPr>
        <w:t xml:space="preserve">. § 1501 requires public utilities to provide reasonable and adequate, not perfect service.  </w:t>
      </w:r>
      <w:r w:rsidRPr="00F1718F">
        <w:rPr>
          <w:sz w:val="24"/>
          <w:szCs w:val="24"/>
        </w:rPr>
        <w:t xml:space="preserve">The statute at 66 </w:t>
      </w:r>
      <w:proofErr w:type="spellStart"/>
      <w:r w:rsidRPr="00F1718F">
        <w:rPr>
          <w:sz w:val="24"/>
          <w:szCs w:val="24"/>
        </w:rPr>
        <w:t>Pa.C.S</w:t>
      </w:r>
      <w:proofErr w:type="spellEnd"/>
      <w:r w:rsidRPr="00F1718F">
        <w:rPr>
          <w:sz w:val="24"/>
          <w:szCs w:val="24"/>
        </w:rPr>
        <w:t>. § 1501, provides, in relevant part:</w:t>
      </w:r>
    </w:p>
    <w:p w14:paraId="0A3312F4" w14:textId="77777777" w:rsidR="00F1718F" w:rsidRPr="00F1718F" w:rsidRDefault="00F1718F" w:rsidP="00F1718F">
      <w:pPr>
        <w:ind w:firstLine="1440"/>
        <w:rPr>
          <w:rFonts w:eastAsia="Calibri"/>
          <w:sz w:val="24"/>
          <w:szCs w:val="24"/>
        </w:rPr>
      </w:pPr>
    </w:p>
    <w:p w14:paraId="646ADE4D" w14:textId="77777777" w:rsidR="00F1718F" w:rsidRPr="00F1718F" w:rsidRDefault="00F1718F" w:rsidP="00F1718F">
      <w:pPr>
        <w:ind w:left="1440" w:right="1440"/>
        <w:rPr>
          <w:sz w:val="24"/>
          <w:szCs w:val="24"/>
        </w:rPr>
      </w:pPr>
      <w:r w:rsidRPr="00F1718F">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w:t>
      </w:r>
    </w:p>
    <w:p w14:paraId="72DF0AA2" w14:textId="77777777" w:rsidR="00F1718F" w:rsidRPr="00F1718F" w:rsidRDefault="00F1718F" w:rsidP="00F1718F">
      <w:pPr>
        <w:ind w:left="1440" w:right="1440"/>
        <w:rPr>
          <w:sz w:val="24"/>
          <w:szCs w:val="24"/>
        </w:rPr>
      </w:pPr>
    </w:p>
    <w:p w14:paraId="71A7E0CF" w14:textId="77777777" w:rsidR="00F1718F" w:rsidRPr="00F1718F" w:rsidRDefault="00F1718F" w:rsidP="00F1718F">
      <w:pPr>
        <w:spacing w:line="360" w:lineRule="auto"/>
        <w:ind w:firstLine="1440"/>
        <w:rPr>
          <w:sz w:val="24"/>
          <w:szCs w:val="24"/>
        </w:rPr>
      </w:pPr>
      <w:r w:rsidRPr="00F1718F">
        <w:rPr>
          <w:sz w:val="24"/>
          <w:szCs w:val="24"/>
        </w:rPr>
        <w:t>Interpreting this provision in</w:t>
      </w:r>
      <w:r w:rsidRPr="00F1718F">
        <w:rPr>
          <w:i/>
          <w:sz w:val="24"/>
          <w:szCs w:val="24"/>
        </w:rPr>
        <w:t xml:space="preserve"> West Penn Power Co. v. Pa. Pub. Util. Comm’n</w:t>
      </w:r>
      <w:r w:rsidRPr="00F1718F">
        <w:rPr>
          <w:sz w:val="24"/>
          <w:szCs w:val="24"/>
        </w:rPr>
        <w:t>, 478 A.2d 947 (</w:t>
      </w:r>
      <w:r w:rsidRPr="00F1718F">
        <w:rPr>
          <w:spacing w:val="-3"/>
          <w:sz w:val="24"/>
          <w:szCs w:val="24"/>
        </w:rPr>
        <w:t xml:space="preserve">Pa. </w:t>
      </w:r>
      <w:proofErr w:type="spellStart"/>
      <w:r w:rsidRPr="00F1718F">
        <w:rPr>
          <w:spacing w:val="-3"/>
          <w:sz w:val="24"/>
          <w:szCs w:val="24"/>
        </w:rPr>
        <w:t>Cmwlth</w:t>
      </w:r>
      <w:proofErr w:type="spellEnd"/>
      <w:r w:rsidRPr="00F1718F">
        <w:rPr>
          <w:spacing w:val="-3"/>
          <w:sz w:val="24"/>
          <w:szCs w:val="24"/>
        </w:rPr>
        <w:t>.</w:t>
      </w:r>
      <w:r w:rsidRPr="00F1718F">
        <w:rPr>
          <w:sz w:val="24"/>
          <w:szCs w:val="24"/>
        </w:rPr>
        <w:t xml:space="preserve"> 1984), the Commonwealth Court stated:</w:t>
      </w:r>
    </w:p>
    <w:p w14:paraId="50685E0F" w14:textId="77777777" w:rsidR="00F1718F" w:rsidRPr="00F1718F" w:rsidRDefault="00F1718F" w:rsidP="00F1718F">
      <w:pPr>
        <w:ind w:firstLine="1440"/>
        <w:rPr>
          <w:sz w:val="24"/>
          <w:szCs w:val="24"/>
        </w:rPr>
      </w:pPr>
    </w:p>
    <w:p w14:paraId="4EED3ED7" w14:textId="77777777" w:rsidR="00F1718F" w:rsidRPr="00F1718F" w:rsidRDefault="00F1718F" w:rsidP="00F1718F">
      <w:pPr>
        <w:ind w:left="1440" w:right="1440"/>
        <w:rPr>
          <w:sz w:val="24"/>
          <w:szCs w:val="24"/>
        </w:rPr>
      </w:pPr>
      <w:r w:rsidRPr="00F1718F">
        <w:rPr>
          <w:sz w:val="24"/>
          <w:szCs w:val="24"/>
        </w:rPr>
        <w:t xml:space="preserve">We hold that </w:t>
      </w:r>
      <w:proofErr w:type="gramStart"/>
      <w:r w:rsidRPr="00F1718F">
        <w:rPr>
          <w:sz w:val="24"/>
          <w:szCs w:val="24"/>
        </w:rPr>
        <w:t>in order for</w:t>
      </w:r>
      <w:proofErr w:type="gramEnd"/>
      <w:r w:rsidRPr="00F1718F">
        <w:rPr>
          <w:sz w:val="24"/>
          <w:szCs w:val="24"/>
        </w:rPr>
        <w:t xml:space="preserve"> the PUC to sustain a complaint brought under this section, the utility must be in violation of its duty under this section.  Without such a violation by the utility, the PUC does not have the authority, when acting on a customer’s complaint, to require any action by the utility.  (</w:t>
      </w:r>
      <w:proofErr w:type="gramStart"/>
      <w:r w:rsidRPr="00F1718F">
        <w:rPr>
          <w:sz w:val="24"/>
          <w:szCs w:val="24"/>
        </w:rPr>
        <w:t>footnote</w:t>
      </w:r>
      <w:proofErr w:type="gramEnd"/>
      <w:r w:rsidRPr="00F1718F">
        <w:rPr>
          <w:sz w:val="24"/>
          <w:szCs w:val="24"/>
        </w:rPr>
        <w:t xml:space="preserve"> omitted).  </w:t>
      </w:r>
    </w:p>
    <w:p w14:paraId="7E908C54" w14:textId="77777777" w:rsidR="00F1718F" w:rsidRPr="00F1718F" w:rsidRDefault="00F1718F" w:rsidP="00F1718F">
      <w:pPr>
        <w:ind w:left="1440" w:right="1440"/>
        <w:rPr>
          <w:sz w:val="24"/>
          <w:szCs w:val="24"/>
        </w:rPr>
      </w:pPr>
    </w:p>
    <w:p w14:paraId="0A6464A3" w14:textId="77777777" w:rsidR="00F1718F" w:rsidRPr="00F1718F" w:rsidRDefault="00F1718F" w:rsidP="00287F42">
      <w:pPr>
        <w:spacing w:line="360" w:lineRule="auto"/>
        <w:rPr>
          <w:sz w:val="24"/>
          <w:szCs w:val="24"/>
        </w:rPr>
      </w:pPr>
      <w:r w:rsidRPr="00F1718F">
        <w:rPr>
          <w:sz w:val="24"/>
          <w:szCs w:val="24"/>
        </w:rPr>
        <w:t>478 A.2d at 949.</w:t>
      </w:r>
    </w:p>
    <w:p w14:paraId="487566E7" w14:textId="77777777" w:rsidR="00F1718F" w:rsidRPr="00F1718F" w:rsidRDefault="00F1718F" w:rsidP="00287F42">
      <w:pPr>
        <w:spacing w:line="360" w:lineRule="auto"/>
        <w:rPr>
          <w:sz w:val="24"/>
          <w:szCs w:val="24"/>
        </w:rPr>
      </w:pPr>
    </w:p>
    <w:p w14:paraId="5AF993C4" w14:textId="1DB95B34" w:rsidR="00F1718F" w:rsidRDefault="00F1718F" w:rsidP="00F1718F">
      <w:pPr>
        <w:spacing w:line="360" w:lineRule="auto"/>
        <w:ind w:firstLine="1440"/>
        <w:rPr>
          <w:sz w:val="24"/>
          <w:szCs w:val="24"/>
        </w:rPr>
      </w:pPr>
      <w:r w:rsidRPr="00F1718F">
        <w:rPr>
          <w:sz w:val="24"/>
          <w:szCs w:val="24"/>
        </w:rPr>
        <w:t>The statutory definition of “service” is to be broadly construed.</w:t>
      </w:r>
      <w:r w:rsidRPr="00F1718F">
        <w:rPr>
          <w:sz w:val="24"/>
          <w:szCs w:val="24"/>
          <w:vertAlign w:val="superscript"/>
        </w:rPr>
        <w:footnoteReference w:id="5"/>
      </w:r>
      <w:r w:rsidRPr="00F1718F">
        <w:rPr>
          <w:sz w:val="24"/>
          <w:szCs w:val="24"/>
        </w:rPr>
        <w:t xml:space="preserve">  </w:t>
      </w:r>
      <w:r w:rsidRPr="00F1718F">
        <w:rPr>
          <w:i/>
          <w:sz w:val="24"/>
          <w:szCs w:val="24"/>
        </w:rPr>
        <w:t xml:space="preserve">Country Place Waste Treatment Co., Inc. v. Pa. Publ. Util. Comm’n, </w:t>
      </w:r>
      <w:r w:rsidRPr="00F1718F">
        <w:rPr>
          <w:sz w:val="24"/>
          <w:szCs w:val="24"/>
        </w:rPr>
        <w:t xml:space="preserve">654 A.2d 72 (Pa. </w:t>
      </w:r>
      <w:proofErr w:type="spellStart"/>
      <w:r w:rsidRPr="00F1718F">
        <w:rPr>
          <w:sz w:val="24"/>
          <w:szCs w:val="24"/>
        </w:rPr>
        <w:t>Cmwlth</w:t>
      </w:r>
      <w:proofErr w:type="spellEnd"/>
      <w:r w:rsidRPr="00F1718F">
        <w:rPr>
          <w:sz w:val="24"/>
          <w:szCs w:val="24"/>
        </w:rPr>
        <w:t xml:space="preserve">. 1995).  In applying the facts to the law, the issue becomes whether PWSA’s actions as described in the </w:t>
      </w:r>
      <w:r w:rsidRPr="00F1718F">
        <w:rPr>
          <w:sz w:val="24"/>
          <w:szCs w:val="24"/>
        </w:rPr>
        <w:lastRenderedPageBreak/>
        <w:t xml:space="preserve">Complaint rise to the level of inadequate service that constitutes a violation of the Public Utility Code.  This question remains in factual and legal dispute by the parties.  The Complainant indicated that there were </w:t>
      </w:r>
      <w:proofErr w:type="gramStart"/>
      <w:r w:rsidRPr="00F1718F">
        <w:rPr>
          <w:sz w:val="24"/>
          <w:szCs w:val="24"/>
        </w:rPr>
        <w:t>a number of</w:t>
      </w:r>
      <w:proofErr w:type="gramEnd"/>
      <w:r w:rsidRPr="00F1718F">
        <w:rPr>
          <w:sz w:val="24"/>
          <w:szCs w:val="24"/>
        </w:rPr>
        <w:t xml:space="preserve"> issues with his service, including PWSA’s failure to shut off the water, failure to fix the curb box as well as billing issues.  Therefore, the matter must move forward for a hearing.  While it is noted that the Commission does not have jurisdiction regarding specific water quality requirements, general water quality issues would be considered “service” under the Public Utility Code.  </w:t>
      </w:r>
    </w:p>
    <w:p w14:paraId="6AEC8EF0" w14:textId="10347E1C" w:rsidR="00A02CCC" w:rsidRDefault="00A02CCC" w:rsidP="00F1718F">
      <w:pPr>
        <w:spacing w:line="360" w:lineRule="auto"/>
        <w:ind w:firstLine="1440"/>
        <w:rPr>
          <w:sz w:val="24"/>
          <w:szCs w:val="24"/>
        </w:rPr>
      </w:pPr>
    </w:p>
    <w:p w14:paraId="48D6A175" w14:textId="647EDFBA" w:rsidR="00A02CCC" w:rsidRDefault="00A02CCC" w:rsidP="00F1718F">
      <w:pPr>
        <w:spacing w:line="360" w:lineRule="auto"/>
        <w:ind w:firstLine="1440"/>
        <w:rPr>
          <w:sz w:val="24"/>
          <w:szCs w:val="24"/>
        </w:rPr>
      </w:pPr>
      <w:r>
        <w:rPr>
          <w:sz w:val="24"/>
          <w:szCs w:val="24"/>
        </w:rPr>
        <w:t>In the Complaint, the Complainant indicates that PECO took a year to process his claim for damages at his proper</w:t>
      </w:r>
      <w:r w:rsidR="00DF5594">
        <w:rPr>
          <w:sz w:val="24"/>
          <w:szCs w:val="24"/>
        </w:rPr>
        <w:t xml:space="preserve">ty, he alleges was caused by a power surge.  </w:t>
      </w:r>
      <w:r w:rsidR="00AC58E4">
        <w:rPr>
          <w:sz w:val="24"/>
          <w:szCs w:val="24"/>
        </w:rPr>
        <w:t xml:space="preserve">It is </w:t>
      </w:r>
      <w:r w:rsidR="003C0BCB">
        <w:rPr>
          <w:sz w:val="24"/>
          <w:szCs w:val="24"/>
        </w:rPr>
        <w:t xml:space="preserve">evident from the Complaint, the Complainant was dissatisfied with the service he received from PECO regarding his claim.  </w:t>
      </w:r>
      <w:r w:rsidR="00480CA9">
        <w:rPr>
          <w:sz w:val="24"/>
          <w:szCs w:val="24"/>
        </w:rPr>
        <w:t>The Company disputes this in its Answer and there is a genuine factual dispute</w:t>
      </w:r>
      <w:r w:rsidR="00A03068">
        <w:rPr>
          <w:sz w:val="24"/>
          <w:szCs w:val="24"/>
        </w:rPr>
        <w:t xml:space="preserve"> between the parties regarding this matter.   </w:t>
      </w:r>
    </w:p>
    <w:p w14:paraId="7259CDF1" w14:textId="7A3E7B8D" w:rsidR="00A03068" w:rsidRDefault="00A03068" w:rsidP="00F1718F">
      <w:pPr>
        <w:spacing w:line="360" w:lineRule="auto"/>
        <w:ind w:firstLine="1440"/>
        <w:rPr>
          <w:sz w:val="24"/>
          <w:szCs w:val="24"/>
        </w:rPr>
      </w:pPr>
    </w:p>
    <w:p w14:paraId="33A6BCF7" w14:textId="6A9D91A1" w:rsidR="00F1718F" w:rsidRPr="00F1718F" w:rsidRDefault="00A03068" w:rsidP="00AD2AEB">
      <w:pPr>
        <w:spacing w:line="360" w:lineRule="auto"/>
        <w:ind w:firstLine="1440"/>
        <w:rPr>
          <w:sz w:val="24"/>
          <w:szCs w:val="24"/>
        </w:rPr>
      </w:pPr>
      <w:r>
        <w:rPr>
          <w:sz w:val="24"/>
          <w:szCs w:val="24"/>
        </w:rPr>
        <w:t xml:space="preserve">There is also a question as to whether PECO provided safe, adequate and reasonable service to the Complainant at his property related to the power surge and </w:t>
      </w:r>
      <w:r w:rsidR="00AD2AEB">
        <w:rPr>
          <w:sz w:val="24"/>
          <w:szCs w:val="24"/>
        </w:rPr>
        <w:t xml:space="preserve">how it handled his subsequent damage claim.  There is a need to determine if there is a violation of Section 1501 of the Public Utility Code and if civil penalties are warranted under the law.  </w:t>
      </w:r>
    </w:p>
    <w:p w14:paraId="39108182" w14:textId="77777777" w:rsidR="00F1718F" w:rsidRDefault="00F1718F" w:rsidP="00F1718F">
      <w:pPr>
        <w:pStyle w:val="FootnoteText"/>
        <w:spacing w:line="360" w:lineRule="auto"/>
      </w:pPr>
    </w:p>
    <w:p w14:paraId="7A1BC695" w14:textId="48CDB196" w:rsidR="00165689" w:rsidRDefault="00165689" w:rsidP="00165689">
      <w:pPr>
        <w:spacing w:line="360" w:lineRule="auto"/>
        <w:ind w:firstLine="1440"/>
        <w:rPr>
          <w:rFonts w:eastAsiaTheme="minorHAnsi"/>
          <w:sz w:val="24"/>
          <w:szCs w:val="24"/>
        </w:rPr>
      </w:pPr>
      <w:r>
        <w:rPr>
          <w:sz w:val="24"/>
          <w:szCs w:val="24"/>
        </w:rPr>
        <w:t xml:space="preserve">Based on </w:t>
      </w:r>
      <w:proofErr w:type="gramStart"/>
      <w:r>
        <w:rPr>
          <w:sz w:val="24"/>
          <w:szCs w:val="24"/>
        </w:rPr>
        <w:t>all of</w:t>
      </w:r>
      <w:proofErr w:type="gramEnd"/>
      <w:r>
        <w:rPr>
          <w:sz w:val="24"/>
          <w:szCs w:val="24"/>
        </w:rPr>
        <w:t xml:space="preserve"> the above, there is a disputed question of fact and law which must be resolved.  The Complainant in his Complaint avers that </w:t>
      </w:r>
      <w:r>
        <w:rPr>
          <w:spacing w:val="-3"/>
          <w:sz w:val="24"/>
          <w:szCs w:val="24"/>
        </w:rPr>
        <w:t xml:space="preserve">there is a reliability, safety or quality problem with his utility service which the Respondent specifically denied in its Answer.  Therefore, questions remain whether, pursuant to the Public Utility Code and applicable regulations, </w:t>
      </w:r>
      <w:r w:rsidR="00AD2AEB">
        <w:rPr>
          <w:spacing w:val="-3"/>
          <w:sz w:val="24"/>
          <w:szCs w:val="24"/>
        </w:rPr>
        <w:t>PECO</w:t>
      </w:r>
      <w:r>
        <w:rPr>
          <w:spacing w:val="-3"/>
          <w:sz w:val="24"/>
          <w:szCs w:val="24"/>
        </w:rPr>
        <w:t xml:space="preserve"> provided the Complainant with adequate, efficient, safe, and reasonable service and whether civil penalties are warranted in this case.</w:t>
      </w:r>
      <w:r>
        <w:rPr>
          <w:sz w:val="24"/>
          <w:szCs w:val="24"/>
        </w:rPr>
        <w:t xml:space="preserve">  This matter should be </w:t>
      </w:r>
      <w:r w:rsidR="009F03AD">
        <w:rPr>
          <w:sz w:val="24"/>
          <w:szCs w:val="24"/>
        </w:rPr>
        <w:t>scheduled for a hearing</w:t>
      </w:r>
      <w:r>
        <w:rPr>
          <w:sz w:val="24"/>
          <w:szCs w:val="24"/>
        </w:rPr>
        <w:t xml:space="preserve"> related to the remaining issues.  </w:t>
      </w:r>
    </w:p>
    <w:p w14:paraId="169E2C28" w14:textId="77777777" w:rsidR="00165689" w:rsidRDefault="00165689" w:rsidP="00165689">
      <w:pPr>
        <w:tabs>
          <w:tab w:val="left" w:pos="-720"/>
        </w:tabs>
        <w:suppressAutoHyphens/>
        <w:autoSpaceDE w:val="0"/>
        <w:autoSpaceDN w:val="0"/>
        <w:spacing w:line="360" w:lineRule="auto"/>
        <w:ind w:firstLine="1440"/>
        <w:rPr>
          <w:rFonts w:eastAsia="Calibri"/>
          <w:sz w:val="24"/>
          <w:szCs w:val="24"/>
        </w:rPr>
      </w:pPr>
    </w:p>
    <w:p w14:paraId="4D10AEE8" w14:textId="1622B065" w:rsidR="00165689" w:rsidRDefault="00165689" w:rsidP="00165689">
      <w:pPr>
        <w:spacing w:line="360" w:lineRule="auto"/>
        <w:jc w:val="center"/>
        <w:rPr>
          <w:sz w:val="24"/>
          <w:szCs w:val="24"/>
          <w:u w:val="single"/>
        </w:rPr>
      </w:pPr>
    </w:p>
    <w:p w14:paraId="4BD5D18E" w14:textId="64D51DA2" w:rsidR="009F03AD" w:rsidRDefault="009F03AD" w:rsidP="00165689">
      <w:pPr>
        <w:spacing w:line="360" w:lineRule="auto"/>
        <w:jc w:val="center"/>
        <w:rPr>
          <w:sz w:val="24"/>
          <w:szCs w:val="24"/>
          <w:u w:val="single"/>
        </w:rPr>
      </w:pPr>
    </w:p>
    <w:p w14:paraId="5EDEC304" w14:textId="22EC5143" w:rsidR="009F03AD" w:rsidRDefault="009F03AD" w:rsidP="00165689">
      <w:pPr>
        <w:spacing w:line="360" w:lineRule="auto"/>
        <w:jc w:val="center"/>
        <w:rPr>
          <w:sz w:val="24"/>
          <w:szCs w:val="24"/>
          <w:u w:val="single"/>
        </w:rPr>
      </w:pPr>
    </w:p>
    <w:p w14:paraId="5EF644E4" w14:textId="77777777" w:rsidR="009F03AD" w:rsidRDefault="009F03AD" w:rsidP="00165689">
      <w:pPr>
        <w:spacing w:line="360" w:lineRule="auto"/>
        <w:jc w:val="center"/>
        <w:rPr>
          <w:sz w:val="24"/>
          <w:szCs w:val="24"/>
          <w:u w:val="single"/>
        </w:rPr>
      </w:pPr>
    </w:p>
    <w:p w14:paraId="1412D2D9" w14:textId="77777777" w:rsidR="00165689" w:rsidRDefault="00165689" w:rsidP="00165689">
      <w:pPr>
        <w:spacing w:line="360" w:lineRule="auto"/>
        <w:jc w:val="center"/>
        <w:rPr>
          <w:sz w:val="24"/>
          <w:szCs w:val="24"/>
          <w:u w:val="single"/>
        </w:rPr>
      </w:pPr>
      <w:r>
        <w:rPr>
          <w:sz w:val="24"/>
          <w:szCs w:val="24"/>
          <w:u w:val="single"/>
        </w:rPr>
        <w:lastRenderedPageBreak/>
        <w:t>ORDER</w:t>
      </w:r>
    </w:p>
    <w:p w14:paraId="312F9D22" w14:textId="77777777" w:rsidR="00165689" w:rsidRDefault="00165689" w:rsidP="00165689">
      <w:pPr>
        <w:spacing w:line="360" w:lineRule="auto"/>
        <w:jc w:val="center"/>
        <w:rPr>
          <w:sz w:val="24"/>
          <w:szCs w:val="24"/>
        </w:rPr>
      </w:pPr>
    </w:p>
    <w:p w14:paraId="0AABF413" w14:textId="77777777" w:rsidR="00165689" w:rsidRDefault="00165689" w:rsidP="00165689">
      <w:pPr>
        <w:spacing w:line="360" w:lineRule="auto"/>
        <w:rPr>
          <w:sz w:val="24"/>
          <w:szCs w:val="24"/>
        </w:rPr>
      </w:pPr>
    </w:p>
    <w:p w14:paraId="01BF44C3" w14:textId="77777777" w:rsidR="00165689" w:rsidRDefault="00165689" w:rsidP="00165689">
      <w:pPr>
        <w:spacing w:line="360" w:lineRule="auto"/>
        <w:rPr>
          <w:sz w:val="24"/>
          <w:szCs w:val="24"/>
        </w:rPr>
      </w:pPr>
      <w:r>
        <w:rPr>
          <w:sz w:val="24"/>
          <w:szCs w:val="24"/>
        </w:rPr>
        <w:tab/>
      </w:r>
      <w:r>
        <w:rPr>
          <w:sz w:val="24"/>
          <w:szCs w:val="24"/>
        </w:rPr>
        <w:tab/>
        <w:t>THEREFORE,</w:t>
      </w:r>
    </w:p>
    <w:p w14:paraId="21BDA7BC" w14:textId="77777777" w:rsidR="00165689" w:rsidRDefault="00165689" w:rsidP="00165689">
      <w:pPr>
        <w:spacing w:line="360" w:lineRule="auto"/>
        <w:rPr>
          <w:sz w:val="24"/>
          <w:szCs w:val="24"/>
        </w:rPr>
      </w:pPr>
    </w:p>
    <w:p w14:paraId="03D8A84D" w14:textId="77777777" w:rsidR="00165689" w:rsidRDefault="00165689" w:rsidP="00165689">
      <w:pPr>
        <w:spacing w:line="360" w:lineRule="auto"/>
        <w:rPr>
          <w:sz w:val="24"/>
          <w:szCs w:val="24"/>
        </w:rPr>
      </w:pPr>
      <w:r>
        <w:rPr>
          <w:sz w:val="24"/>
          <w:szCs w:val="24"/>
        </w:rPr>
        <w:tab/>
      </w:r>
      <w:r>
        <w:rPr>
          <w:sz w:val="24"/>
          <w:szCs w:val="24"/>
        </w:rPr>
        <w:tab/>
        <w:t>IT IS ORDERED:</w:t>
      </w:r>
    </w:p>
    <w:p w14:paraId="29BD43A7" w14:textId="77777777" w:rsidR="00165689" w:rsidRDefault="00165689" w:rsidP="00165689">
      <w:pPr>
        <w:spacing w:line="360" w:lineRule="auto"/>
        <w:rPr>
          <w:sz w:val="24"/>
          <w:szCs w:val="24"/>
        </w:rPr>
      </w:pPr>
    </w:p>
    <w:p w14:paraId="5CD9218D" w14:textId="148A9F09" w:rsidR="00165689" w:rsidRDefault="00165689" w:rsidP="00165689">
      <w:pPr>
        <w:pStyle w:val="ListParagraph"/>
        <w:numPr>
          <w:ilvl w:val="0"/>
          <w:numId w:val="1"/>
        </w:numPr>
        <w:spacing w:line="360" w:lineRule="auto"/>
        <w:ind w:left="0" w:firstLine="1440"/>
        <w:rPr>
          <w:sz w:val="24"/>
          <w:szCs w:val="24"/>
        </w:rPr>
      </w:pPr>
      <w:r>
        <w:rPr>
          <w:sz w:val="24"/>
          <w:szCs w:val="24"/>
        </w:rPr>
        <w:t>That the Preliminary Objection as filed by PECO Energy Company is granted in part such that Complainant’s requested relief for monetary damages is stricken from the Complaint and dismissed without a hearing.</w:t>
      </w:r>
    </w:p>
    <w:p w14:paraId="10E90DCB" w14:textId="77777777" w:rsidR="00165689" w:rsidRDefault="00165689" w:rsidP="00165689">
      <w:pPr>
        <w:pStyle w:val="ListParagraph"/>
        <w:spacing w:line="360" w:lineRule="auto"/>
        <w:ind w:left="1440"/>
        <w:rPr>
          <w:sz w:val="24"/>
          <w:szCs w:val="24"/>
        </w:rPr>
      </w:pPr>
    </w:p>
    <w:p w14:paraId="57C2E9FB" w14:textId="44D91DAA" w:rsidR="00165689" w:rsidRDefault="00165689" w:rsidP="00165689">
      <w:pPr>
        <w:pStyle w:val="ListParagraph"/>
        <w:numPr>
          <w:ilvl w:val="0"/>
          <w:numId w:val="1"/>
        </w:numPr>
        <w:spacing w:line="360" w:lineRule="auto"/>
        <w:ind w:left="0" w:firstLine="1440"/>
        <w:rPr>
          <w:sz w:val="24"/>
          <w:szCs w:val="24"/>
        </w:rPr>
      </w:pPr>
      <w:r>
        <w:rPr>
          <w:sz w:val="24"/>
          <w:szCs w:val="24"/>
        </w:rPr>
        <w:t xml:space="preserve">That the remaining issues involved in the Complaint are to be scheduled for hearing before me.  </w:t>
      </w:r>
    </w:p>
    <w:p w14:paraId="6B9715BA" w14:textId="77777777" w:rsidR="00165689" w:rsidRDefault="00165689" w:rsidP="00165689">
      <w:pPr>
        <w:spacing w:line="360" w:lineRule="auto"/>
        <w:ind w:firstLine="1440"/>
        <w:rPr>
          <w:sz w:val="24"/>
          <w:szCs w:val="24"/>
        </w:rPr>
      </w:pPr>
    </w:p>
    <w:p w14:paraId="1E296EB8" w14:textId="77777777" w:rsidR="00165689" w:rsidRDefault="00165689" w:rsidP="00165689">
      <w:pPr>
        <w:spacing w:line="360" w:lineRule="auto"/>
        <w:rPr>
          <w:sz w:val="24"/>
          <w:szCs w:val="24"/>
        </w:rPr>
      </w:pPr>
    </w:p>
    <w:p w14:paraId="36893CEB" w14:textId="096848D9" w:rsidR="00165689" w:rsidRDefault="00165689" w:rsidP="00165689">
      <w:pPr>
        <w:widowControl w:val="0"/>
        <w:tabs>
          <w:tab w:val="left" w:pos="0"/>
        </w:tabs>
        <w:autoSpaceDE w:val="0"/>
        <w:autoSpaceDN w:val="0"/>
        <w:adjustRightInd w:val="0"/>
        <w:jc w:val="both"/>
        <w:rPr>
          <w:sz w:val="24"/>
          <w:szCs w:val="24"/>
          <w:u w:val="single"/>
        </w:rPr>
      </w:pPr>
      <w:bookmarkStart w:id="1" w:name="_Hlk10719696"/>
      <w:r>
        <w:rPr>
          <w:sz w:val="24"/>
          <w:szCs w:val="24"/>
        </w:rPr>
        <w:t xml:space="preserve">Date:  </w:t>
      </w:r>
      <w:r>
        <w:rPr>
          <w:sz w:val="24"/>
          <w:szCs w:val="24"/>
          <w:u w:val="single"/>
        </w:rPr>
        <w:t>March 1, 2023</w:t>
      </w:r>
      <w:r>
        <w:rPr>
          <w:sz w:val="24"/>
          <w:szCs w:val="24"/>
          <w:u w:val="single"/>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14:paraId="49F2E66D" w14:textId="77777777" w:rsidR="00165689" w:rsidRDefault="00165689" w:rsidP="00165689">
      <w:pPr>
        <w:widowControl w:val="0"/>
        <w:tabs>
          <w:tab w:val="left" w:pos="0"/>
        </w:tabs>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Marta Guhl</w:t>
      </w:r>
    </w:p>
    <w:p w14:paraId="067EC263" w14:textId="77777777" w:rsidR="00165689" w:rsidRDefault="00165689" w:rsidP="00165689">
      <w:pPr>
        <w:widowControl w:val="0"/>
        <w:tabs>
          <w:tab w:val="left" w:pos="0"/>
        </w:tabs>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bookmarkEnd w:id="1"/>
    </w:p>
    <w:p w14:paraId="47F3FAD3" w14:textId="77777777" w:rsidR="00165689" w:rsidRDefault="00165689" w:rsidP="00165689">
      <w:pPr>
        <w:rPr>
          <w:sz w:val="24"/>
          <w:szCs w:val="24"/>
        </w:rPr>
        <w:sectPr w:rsidR="00165689">
          <w:footerReference w:type="default" r:id="rId7"/>
          <w:endnotePr>
            <w:numFmt w:val="decimal"/>
          </w:endnotePr>
          <w:pgSz w:w="12240" w:h="15840"/>
          <w:pgMar w:top="1440" w:right="1440" w:bottom="1440" w:left="1440" w:header="720" w:footer="720" w:gutter="0"/>
          <w:cols w:space="720"/>
        </w:sectPr>
      </w:pPr>
    </w:p>
    <w:p w14:paraId="76904594" w14:textId="77777777" w:rsidR="00287F42" w:rsidRPr="00287F42" w:rsidRDefault="00287F42" w:rsidP="00287F42">
      <w:pPr>
        <w:spacing w:after="160" w:line="259" w:lineRule="auto"/>
        <w:rPr>
          <w:rFonts w:eastAsia="Microsoft Sans Serif"/>
          <w:b/>
          <w:sz w:val="24"/>
          <w:szCs w:val="24"/>
          <w:u w:val="single"/>
        </w:rPr>
      </w:pPr>
      <w:r w:rsidRPr="00287F42">
        <w:rPr>
          <w:rFonts w:eastAsia="Microsoft Sans Serif"/>
          <w:b/>
          <w:sz w:val="24"/>
          <w:szCs w:val="24"/>
          <w:u w:val="single"/>
        </w:rPr>
        <w:lastRenderedPageBreak/>
        <w:t xml:space="preserve">C-2022-3034688 - FREDERICK </w:t>
      </w:r>
      <w:proofErr w:type="gramStart"/>
      <w:r w:rsidRPr="00287F42">
        <w:rPr>
          <w:rFonts w:eastAsia="Microsoft Sans Serif"/>
          <w:b/>
          <w:sz w:val="24"/>
          <w:szCs w:val="24"/>
          <w:u w:val="single"/>
        </w:rPr>
        <w:t>WHITE  v.</w:t>
      </w:r>
      <w:proofErr w:type="gramEnd"/>
      <w:r w:rsidRPr="00287F42">
        <w:rPr>
          <w:rFonts w:eastAsia="Microsoft Sans Serif"/>
          <w:b/>
          <w:sz w:val="24"/>
          <w:szCs w:val="24"/>
          <w:u w:val="single"/>
        </w:rPr>
        <w:t xml:space="preserve"> PECO ENERGY COMPANY</w:t>
      </w:r>
    </w:p>
    <w:p w14:paraId="17CA4796" w14:textId="77777777" w:rsidR="00287F42" w:rsidRPr="00287F42" w:rsidRDefault="00287F42" w:rsidP="00287F42">
      <w:pPr>
        <w:spacing w:after="160" w:line="259" w:lineRule="auto"/>
        <w:rPr>
          <w:rFonts w:eastAsia="Microsoft Sans Serif"/>
          <w:i/>
          <w:iCs/>
          <w:sz w:val="24"/>
          <w:szCs w:val="24"/>
        </w:rPr>
      </w:pPr>
      <w:r w:rsidRPr="00287F42">
        <w:rPr>
          <w:rFonts w:eastAsia="Microsoft Sans Serif"/>
          <w:b/>
          <w:sz w:val="24"/>
          <w:szCs w:val="24"/>
          <w:u w:val="single"/>
        </w:rPr>
        <w:cr/>
      </w:r>
      <w:r w:rsidRPr="00287F42">
        <w:rPr>
          <w:rFonts w:eastAsia="Microsoft Sans Serif"/>
          <w:sz w:val="24"/>
          <w:szCs w:val="24"/>
        </w:rPr>
        <w:t xml:space="preserve">FREDERICK WHITE </w:t>
      </w:r>
      <w:r w:rsidRPr="00287F42">
        <w:rPr>
          <w:rFonts w:eastAsia="Microsoft Sans Serif"/>
          <w:sz w:val="24"/>
          <w:szCs w:val="24"/>
        </w:rPr>
        <w:cr/>
        <w:t>4626 MERION AVE</w:t>
      </w:r>
      <w:r w:rsidRPr="00287F42">
        <w:rPr>
          <w:rFonts w:eastAsia="Microsoft Sans Serif"/>
          <w:sz w:val="24"/>
          <w:szCs w:val="24"/>
        </w:rPr>
        <w:cr/>
      </w:r>
      <w:proofErr w:type="gramStart"/>
      <w:r w:rsidRPr="00287F42">
        <w:rPr>
          <w:rFonts w:eastAsia="Microsoft Sans Serif"/>
          <w:sz w:val="24"/>
          <w:szCs w:val="24"/>
        </w:rPr>
        <w:t>PHILADELPHIA  PA</w:t>
      </w:r>
      <w:proofErr w:type="gramEnd"/>
      <w:r w:rsidRPr="00287F42">
        <w:rPr>
          <w:rFonts w:eastAsia="Microsoft Sans Serif"/>
          <w:sz w:val="24"/>
          <w:szCs w:val="24"/>
        </w:rPr>
        <w:t xml:space="preserve">  19131</w:t>
      </w:r>
      <w:r w:rsidRPr="00287F42">
        <w:rPr>
          <w:rFonts w:eastAsia="Microsoft Sans Serif"/>
          <w:sz w:val="24"/>
          <w:szCs w:val="24"/>
        </w:rPr>
        <w:cr/>
      </w:r>
      <w:r w:rsidRPr="00287F42">
        <w:rPr>
          <w:rFonts w:eastAsia="Microsoft Sans Serif"/>
          <w:b/>
          <w:bCs/>
          <w:sz w:val="24"/>
          <w:szCs w:val="24"/>
        </w:rPr>
        <w:t>267.912.7504</w:t>
      </w:r>
      <w:r w:rsidRPr="00287F42">
        <w:rPr>
          <w:rFonts w:eastAsia="Microsoft Sans Serif"/>
          <w:b/>
          <w:bCs/>
          <w:sz w:val="24"/>
          <w:szCs w:val="24"/>
        </w:rPr>
        <w:cr/>
      </w:r>
      <w:r w:rsidRPr="00287F42">
        <w:rPr>
          <w:rFonts w:eastAsia="Microsoft Sans Serif"/>
          <w:sz w:val="24"/>
          <w:szCs w:val="24"/>
        </w:rPr>
        <w:cr/>
        <w:t>KHADIJAH SCOTT ESQUIRE</w:t>
      </w:r>
      <w:r w:rsidRPr="00287F42">
        <w:rPr>
          <w:rFonts w:eastAsia="Microsoft Sans Serif"/>
          <w:sz w:val="24"/>
          <w:szCs w:val="24"/>
        </w:rPr>
        <w:br/>
        <w:t>2301 MARKET ST S23-1</w:t>
      </w:r>
      <w:r w:rsidRPr="00287F42">
        <w:rPr>
          <w:rFonts w:eastAsia="Microsoft Sans Serif"/>
          <w:sz w:val="24"/>
          <w:szCs w:val="24"/>
        </w:rPr>
        <w:cr/>
        <w:t>PHILADELPHIA PA  19103</w:t>
      </w:r>
      <w:r w:rsidRPr="00287F42">
        <w:rPr>
          <w:rFonts w:eastAsia="Microsoft Sans Serif"/>
          <w:sz w:val="24"/>
          <w:szCs w:val="24"/>
        </w:rPr>
        <w:cr/>
      </w:r>
      <w:r w:rsidRPr="00287F42">
        <w:rPr>
          <w:rFonts w:eastAsia="Microsoft Sans Serif"/>
          <w:b/>
          <w:bCs/>
          <w:sz w:val="24"/>
          <w:szCs w:val="24"/>
        </w:rPr>
        <w:t>215.841.6841</w:t>
      </w:r>
      <w:r w:rsidRPr="00287F42">
        <w:rPr>
          <w:rFonts w:eastAsia="Microsoft Sans Serif"/>
          <w:b/>
          <w:bCs/>
          <w:sz w:val="24"/>
          <w:szCs w:val="24"/>
        </w:rPr>
        <w:cr/>
      </w:r>
      <w:hyperlink r:id="rId8" w:history="1">
        <w:r w:rsidRPr="00287F42">
          <w:rPr>
            <w:rFonts w:eastAsia="Microsoft Sans Serif"/>
            <w:color w:val="0563C1" w:themeColor="hyperlink"/>
            <w:sz w:val="24"/>
            <w:szCs w:val="24"/>
            <w:u w:val="single"/>
          </w:rPr>
          <w:t>khadijah.scott@exeloncorp.com</w:t>
        </w:r>
      </w:hyperlink>
      <w:r w:rsidRPr="00287F42">
        <w:rPr>
          <w:rFonts w:eastAsia="Microsoft Sans Serif"/>
          <w:sz w:val="24"/>
          <w:szCs w:val="24"/>
        </w:rPr>
        <w:br/>
        <w:t>Accepts eService</w:t>
      </w:r>
      <w:r w:rsidRPr="00287F42">
        <w:rPr>
          <w:rFonts w:eastAsia="Microsoft Sans Serif"/>
          <w:sz w:val="24"/>
          <w:szCs w:val="24"/>
        </w:rPr>
        <w:br/>
      </w:r>
      <w:r w:rsidRPr="00287F42">
        <w:rPr>
          <w:rFonts w:eastAsia="Microsoft Sans Serif"/>
          <w:i/>
          <w:iCs/>
          <w:sz w:val="24"/>
          <w:szCs w:val="24"/>
        </w:rPr>
        <w:t>(Counsel for PECO Energy Company)</w:t>
      </w:r>
    </w:p>
    <w:p w14:paraId="4629130B" w14:textId="77777777" w:rsidR="00287F42" w:rsidRPr="00287F42" w:rsidRDefault="00287F42" w:rsidP="00287F42">
      <w:pPr>
        <w:spacing w:after="160" w:line="259" w:lineRule="auto"/>
        <w:rPr>
          <w:rFonts w:eastAsiaTheme="minorEastAsia"/>
          <w:sz w:val="24"/>
          <w:szCs w:val="24"/>
        </w:rPr>
      </w:pPr>
    </w:p>
    <w:p w14:paraId="3D2108AD" w14:textId="3756A8FE" w:rsidR="00287F42" w:rsidRPr="00287F42" w:rsidRDefault="00287F42" w:rsidP="00287F42">
      <w:pPr>
        <w:rPr>
          <w:sz w:val="24"/>
          <w:szCs w:val="24"/>
        </w:rPr>
      </w:pPr>
    </w:p>
    <w:p w14:paraId="129DF171" w14:textId="5044355F" w:rsidR="00287F42" w:rsidRPr="00287F42" w:rsidRDefault="00287F42" w:rsidP="00287F42">
      <w:pPr>
        <w:tabs>
          <w:tab w:val="left" w:pos="1788"/>
        </w:tabs>
        <w:rPr>
          <w:sz w:val="24"/>
          <w:szCs w:val="24"/>
        </w:rPr>
      </w:pPr>
      <w:r w:rsidRPr="00287F42">
        <w:rPr>
          <w:sz w:val="24"/>
          <w:szCs w:val="24"/>
        </w:rPr>
        <w:tab/>
      </w:r>
    </w:p>
    <w:sectPr w:rsidR="00287F42" w:rsidRPr="00287F42" w:rsidSect="0078696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E214" w14:textId="77777777" w:rsidR="00A80035" w:rsidRDefault="00A80035" w:rsidP="00165689">
      <w:r>
        <w:separator/>
      </w:r>
    </w:p>
  </w:endnote>
  <w:endnote w:type="continuationSeparator" w:id="0">
    <w:p w14:paraId="28781C18" w14:textId="77777777" w:rsidR="00A80035" w:rsidRDefault="00A80035" w:rsidP="0016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512270"/>
      <w:docPartObj>
        <w:docPartGallery w:val="Page Numbers (Bottom of Page)"/>
        <w:docPartUnique/>
      </w:docPartObj>
    </w:sdtPr>
    <w:sdtEndPr>
      <w:rPr>
        <w:noProof/>
      </w:rPr>
    </w:sdtEndPr>
    <w:sdtContent>
      <w:p w14:paraId="799CB26A" w14:textId="3B4D136D" w:rsidR="0078696A" w:rsidRDefault="007869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E68DE2" w14:textId="77777777" w:rsidR="0078696A" w:rsidRDefault="00786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1CFB" w14:textId="77777777" w:rsidR="00A80035" w:rsidRDefault="00A80035" w:rsidP="00165689">
      <w:r>
        <w:separator/>
      </w:r>
    </w:p>
  </w:footnote>
  <w:footnote w:type="continuationSeparator" w:id="0">
    <w:p w14:paraId="160F3F92" w14:textId="77777777" w:rsidR="00A80035" w:rsidRDefault="00A80035" w:rsidP="00165689">
      <w:r>
        <w:continuationSeparator/>
      </w:r>
    </w:p>
  </w:footnote>
  <w:footnote w:id="1">
    <w:p w14:paraId="37A31C2C" w14:textId="77777777" w:rsidR="00165689" w:rsidRDefault="00165689" w:rsidP="00165689">
      <w:pPr>
        <w:pStyle w:val="FootnoteText"/>
        <w:ind w:left="720"/>
      </w:pPr>
      <w:r>
        <w:rPr>
          <w:rStyle w:val="FootnoteReference"/>
          <w:vertAlign w:val="superscript"/>
        </w:rPr>
        <w:footnoteRef/>
      </w:r>
      <w:r>
        <w:t xml:space="preserve"> </w:t>
      </w:r>
      <w:r>
        <w:tab/>
      </w:r>
      <w:r>
        <w:rPr>
          <w:i/>
          <w:iCs/>
        </w:rPr>
        <w:t>Hughes v. PA State Police</w:t>
      </w:r>
      <w:r>
        <w:t xml:space="preserve">, 619 A.2d 390 (1992), </w:t>
      </w:r>
      <w:proofErr w:type="spellStart"/>
      <w:r>
        <w:rPr>
          <w:i/>
        </w:rPr>
        <w:t>alloc</w:t>
      </w:r>
      <w:proofErr w:type="spellEnd"/>
      <w:r>
        <w:rPr>
          <w:i/>
        </w:rPr>
        <w:t>. denied</w:t>
      </w:r>
      <w:r>
        <w:t xml:space="preserve">, 637 A.2d 293 (1993).    </w:t>
      </w:r>
    </w:p>
  </w:footnote>
  <w:footnote w:id="2">
    <w:p w14:paraId="077C8DA5" w14:textId="77777777" w:rsidR="00165689" w:rsidRDefault="00165689" w:rsidP="00165689">
      <w:pPr>
        <w:pStyle w:val="FootnoteText"/>
        <w:ind w:left="720"/>
      </w:pPr>
    </w:p>
    <w:p w14:paraId="50529542" w14:textId="77777777" w:rsidR="00165689" w:rsidRDefault="00165689" w:rsidP="00165689">
      <w:pPr>
        <w:pStyle w:val="FootnoteText"/>
        <w:ind w:left="720"/>
      </w:pPr>
      <w:r>
        <w:rPr>
          <w:rStyle w:val="FootnoteReference"/>
          <w:vertAlign w:val="superscript"/>
        </w:rPr>
        <w:footnoteRef/>
      </w:r>
      <w:r>
        <w:rPr>
          <w:vertAlign w:val="superscript"/>
        </w:rPr>
        <w:t xml:space="preserve"> </w:t>
      </w:r>
      <w:r>
        <w:tab/>
      </w:r>
      <w:r>
        <w:rPr>
          <w:i/>
          <w:iCs/>
        </w:rPr>
        <w:t>City of Pittsburgh v. Pa. Public Utility Commission</w:t>
      </w:r>
      <w:r>
        <w:t xml:space="preserve">, 43 A.2d 348 (Pa.Super. 1945).  </w:t>
      </w:r>
    </w:p>
  </w:footnote>
  <w:footnote w:id="3">
    <w:p w14:paraId="0B34E629" w14:textId="77777777" w:rsidR="00165689" w:rsidRDefault="00165689" w:rsidP="00165689">
      <w:pPr>
        <w:pStyle w:val="FootnoteText"/>
        <w:ind w:left="720"/>
      </w:pPr>
    </w:p>
    <w:p w14:paraId="076E7CED" w14:textId="77777777" w:rsidR="00165689" w:rsidRDefault="00165689" w:rsidP="00165689">
      <w:pPr>
        <w:pStyle w:val="FootnoteText"/>
        <w:ind w:left="720"/>
      </w:pPr>
      <w:r>
        <w:rPr>
          <w:rStyle w:val="FootnoteReference"/>
          <w:vertAlign w:val="superscript"/>
        </w:rPr>
        <w:footnoteRef/>
      </w:r>
      <w:r>
        <w:rPr>
          <w:vertAlign w:val="superscript"/>
        </w:rPr>
        <w:t xml:space="preserve"> </w:t>
      </w:r>
      <w:r>
        <w:tab/>
      </w:r>
      <w:r>
        <w:rPr>
          <w:i/>
          <w:iCs/>
        </w:rPr>
        <w:t xml:space="preserve">Roberts v. </w:t>
      </w:r>
      <w:proofErr w:type="spellStart"/>
      <w:r>
        <w:rPr>
          <w:i/>
          <w:iCs/>
        </w:rPr>
        <w:t>Martorano</w:t>
      </w:r>
      <w:proofErr w:type="spellEnd"/>
      <w:r>
        <w:t xml:space="preserve">, 235 A.2d 602 (1967).  </w:t>
      </w:r>
    </w:p>
    <w:p w14:paraId="34BB5542" w14:textId="77777777" w:rsidR="00165689" w:rsidRDefault="00165689" w:rsidP="00165689">
      <w:pPr>
        <w:pStyle w:val="FootnoteText"/>
        <w:ind w:left="720"/>
      </w:pPr>
    </w:p>
  </w:footnote>
  <w:footnote w:id="4">
    <w:p w14:paraId="11C2918E" w14:textId="77777777" w:rsidR="00165689" w:rsidRDefault="00165689" w:rsidP="00165689">
      <w:pPr>
        <w:pStyle w:val="FootnoteText"/>
        <w:ind w:left="720"/>
      </w:pPr>
      <w:r>
        <w:rPr>
          <w:rStyle w:val="FootnoteReference"/>
          <w:vertAlign w:val="superscript"/>
        </w:rPr>
        <w:footnoteRef/>
      </w:r>
      <w:r>
        <w:rPr>
          <w:vertAlign w:val="superscript"/>
        </w:rPr>
        <w:t xml:space="preserve"> </w:t>
      </w:r>
      <w:r>
        <w:tab/>
      </w:r>
      <w:r>
        <w:rPr>
          <w:i/>
        </w:rPr>
        <w:t>See, Duquesne Light Company v. Monroeville Borough</w:t>
      </w:r>
      <w:r>
        <w:t xml:space="preserve">, 449 Pa. 573, 298 A.2d 252 (1972); </w:t>
      </w:r>
      <w:r>
        <w:rPr>
          <w:i/>
          <w:iCs/>
        </w:rPr>
        <w:t>Behrend v. Bell Telephone Company</w:t>
      </w:r>
      <w:r>
        <w:t xml:space="preserve">, 431 Pa. 63, 243 A.2d 346 (1968); </w:t>
      </w:r>
      <w:r>
        <w:rPr>
          <w:i/>
          <w:iCs/>
        </w:rPr>
        <w:t>Elkin v. Bell Telephone Company</w:t>
      </w:r>
      <w:r>
        <w:t xml:space="preserve">, </w:t>
      </w:r>
      <w:r>
        <w:rPr>
          <w:i/>
        </w:rPr>
        <w:t>supra</w:t>
      </w:r>
      <w:r>
        <w:t>.</w:t>
      </w:r>
    </w:p>
  </w:footnote>
  <w:footnote w:id="5">
    <w:p w14:paraId="7D3FD79F" w14:textId="52237533" w:rsidR="00F1718F" w:rsidRDefault="00F1718F" w:rsidP="00F1718F">
      <w:pPr>
        <w:pStyle w:val="FootnoteText"/>
      </w:pPr>
      <w:r>
        <w:rPr>
          <w:rStyle w:val="FootnoteReference"/>
        </w:rPr>
        <w:footnoteRef/>
      </w:r>
      <w:r>
        <w:t xml:space="preserve"> </w:t>
      </w:r>
      <w:r>
        <w:tab/>
        <w:t xml:space="preserve">“Service.”  Used in its broadest and most inclusive sense, includes any and all acts done, rendered, or performed, and any and all things furnished or supplied, and any and all facilities used, furnished, or supplied by public </w:t>
      </w:r>
      <w:proofErr w:type="spellStart"/>
      <w:r>
        <w:t>utiliti</w:t>
      </w:r>
      <w:r w:rsidR="00287F42">
        <w:t>hazf</w:t>
      </w:r>
      <w:r>
        <w:t>es</w:t>
      </w:r>
      <w:proofErr w:type="spellEnd"/>
      <w:r>
        <w:t xml:space="preserve">, or contract carriers by motor vehicle, in the performance of their duties under this part to their patrons, employees, other public utilities, and the public, as well as the interchange of facilities between two or more of them . . .  66 </w:t>
      </w:r>
      <w:proofErr w:type="spellStart"/>
      <w:r>
        <w:t>Pa.C.S</w:t>
      </w:r>
      <w:proofErr w:type="spellEnd"/>
      <w:r>
        <w:t xml:space="preserve">. § 102.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92E82"/>
    <w:multiLevelType w:val="hybridMultilevel"/>
    <w:tmpl w:val="782CAC7E"/>
    <w:lvl w:ilvl="0" w:tplc="0E86916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58955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89"/>
    <w:rsid w:val="00165689"/>
    <w:rsid w:val="001E3641"/>
    <w:rsid w:val="00262604"/>
    <w:rsid w:val="00287F42"/>
    <w:rsid w:val="003C0BCB"/>
    <w:rsid w:val="00411724"/>
    <w:rsid w:val="00460141"/>
    <w:rsid w:val="00480CA9"/>
    <w:rsid w:val="004D661D"/>
    <w:rsid w:val="005A36CA"/>
    <w:rsid w:val="005E5681"/>
    <w:rsid w:val="005E62A5"/>
    <w:rsid w:val="006A1543"/>
    <w:rsid w:val="006D482A"/>
    <w:rsid w:val="0078696A"/>
    <w:rsid w:val="008F7AB2"/>
    <w:rsid w:val="00954D36"/>
    <w:rsid w:val="00973168"/>
    <w:rsid w:val="009F03AD"/>
    <w:rsid w:val="00A02CCC"/>
    <w:rsid w:val="00A03068"/>
    <w:rsid w:val="00A80035"/>
    <w:rsid w:val="00AC58E4"/>
    <w:rsid w:val="00AD2AEB"/>
    <w:rsid w:val="00BA7488"/>
    <w:rsid w:val="00DF5594"/>
    <w:rsid w:val="00EB75F7"/>
    <w:rsid w:val="00EE4CC4"/>
    <w:rsid w:val="00F01116"/>
    <w:rsid w:val="00F1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DD4"/>
  <w15:chartTrackingRefBased/>
  <w15:docId w15:val="{FA875740-3784-4221-89A4-E1C23C6F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6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65689"/>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689"/>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qFormat/>
    <w:rsid w:val="00165689"/>
  </w:style>
  <w:style w:type="character" w:customStyle="1" w:styleId="FootnoteTextChar">
    <w:name w:val="Footnote Text Char"/>
    <w:basedOn w:val="DefaultParagraphFont"/>
    <w:link w:val="FootnoteText"/>
    <w:semiHidden/>
    <w:rsid w:val="00165689"/>
    <w:rPr>
      <w:rFonts w:ascii="Times New Roman" w:eastAsia="Times New Roman" w:hAnsi="Times New Roman" w:cs="Times New Roman"/>
      <w:sz w:val="20"/>
      <w:szCs w:val="20"/>
    </w:rPr>
  </w:style>
  <w:style w:type="paragraph" w:styleId="ListParagraph">
    <w:name w:val="List Paragraph"/>
    <w:basedOn w:val="Normal"/>
    <w:uiPriority w:val="34"/>
    <w:qFormat/>
    <w:rsid w:val="00165689"/>
    <w:pPr>
      <w:ind w:left="720"/>
      <w:contextualSpacing/>
    </w:pPr>
  </w:style>
  <w:style w:type="character" w:styleId="FootnoteReference">
    <w:name w:val="footnote reference"/>
    <w:aliases w:val="o,fr"/>
    <w:basedOn w:val="DefaultParagraphFont"/>
    <w:semiHidden/>
    <w:unhideWhenUsed/>
    <w:rsid w:val="00165689"/>
  </w:style>
  <w:style w:type="paragraph" w:styleId="Header">
    <w:name w:val="header"/>
    <w:basedOn w:val="Normal"/>
    <w:link w:val="HeaderChar"/>
    <w:uiPriority w:val="99"/>
    <w:unhideWhenUsed/>
    <w:rsid w:val="0078696A"/>
    <w:pPr>
      <w:tabs>
        <w:tab w:val="center" w:pos="4680"/>
        <w:tab w:val="right" w:pos="9360"/>
      </w:tabs>
    </w:pPr>
  </w:style>
  <w:style w:type="character" w:customStyle="1" w:styleId="HeaderChar">
    <w:name w:val="Header Char"/>
    <w:basedOn w:val="DefaultParagraphFont"/>
    <w:link w:val="Header"/>
    <w:uiPriority w:val="99"/>
    <w:rsid w:val="007869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696A"/>
    <w:pPr>
      <w:tabs>
        <w:tab w:val="center" w:pos="4680"/>
        <w:tab w:val="right" w:pos="9360"/>
      </w:tabs>
    </w:pPr>
  </w:style>
  <w:style w:type="character" w:customStyle="1" w:styleId="FooterChar">
    <w:name w:val="Footer Char"/>
    <w:basedOn w:val="DefaultParagraphFont"/>
    <w:link w:val="Footer"/>
    <w:uiPriority w:val="99"/>
    <w:rsid w:val="0078696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83286">
      <w:bodyDiv w:val="1"/>
      <w:marLeft w:val="0"/>
      <w:marRight w:val="0"/>
      <w:marTop w:val="0"/>
      <w:marBottom w:val="0"/>
      <w:divBdr>
        <w:top w:val="none" w:sz="0" w:space="0" w:color="auto"/>
        <w:left w:val="none" w:sz="0" w:space="0" w:color="auto"/>
        <w:bottom w:val="none" w:sz="0" w:space="0" w:color="auto"/>
        <w:right w:val="none" w:sz="0" w:space="0" w:color="auto"/>
      </w:divBdr>
    </w:div>
    <w:div w:id="64462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4</cp:revision>
  <dcterms:created xsi:type="dcterms:W3CDTF">2023-03-01T20:14:00Z</dcterms:created>
  <dcterms:modified xsi:type="dcterms:W3CDTF">2023-03-01T20:16:00Z</dcterms:modified>
</cp:coreProperties>
</file>