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9627" w14:textId="77777777" w:rsidR="00BA7BF4" w:rsidRDefault="00BA7BF4" w:rsidP="00BA7BF4">
      <w:pPr>
        <w:pStyle w:val="Title"/>
        <w:ind w:right="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BEFORE THE</w:t>
      </w:r>
    </w:p>
    <w:p w14:paraId="1F2B3E3F" w14:textId="77777777" w:rsidR="00BA7BF4" w:rsidRDefault="00BA7BF4" w:rsidP="00BA7BF4">
      <w:pPr>
        <w:pStyle w:val="Subtitle"/>
        <w:ind w:right="18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Cs w:val="24"/>
            </w:rPr>
            <w:t>PENNSYLVANIA</w:t>
          </w:r>
        </w:smartTag>
      </w:smartTag>
      <w:r>
        <w:rPr>
          <w:rFonts w:ascii="Times New Roman" w:hAnsi="Times New Roman"/>
          <w:szCs w:val="24"/>
        </w:rPr>
        <w:t xml:space="preserve"> PUBLIC UTILITY COMMISSION</w:t>
      </w:r>
    </w:p>
    <w:p w14:paraId="58FFCCD4" w14:textId="77777777" w:rsidR="00BA7BF4" w:rsidRDefault="00BA7BF4" w:rsidP="00BA7BF4">
      <w:pPr>
        <w:ind w:right="18"/>
        <w:jc w:val="both"/>
        <w:rPr>
          <w:sz w:val="24"/>
          <w:szCs w:val="24"/>
        </w:rPr>
      </w:pPr>
    </w:p>
    <w:p w14:paraId="6861C7F7" w14:textId="77777777" w:rsidR="00BA7BF4" w:rsidRDefault="00BA7BF4" w:rsidP="00BA7BF4">
      <w:pPr>
        <w:ind w:right="18"/>
        <w:jc w:val="both"/>
        <w:rPr>
          <w:sz w:val="24"/>
          <w:szCs w:val="24"/>
        </w:rPr>
      </w:pPr>
    </w:p>
    <w:p w14:paraId="040B54B1" w14:textId="7ACDBC2D" w:rsidR="00BA7BF4" w:rsidRDefault="00BA7BF4" w:rsidP="00BA7BF4">
      <w:pPr>
        <w:ind w:right="18"/>
        <w:jc w:val="both"/>
        <w:rPr>
          <w:sz w:val="24"/>
          <w:szCs w:val="24"/>
        </w:rPr>
      </w:pPr>
    </w:p>
    <w:p w14:paraId="41BCCD5D" w14:textId="146CFA53" w:rsidR="00BA7BF4" w:rsidRDefault="00BA7BF4" w:rsidP="00BA7BF4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Dawn Graham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031F3212" w14:textId="00224237" w:rsidR="00BA7BF4" w:rsidRDefault="00BA7BF4" w:rsidP="00BA7BF4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A7BF4">
        <w:rPr>
          <w:sz w:val="24"/>
          <w:szCs w:val="24"/>
        </w:rPr>
        <w:t>C-2022-3032494</w:t>
      </w:r>
    </w:p>
    <w:p w14:paraId="5ED08260" w14:textId="77777777" w:rsidR="00BA7BF4" w:rsidRDefault="00BA7BF4" w:rsidP="00BA7BF4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002692AB" w14:textId="77777777" w:rsidR="00BA7BF4" w:rsidRDefault="00BA7BF4" w:rsidP="00BA7BF4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62D562EA" w14:textId="0DD28E03" w:rsidR="00BA7BF4" w:rsidRDefault="00BA7BF4" w:rsidP="00BA7BF4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Philadelphia Gas Works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F409F13" w14:textId="77777777" w:rsidR="00BA7BF4" w:rsidRDefault="00BA7BF4" w:rsidP="00BA7BF4">
      <w:pPr>
        <w:ind w:right="18"/>
        <w:jc w:val="both"/>
        <w:rPr>
          <w:sz w:val="24"/>
          <w:szCs w:val="24"/>
        </w:rPr>
      </w:pPr>
    </w:p>
    <w:p w14:paraId="5D236BA0" w14:textId="4D0EC549" w:rsidR="00BA7BF4" w:rsidRDefault="00BA7BF4" w:rsidP="00BA7BF4">
      <w:pPr>
        <w:ind w:right="18"/>
        <w:jc w:val="both"/>
        <w:rPr>
          <w:sz w:val="24"/>
          <w:szCs w:val="24"/>
        </w:rPr>
      </w:pPr>
    </w:p>
    <w:p w14:paraId="4AB35F8E" w14:textId="77777777" w:rsidR="00D87027" w:rsidRDefault="00D87027" w:rsidP="00BA7BF4">
      <w:pPr>
        <w:ind w:right="18"/>
        <w:jc w:val="both"/>
        <w:rPr>
          <w:sz w:val="24"/>
          <w:szCs w:val="24"/>
        </w:rPr>
      </w:pPr>
    </w:p>
    <w:p w14:paraId="32E4BD28" w14:textId="41BC1DC2" w:rsidR="00BA7BF4" w:rsidRDefault="00BA7BF4" w:rsidP="00BA7BF4">
      <w:pPr>
        <w:suppressAutoHyphens/>
        <w:ind w:right="18"/>
        <w:jc w:val="center"/>
        <w:rPr>
          <w:b/>
          <w:bCs/>
          <w:spacing w:val="-3"/>
          <w:sz w:val="24"/>
          <w:szCs w:val="24"/>
          <w:u w:val="single"/>
        </w:rPr>
      </w:pPr>
      <w:r>
        <w:rPr>
          <w:b/>
          <w:bCs/>
          <w:spacing w:val="-3"/>
          <w:sz w:val="24"/>
          <w:szCs w:val="24"/>
          <w:u w:val="single"/>
        </w:rPr>
        <w:t>ORDER GRANTING REQUEST TO REOPEN THE RECORD</w:t>
      </w:r>
    </w:p>
    <w:p w14:paraId="0C396DD1" w14:textId="5E65A2DA" w:rsidR="00BA7BF4" w:rsidRPr="00D87027" w:rsidRDefault="00A07D50" w:rsidP="00D87027">
      <w:pPr>
        <w:suppressAutoHyphens/>
        <w:spacing w:line="360" w:lineRule="auto"/>
        <w:ind w:right="18"/>
        <w:jc w:val="center"/>
        <w:rPr>
          <w:b/>
          <w:bCs/>
          <w:spacing w:val="-3"/>
          <w:sz w:val="24"/>
          <w:szCs w:val="24"/>
          <w:u w:val="single"/>
        </w:rPr>
      </w:pPr>
      <w:r>
        <w:rPr>
          <w:b/>
          <w:bCs/>
          <w:spacing w:val="-3"/>
          <w:sz w:val="24"/>
          <w:szCs w:val="24"/>
          <w:u w:val="single"/>
        </w:rPr>
        <w:t>AND NEW HEARING DATE</w:t>
      </w:r>
    </w:p>
    <w:p w14:paraId="1236ACF1" w14:textId="77777777" w:rsidR="00BA7BF4" w:rsidRDefault="00BA7BF4" w:rsidP="00D87027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</w:p>
    <w:p w14:paraId="56954E00" w14:textId="3E92137E" w:rsidR="00BA7BF4" w:rsidRDefault="00BA7BF4" w:rsidP="00BA7BF4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This Order grants the Complainant’s request for another hearing.  The record is </w:t>
      </w:r>
      <w:proofErr w:type="gramStart"/>
      <w:r>
        <w:rPr>
          <w:sz w:val="24"/>
          <w:szCs w:val="24"/>
        </w:rPr>
        <w:t>reopened</w:t>
      </w:r>
      <w:proofErr w:type="gramEnd"/>
      <w:r>
        <w:rPr>
          <w:sz w:val="24"/>
          <w:szCs w:val="24"/>
        </w:rPr>
        <w:t xml:space="preserve"> and this matter will be scheduled for a further hearing.  </w:t>
      </w:r>
    </w:p>
    <w:p w14:paraId="38DE3589" w14:textId="77777777" w:rsidR="00BA7BF4" w:rsidRDefault="00BA7BF4" w:rsidP="00BA7BF4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</w:p>
    <w:p w14:paraId="3FB892F3" w14:textId="327C9C60" w:rsidR="00BA7BF4" w:rsidRDefault="00BA7BF4" w:rsidP="00BA7BF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May 5, 2022, </w:t>
      </w:r>
      <w:r>
        <w:rPr>
          <w:spacing w:val="-3"/>
          <w:sz w:val="24"/>
          <w:szCs w:val="24"/>
        </w:rPr>
        <w:t>Dawn Graham</w:t>
      </w:r>
      <w:r>
        <w:rPr>
          <w:sz w:val="24"/>
          <w:szCs w:val="24"/>
        </w:rPr>
        <w:t xml:space="preserve"> (Complainant) filed a formal complaint, alleging that Philadelphia Gas Works (Respondent) had failed to provide reasonable and adequate service</w:t>
      </w:r>
      <w:r w:rsidR="00F17378">
        <w:rPr>
          <w:sz w:val="24"/>
          <w:szCs w:val="24"/>
        </w:rPr>
        <w:t>, was threatening to shut off or had shut off her service, that there were incorrect charges on her bills and she requested a payment arrangement</w:t>
      </w:r>
      <w:r>
        <w:rPr>
          <w:sz w:val="24"/>
          <w:szCs w:val="24"/>
        </w:rPr>
        <w:t>.</w:t>
      </w:r>
    </w:p>
    <w:p w14:paraId="26EA4760" w14:textId="77777777" w:rsidR="00BA7BF4" w:rsidRDefault="00BA7BF4" w:rsidP="00BA7BF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04C0F237" w14:textId="7B8091EC" w:rsidR="00BA7BF4" w:rsidRDefault="00BA7BF4" w:rsidP="00BA7BF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F17378">
        <w:rPr>
          <w:sz w:val="24"/>
          <w:szCs w:val="24"/>
        </w:rPr>
        <w:t>June 6, 2022</w:t>
      </w:r>
      <w:r>
        <w:rPr>
          <w:sz w:val="24"/>
          <w:szCs w:val="24"/>
        </w:rPr>
        <w:t xml:space="preserve">, the Respondent filed an Answer and New Matter to the formal complaint denying the material allegations of the Complaint.  On the same date, the Respondent also filed Preliminary Objections.    </w:t>
      </w:r>
    </w:p>
    <w:p w14:paraId="0E6AF523" w14:textId="384AF07E" w:rsidR="00F17378" w:rsidRDefault="00F17378" w:rsidP="00BA7BF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2DF8F521" w14:textId="2B7A3096" w:rsidR="00F17378" w:rsidRDefault="00F17378" w:rsidP="00BA7BF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June 30, 2022, the Respondent also filed a Motion for Judgement on the Pleadings.  </w:t>
      </w:r>
    </w:p>
    <w:p w14:paraId="09A6BEA4" w14:textId="5CEC4C61" w:rsidR="00F17378" w:rsidRDefault="00F17378" w:rsidP="00BA7BF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703B04EB" w14:textId="1186B255" w:rsidR="00F17378" w:rsidRDefault="00F17378" w:rsidP="00BA7BF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August 11, 2022, Administrative Law Judge Joel Cheskis issued an Order denying the Preliminary Objections and Motion for Judgement on the Pleadings.  </w:t>
      </w:r>
    </w:p>
    <w:p w14:paraId="777411F6" w14:textId="3AE1F537" w:rsidR="00F17378" w:rsidRDefault="00F17378" w:rsidP="00BA7BF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24DC9A09" w14:textId="428E931B" w:rsidR="00F17378" w:rsidRDefault="00F17378" w:rsidP="00172039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Via Hearing Cancellation/Reschedule Notice dated September 16, 2022, the matter was scheduled for hearing on November 17, </w:t>
      </w:r>
      <w:proofErr w:type="gramStart"/>
      <w:r>
        <w:rPr>
          <w:sz w:val="24"/>
          <w:szCs w:val="24"/>
        </w:rPr>
        <w:t>2022</w:t>
      </w:r>
      <w:proofErr w:type="gramEnd"/>
      <w:r>
        <w:rPr>
          <w:sz w:val="24"/>
          <w:szCs w:val="24"/>
        </w:rPr>
        <w:t xml:space="preserve"> at 10:00 a.m. before Judge Cheskis.  </w:t>
      </w:r>
      <w:r w:rsidR="00172039">
        <w:rPr>
          <w:sz w:val="24"/>
          <w:szCs w:val="24"/>
        </w:rPr>
        <w:t>=</w:t>
      </w:r>
    </w:p>
    <w:p w14:paraId="3EDADE8B" w14:textId="19EE3C87" w:rsidR="00F17378" w:rsidRDefault="00F17378" w:rsidP="00BA7BF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On November 16, 2022, a Judge Change Notice was </w:t>
      </w:r>
      <w:proofErr w:type="gramStart"/>
      <w:r>
        <w:rPr>
          <w:sz w:val="24"/>
          <w:szCs w:val="24"/>
        </w:rPr>
        <w:t>issued</w:t>
      </w:r>
      <w:proofErr w:type="gramEnd"/>
      <w:r>
        <w:rPr>
          <w:sz w:val="24"/>
          <w:szCs w:val="24"/>
        </w:rPr>
        <w:t xml:space="preserve"> and the matter was assigned to me.  </w:t>
      </w:r>
    </w:p>
    <w:p w14:paraId="7918CE44" w14:textId="77777777" w:rsidR="00BA7BF4" w:rsidRDefault="00BA7BF4" w:rsidP="00BA7BF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47ADFFF0" w14:textId="483F24E8" w:rsidR="00BA7BF4" w:rsidRDefault="00F17378" w:rsidP="00BA7BF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The hearing was held as scheduled on November 17, 2022.   The Complainant did not appear for the hearing and Respondent was represented by counsel and was prepared to proceed.  </w:t>
      </w:r>
      <w:r w:rsidR="00E54B83">
        <w:rPr>
          <w:sz w:val="24"/>
          <w:szCs w:val="24"/>
        </w:rPr>
        <w:t xml:space="preserve">On the same date, the Complainant contacted the Harrisburg scheduling office and indicated that she was not aware of the date of the hearing.  </w:t>
      </w:r>
    </w:p>
    <w:p w14:paraId="3977BFD5" w14:textId="42072944" w:rsidR="00E54B83" w:rsidRDefault="00E54B83" w:rsidP="00BA7BF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27C6FC35" w14:textId="3CC5642A" w:rsidR="00E54B83" w:rsidRDefault="00E54B83" w:rsidP="00BA7BF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November 22, 2022, the Complainant did reach out again to the Harrisburg scheduling office to further explain her need for a new hearing date.  </w:t>
      </w:r>
    </w:p>
    <w:p w14:paraId="7BA0744C" w14:textId="559A8E08" w:rsidR="00E54B83" w:rsidRDefault="00E54B83" w:rsidP="00BA7BF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25479DA7" w14:textId="3E5C6C76" w:rsidR="00E54B83" w:rsidRDefault="00E54B83" w:rsidP="00BA7BF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March 1, 2023, Respondent objected to the Complainant’s request for a new hearing date.  </w:t>
      </w:r>
    </w:p>
    <w:p w14:paraId="79407021" w14:textId="77777777" w:rsidR="00BA7BF4" w:rsidRPr="00E54B83" w:rsidRDefault="00BA7BF4" w:rsidP="00E54B83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6483E047" w14:textId="4676DA58" w:rsidR="00E54B83" w:rsidRDefault="00E54B83" w:rsidP="00E54B83">
      <w:pPr>
        <w:spacing w:line="360" w:lineRule="auto"/>
        <w:ind w:firstLine="1440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In </w:t>
      </w:r>
      <w:r w:rsidRPr="00E54B83">
        <w:rPr>
          <w:bCs/>
          <w:i/>
          <w:iCs/>
          <w:snapToGrid w:val="0"/>
          <w:sz w:val="24"/>
          <w:szCs w:val="24"/>
        </w:rPr>
        <w:t xml:space="preserve">Carlock v. </w:t>
      </w:r>
      <w:bookmarkStart w:id="0" w:name="_Hlk69377306"/>
      <w:r w:rsidRPr="00E54B83">
        <w:rPr>
          <w:bCs/>
          <w:i/>
          <w:iCs/>
          <w:snapToGrid w:val="0"/>
          <w:sz w:val="24"/>
          <w:szCs w:val="24"/>
        </w:rPr>
        <w:t>United Tel. Co. of Pa.</w:t>
      </w:r>
      <w:bookmarkEnd w:id="0"/>
      <w:r w:rsidRPr="00E54B83">
        <w:rPr>
          <w:bCs/>
          <w:i/>
          <w:iCs/>
          <w:snapToGrid w:val="0"/>
          <w:sz w:val="24"/>
          <w:szCs w:val="24"/>
        </w:rPr>
        <w:t xml:space="preserve">, </w:t>
      </w:r>
      <w:r w:rsidRPr="00E54B83">
        <w:rPr>
          <w:bCs/>
          <w:snapToGrid w:val="0"/>
          <w:sz w:val="24"/>
          <w:szCs w:val="24"/>
        </w:rPr>
        <w:t>Docket No. F-00163617</w:t>
      </w:r>
      <w:r w:rsidRPr="00E54B83">
        <w:rPr>
          <w:bCs/>
          <w:i/>
          <w:iCs/>
          <w:snapToGrid w:val="0"/>
          <w:sz w:val="24"/>
          <w:szCs w:val="24"/>
        </w:rPr>
        <w:t>)</w:t>
      </w:r>
      <w:r>
        <w:rPr>
          <w:bCs/>
          <w:snapToGrid w:val="0"/>
          <w:sz w:val="24"/>
          <w:szCs w:val="24"/>
        </w:rPr>
        <w:t xml:space="preserve"> (</w:t>
      </w:r>
      <w:r w:rsidRPr="00E54B83">
        <w:rPr>
          <w:bCs/>
          <w:snapToGrid w:val="0"/>
          <w:sz w:val="24"/>
          <w:szCs w:val="24"/>
        </w:rPr>
        <w:t>Order entered July 14, 1993</w:t>
      </w:r>
      <w:r>
        <w:rPr>
          <w:bCs/>
          <w:snapToGrid w:val="0"/>
          <w:sz w:val="24"/>
          <w:szCs w:val="24"/>
        </w:rPr>
        <w:t>), the Commission</w:t>
      </w:r>
      <w:r w:rsidRPr="00E54B83">
        <w:rPr>
          <w:bCs/>
          <w:snapToGrid w:val="0"/>
          <w:sz w:val="24"/>
          <w:szCs w:val="24"/>
        </w:rPr>
        <w:t xml:space="preserve"> held that in the normal course, </w:t>
      </w:r>
      <w:r>
        <w:rPr>
          <w:bCs/>
          <w:snapToGrid w:val="0"/>
          <w:sz w:val="24"/>
          <w:szCs w:val="24"/>
        </w:rPr>
        <w:t>the presiding officer</w:t>
      </w:r>
      <w:r w:rsidRPr="00E54B83">
        <w:rPr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>should</w:t>
      </w:r>
      <w:r w:rsidRPr="00E54B83">
        <w:rPr>
          <w:bCs/>
          <w:snapToGrid w:val="0"/>
          <w:sz w:val="24"/>
          <w:szCs w:val="24"/>
        </w:rPr>
        <w:t xml:space="preserve"> not dismiss a </w:t>
      </w:r>
      <w:r w:rsidRPr="00E54B83">
        <w:rPr>
          <w:bCs/>
          <w:i/>
          <w:iCs/>
          <w:snapToGrid w:val="0"/>
          <w:sz w:val="24"/>
          <w:szCs w:val="24"/>
        </w:rPr>
        <w:t>pro se</w:t>
      </w:r>
      <w:r w:rsidRPr="00E54B83">
        <w:rPr>
          <w:bCs/>
          <w:snapToGrid w:val="0"/>
          <w:sz w:val="24"/>
          <w:szCs w:val="24"/>
        </w:rPr>
        <w:t xml:space="preserve"> complaint without first providing a hearing during which the </w:t>
      </w:r>
      <w:r w:rsidRPr="00E54B83">
        <w:rPr>
          <w:bCs/>
          <w:i/>
          <w:iCs/>
          <w:snapToGrid w:val="0"/>
          <w:sz w:val="24"/>
          <w:szCs w:val="24"/>
        </w:rPr>
        <w:t>pro se</w:t>
      </w:r>
      <w:r w:rsidRPr="00E54B83">
        <w:rPr>
          <w:bCs/>
          <w:snapToGrid w:val="0"/>
          <w:sz w:val="24"/>
          <w:szCs w:val="24"/>
        </w:rPr>
        <w:t xml:space="preserve"> complainant could further explain his or her position and the factual basis for the complaint. </w:t>
      </w:r>
      <w:r>
        <w:rPr>
          <w:bCs/>
          <w:snapToGrid w:val="0"/>
          <w:sz w:val="24"/>
          <w:szCs w:val="24"/>
        </w:rPr>
        <w:t>The</w:t>
      </w:r>
      <w:r w:rsidRPr="00E54B83">
        <w:rPr>
          <w:bCs/>
          <w:snapToGrid w:val="0"/>
          <w:sz w:val="24"/>
          <w:szCs w:val="24"/>
        </w:rPr>
        <w:t xml:space="preserve"> concern </w:t>
      </w:r>
      <w:r>
        <w:rPr>
          <w:bCs/>
          <w:snapToGrid w:val="0"/>
          <w:sz w:val="24"/>
          <w:szCs w:val="24"/>
        </w:rPr>
        <w:t>i</w:t>
      </w:r>
      <w:r w:rsidRPr="00E54B83">
        <w:rPr>
          <w:bCs/>
          <w:snapToGrid w:val="0"/>
          <w:sz w:val="24"/>
          <w:szCs w:val="24"/>
        </w:rPr>
        <w:t xml:space="preserve">s that in general, </w:t>
      </w:r>
      <w:r w:rsidRPr="00E54B83">
        <w:rPr>
          <w:bCs/>
          <w:i/>
          <w:iCs/>
          <w:snapToGrid w:val="0"/>
          <w:sz w:val="24"/>
          <w:szCs w:val="24"/>
        </w:rPr>
        <w:t>pro se</w:t>
      </w:r>
      <w:r w:rsidRPr="00E54B83">
        <w:rPr>
          <w:bCs/>
          <w:snapToGrid w:val="0"/>
          <w:sz w:val="24"/>
          <w:szCs w:val="24"/>
        </w:rPr>
        <w:t xml:space="preserve"> complainants may find it difficult to navigate through pre-hearing motions and should be given the chance to orally describe their basic issue and supporting facts. </w:t>
      </w:r>
      <w:r>
        <w:rPr>
          <w:bCs/>
          <w:snapToGrid w:val="0"/>
          <w:sz w:val="24"/>
          <w:szCs w:val="24"/>
        </w:rPr>
        <w:t xml:space="preserve"> Further, t</w:t>
      </w:r>
      <w:r w:rsidRPr="00E54B83">
        <w:rPr>
          <w:bCs/>
          <w:snapToGrid w:val="0"/>
          <w:sz w:val="24"/>
          <w:szCs w:val="24"/>
        </w:rPr>
        <w:t xml:space="preserve">he Commission has generally expressed a preference that administrative law judges refrain from dismissing complaints against unrepresented complainants without first giving them the opportunity to be heard orally and develop a sufficient record.  </w:t>
      </w:r>
      <w:r w:rsidRPr="00E54B83">
        <w:rPr>
          <w:bCs/>
          <w:i/>
          <w:iCs/>
          <w:snapToGrid w:val="0"/>
          <w:sz w:val="24"/>
          <w:szCs w:val="24"/>
        </w:rPr>
        <w:t>Home Oxygen &amp; Med. Equip. v. Verizon Pa. Inc.</w:t>
      </w:r>
      <w:r>
        <w:rPr>
          <w:bCs/>
          <w:snapToGrid w:val="0"/>
          <w:sz w:val="24"/>
          <w:szCs w:val="24"/>
        </w:rPr>
        <w:t xml:space="preserve">, Docket No. C-2011-2267086 (Final Order entered May 14, 2012).  </w:t>
      </w:r>
    </w:p>
    <w:p w14:paraId="58A344F3" w14:textId="0A98F619" w:rsidR="00E54B83" w:rsidRDefault="00E54B83" w:rsidP="00E54B83">
      <w:pPr>
        <w:spacing w:line="360" w:lineRule="auto"/>
        <w:ind w:firstLine="1440"/>
        <w:rPr>
          <w:bCs/>
          <w:snapToGrid w:val="0"/>
          <w:sz w:val="24"/>
          <w:szCs w:val="24"/>
        </w:rPr>
      </w:pPr>
    </w:p>
    <w:p w14:paraId="2925CC10" w14:textId="181852E6" w:rsidR="00E54B83" w:rsidRPr="00E54B83" w:rsidRDefault="00E54B83" w:rsidP="00E54B83">
      <w:pPr>
        <w:spacing w:line="360" w:lineRule="auto"/>
        <w:ind w:firstLine="1440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While I understand that the Complainant did not reach out to the Harrisburg scheduling office until after the scheduled hearing, I believe that the Complainant is entitled to a further hearing in this matter.  The Complainant indicates that she was not aware of the hearing date and time.  </w:t>
      </w:r>
      <w:r w:rsidR="000612BB">
        <w:rPr>
          <w:bCs/>
          <w:snapToGrid w:val="0"/>
          <w:sz w:val="24"/>
          <w:szCs w:val="24"/>
        </w:rPr>
        <w:t xml:space="preserve">Respondent objects to the request, but I would note that the Company was granted a continuance request in this matter to further investigate this matter.  Based on this </w:t>
      </w:r>
      <w:r w:rsidR="000612BB">
        <w:rPr>
          <w:bCs/>
          <w:snapToGrid w:val="0"/>
          <w:sz w:val="24"/>
          <w:szCs w:val="24"/>
        </w:rPr>
        <w:lastRenderedPageBreak/>
        <w:t xml:space="preserve">information, I will grant the Complainant’s request for a new hearing and reopen the record in the case.  </w:t>
      </w:r>
    </w:p>
    <w:p w14:paraId="595F6CEF" w14:textId="323FE188" w:rsidR="00BA7BF4" w:rsidRDefault="00BA7BF4" w:rsidP="00E54B83">
      <w:pPr>
        <w:spacing w:line="360" w:lineRule="auto"/>
        <w:rPr>
          <w:sz w:val="24"/>
          <w:szCs w:val="24"/>
        </w:rPr>
      </w:pPr>
    </w:p>
    <w:p w14:paraId="3CE2EE28" w14:textId="77777777" w:rsidR="00BA7BF4" w:rsidRDefault="00BA7BF4" w:rsidP="00BA7B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THEREFORE,</w:t>
      </w:r>
    </w:p>
    <w:p w14:paraId="68D74C7F" w14:textId="77777777" w:rsidR="00BA7BF4" w:rsidRDefault="00BA7BF4" w:rsidP="00BA7BF4">
      <w:pPr>
        <w:spacing w:line="360" w:lineRule="auto"/>
        <w:rPr>
          <w:sz w:val="24"/>
          <w:szCs w:val="24"/>
        </w:rPr>
      </w:pPr>
    </w:p>
    <w:p w14:paraId="269E876B" w14:textId="77777777" w:rsidR="00BA7BF4" w:rsidRDefault="00BA7BF4" w:rsidP="00BA7B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ORDERED:</w:t>
      </w:r>
    </w:p>
    <w:p w14:paraId="2ABDE133" w14:textId="77777777" w:rsidR="00BA7BF4" w:rsidRDefault="00BA7BF4" w:rsidP="00BA7BF4">
      <w:pPr>
        <w:spacing w:line="360" w:lineRule="auto"/>
        <w:rPr>
          <w:sz w:val="24"/>
          <w:szCs w:val="24"/>
        </w:rPr>
      </w:pPr>
    </w:p>
    <w:p w14:paraId="51752663" w14:textId="059C3427" w:rsidR="00BA7BF4" w:rsidRDefault="00BA7BF4" w:rsidP="00BA7BF4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E54B83">
        <w:rPr>
          <w:sz w:val="24"/>
          <w:szCs w:val="24"/>
        </w:rPr>
        <w:t>Complainant’s request for a new hearing is hereby granted</w:t>
      </w:r>
      <w:r>
        <w:rPr>
          <w:sz w:val="24"/>
          <w:szCs w:val="24"/>
        </w:rPr>
        <w:t>.</w:t>
      </w:r>
    </w:p>
    <w:p w14:paraId="164E7B09" w14:textId="77777777" w:rsidR="00BA7BF4" w:rsidRDefault="00BA7BF4" w:rsidP="00BA7BF4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5BD2BE4B" w14:textId="4FE6D1F0" w:rsidR="00BA7BF4" w:rsidRDefault="00BA7BF4" w:rsidP="00BA7BF4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</w:t>
      </w:r>
      <w:r w:rsidR="00E54B83">
        <w:rPr>
          <w:sz w:val="24"/>
          <w:szCs w:val="24"/>
        </w:rPr>
        <w:t>the record in this matter is reopened</w:t>
      </w:r>
      <w:r>
        <w:rPr>
          <w:sz w:val="24"/>
          <w:szCs w:val="24"/>
        </w:rPr>
        <w:t>.</w:t>
      </w:r>
    </w:p>
    <w:p w14:paraId="3EDB1BA9" w14:textId="77777777" w:rsidR="00BA7BF4" w:rsidRDefault="00BA7BF4" w:rsidP="00BA7BF4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76C1091E" w14:textId="6A382792" w:rsidR="00BA7BF4" w:rsidRDefault="00BA7BF4" w:rsidP="00BA7BF4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</w:t>
      </w:r>
      <w:r w:rsidR="00E54B83">
        <w:rPr>
          <w:sz w:val="24"/>
          <w:szCs w:val="24"/>
        </w:rPr>
        <w:t>a further hearing should be scheduled in Dawn Graham v. Philadelphia Gas Works at Docket No. C-2022-3032494</w:t>
      </w:r>
      <w:r>
        <w:rPr>
          <w:sz w:val="24"/>
          <w:szCs w:val="24"/>
        </w:rPr>
        <w:t>.</w:t>
      </w:r>
    </w:p>
    <w:p w14:paraId="6687C539" w14:textId="77777777" w:rsidR="00BA7BF4" w:rsidRDefault="00BA7BF4" w:rsidP="00BA7BF4">
      <w:pPr>
        <w:spacing w:line="360" w:lineRule="auto"/>
        <w:rPr>
          <w:sz w:val="24"/>
          <w:szCs w:val="24"/>
        </w:rPr>
      </w:pPr>
    </w:p>
    <w:p w14:paraId="01A60955" w14:textId="77777777" w:rsidR="00BA7BF4" w:rsidRDefault="00BA7BF4" w:rsidP="00BA7BF4">
      <w:pPr>
        <w:spacing w:line="360" w:lineRule="auto"/>
        <w:rPr>
          <w:sz w:val="24"/>
          <w:szCs w:val="24"/>
        </w:rPr>
      </w:pPr>
    </w:p>
    <w:p w14:paraId="59C0AB63" w14:textId="582567B9" w:rsidR="00BA7BF4" w:rsidRDefault="00BA7BF4" w:rsidP="00BA7BF4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 w:rsidR="00E54B83">
        <w:rPr>
          <w:sz w:val="24"/>
          <w:szCs w:val="24"/>
          <w:u w:val="single"/>
        </w:rPr>
        <w:t>March 7, 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2039">
        <w:rPr>
          <w:sz w:val="24"/>
          <w:szCs w:val="24"/>
          <w:u w:val="single"/>
        </w:rPr>
        <w:tab/>
      </w:r>
      <w:r w:rsidR="00172039">
        <w:rPr>
          <w:sz w:val="24"/>
          <w:szCs w:val="24"/>
          <w:u w:val="single"/>
        </w:rPr>
        <w:tab/>
        <w:t>/s/</w:t>
      </w:r>
      <w:r w:rsidR="00172039">
        <w:rPr>
          <w:sz w:val="24"/>
          <w:szCs w:val="24"/>
          <w:u w:val="single"/>
        </w:rPr>
        <w:tab/>
      </w:r>
      <w:r w:rsidR="00172039">
        <w:rPr>
          <w:sz w:val="24"/>
          <w:szCs w:val="24"/>
          <w:u w:val="single"/>
        </w:rPr>
        <w:tab/>
      </w:r>
      <w:r w:rsidR="00172039">
        <w:rPr>
          <w:sz w:val="24"/>
          <w:szCs w:val="24"/>
          <w:u w:val="single"/>
        </w:rPr>
        <w:tab/>
      </w:r>
    </w:p>
    <w:p w14:paraId="4F7BE6EE" w14:textId="258ACC23" w:rsidR="00BA7BF4" w:rsidRDefault="00BA7BF4" w:rsidP="00BA7B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Marta Guhl</w:t>
      </w:r>
    </w:p>
    <w:p w14:paraId="5F572854" w14:textId="58C61FDF" w:rsidR="00BA7BF4" w:rsidRDefault="00BA7BF4" w:rsidP="00BA7B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14:paraId="2DB2FFA0" w14:textId="77777777" w:rsidR="00BA7BF4" w:rsidRDefault="00BA7BF4" w:rsidP="00BA7BF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47056030" w14:textId="77777777" w:rsidR="00BA7BF4" w:rsidRDefault="00BA7BF4" w:rsidP="00BA7BF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C9549E7" w14:textId="6B0F9D8D" w:rsidR="003A4A93" w:rsidRDefault="00D014FD" w:rsidP="00585CCC">
      <w:pPr>
        <w:spacing w:line="259" w:lineRule="auto"/>
        <w:rPr>
          <w:rFonts w:eastAsiaTheme="minorEastAsia"/>
          <w:sz w:val="22"/>
          <w:szCs w:val="22"/>
        </w:rPr>
      </w:pPr>
      <w:r w:rsidRPr="00D014FD">
        <w:rPr>
          <w:rFonts w:eastAsia="Microsoft Sans Serif"/>
          <w:b/>
          <w:sz w:val="24"/>
          <w:szCs w:val="22"/>
          <w:u w:val="single"/>
        </w:rPr>
        <w:lastRenderedPageBreak/>
        <w:t>C-2022-3032494 - DAWN GRAHAM v. PHILADELPHIA GAS WORKS</w:t>
      </w:r>
      <w:r w:rsidRPr="00D014FD">
        <w:rPr>
          <w:rFonts w:eastAsia="Microsoft Sans Serif"/>
          <w:b/>
          <w:sz w:val="24"/>
          <w:szCs w:val="22"/>
          <w:u w:val="single"/>
        </w:rPr>
        <w:cr/>
      </w:r>
      <w:r w:rsidRPr="00D014FD">
        <w:rPr>
          <w:rFonts w:eastAsia="Microsoft Sans Serif"/>
          <w:b/>
          <w:sz w:val="24"/>
          <w:szCs w:val="22"/>
          <w:u w:val="single"/>
        </w:rPr>
        <w:cr/>
      </w:r>
      <w:r w:rsidRPr="00D014FD">
        <w:rPr>
          <w:rFonts w:eastAsia="Microsoft Sans Serif"/>
          <w:sz w:val="24"/>
          <w:szCs w:val="22"/>
        </w:rPr>
        <w:t>DAWN J GRAHAM</w:t>
      </w:r>
      <w:r w:rsidRPr="00D014FD">
        <w:rPr>
          <w:rFonts w:eastAsia="Microsoft Sans Serif"/>
          <w:sz w:val="24"/>
          <w:szCs w:val="22"/>
        </w:rPr>
        <w:cr/>
        <w:t xml:space="preserve">315 NORTH 54TH STREET </w:t>
      </w:r>
      <w:r w:rsidRPr="00D014FD">
        <w:rPr>
          <w:rFonts w:eastAsia="Microsoft Sans Serif"/>
          <w:sz w:val="24"/>
          <w:szCs w:val="22"/>
        </w:rPr>
        <w:cr/>
        <w:t>PHILADELPHIA PA  19139</w:t>
      </w:r>
      <w:r w:rsidRPr="00D014FD">
        <w:rPr>
          <w:rFonts w:eastAsia="Microsoft Sans Serif"/>
          <w:sz w:val="24"/>
          <w:szCs w:val="22"/>
        </w:rPr>
        <w:cr/>
      </w:r>
      <w:r w:rsidRPr="00D014FD">
        <w:rPr>
          <w:rFonts w:eastAsia="Microsoft Sans Serif"/>
          <w:b/>
          <w:bCs/>
          <w:sz w:val="24"/>
          <w:szCs w:val="22"/>
        </w:rPr>
        <w:t>215.472.2334</w:t>
      </w:r>
      <w:r w:rsidRPr="00D014FD">
        <w:rPr>
          <w:rFonts w:eastAsia="Microsoft Sans Serif"/>
          <w:sz w:val="24"/>
          <w:szCs w:val="22"/>
        </w:rPr>
        <w:cr/>
        <w:t>DAWN456@MSN.COM</w:t>
      </w:r>
      <w:r w:rsidRPr="00D014FD">
        <w:rPr>
          <w:rFonts w:eastAsia="Microsoft Sans Serif"/>
          <w:sz w:val="24"/>
          <w:szCs w:val="22"/>
        </w:rPr>
        <w:cr/>
      </w:r>
      <w:r w:rsidRPr="00D014FD">
        <w:rPr>
          <w:rFonts w:eastAsia="Microsoft Sans Serif"/>
          <w:sz w:val="24"/>
          <w:szCs w:val="22"/>
        </w:rPr>
        <w:cr/>
        <w:t>GRACIELA CHRISTLIEB ESQUIRE</w:t>
      </w:r>
      <w:r w:rsidRPr="00D014FD">
        <w:rPr>
          <w:rFonts w:eastAsia="Microsoft Sans Serif"/>
          <w:sz w:val="24"/>
          <w:szCs w:val="22"/>
        </w:rPr>
        <w:cr/>
        <w:t>PHILADELPHIA GAS WORKS</w:t>
      </w:r>
      <w:r w:rsidRPr="00D014FD">
        <w:rPr>
          <w:rFonts w:eastAsia="Microsoft Sans Serif"/>
          <w:sz w:val="24"/>
          <w:szCs w:val="22"/>
        </w:rPr>
        <w:cr/>
        <w:t>800 WEST MONTGOMERY AVENUE</w:t>
      </w:r>
      <w:r w:rsidRPr="00D014FD">
        <w:rPr>
          <w:rFonts w:eastAsia="Microsoft Sans Serif"/>
          <w:sz w:val="24"/>
          <w:szCs w:val="22"/>
        </w:rPr>
        <w:cr/>
        <w:t>PHILADELPHIA PA  19122</w:t>
      </w:r>
      <w:r w:rsidRPr="00D014FD">
        <w:rPr>
          <w:rFonts w:eastAsia="Microsoft Sans Serif"/>
          <w:sz w:val="24"/>
          <w:szCs w:val="22"/>
        </w:rPr>
        <w:cr/>
      </w:r>
      <w:r w:rsidRPr="00D014FD">
        <w:rPr>
          <w:rFonts w:eastAsia="Microsoft Sans Serif"/>
          <w:b/>
          <w:bCs/>
          <w:sz w:val="24"/>
          <w:szCs w:val="22"/>
        </w:rPr>
        <w:t>215.684.6164</w:t>
      </w:r>
      <w:r w:rsidRPr="00D014FD">
        <w:rPr>
          <w:rFonts w:eastAsia="Microsoft Sans Serif"/>
          <w:b/>
          <w:bCs/>
          <w:sz w:val="24"/>
          <w:szCs w:val="22"/>
        </w:rPr>
        <w:cr/>
      </w:r>
      <w:r w:rsidRPr="00D014FD">
        <w:rPr>
          <w:rFonts w:eastAsia="Microsoft Sans Serif"/>
          <w:sz w:val="24"/>
          <w:szCs w:val="22"/>
        </w:rPr>
        <w:t>GRACIELA.CHRISTLIEB@PGWORKS.COM</w:t>
      </w:r>
      <w:r w:rsidRPr="00D014FD">
        <w:rPr>
          <w:rFonts w:eastAsia="Microsoft Sans Serif"/>
          <w:sz w:val="24"/>
          <w:szCs w:val="22"/>
        </w:rPr>
        <w:cr/>
        <w:t xml:space="preserve">Accepts </w:t>
      </w:r>
      <w:proofErr w:type="spellStart"/>
      <w:r w:rsidRPr="00D014FD">
        <w:rPr>
          <w:rFonts w:eastAsia="Microsoft Sans Serif"/>
          <w:sz w:val="24"/>
          <w:szCs w:val="22"/>
        </w:rPr>
        <w:t>EService</w:t>
      </w:r>
      <w:proofErr w:type="spellEnd"/>
    </w:p>
    <w:p w14:paraId="511C167E" w14:textId="3D97CBBF" w:rsidR="00585CCC" w:rsidRDefault="00585CCC" w:rsidP="00585CCC">
      <w:pPr>
        <w:spacing w:line="259" w:lineRule="auto"/>
        <w:rPr>
          <w:rFonts w:eastAsiaTheme="minorEastAsia"/>
          <w:sz w:val="22"/>
          <w:szCs w:val="22"/>
        </w:rPr>
      </w:pPr>
    </w:p>
    <w:p w14:paraId="03702E6A" w14:textId="77777777" w:rsidR="00585CCC" w:rsidRPr="00585CCC" w:rsidRDefault="00585CCC" w:rsidP="00585CCC">
      <w:pPr>
        <w:spacing w:line="259" w:lineRule="auto"/>
        <w:rPr>
          <w:rFonts w:eastAsiaTheme="minorEastAsia"/>
          <w:sz w:val="22"/>
          <w:szCs w:val="22"/>
        </w:rPr>
      </w:pPr>
    </w:p>
    <w:sectPr w:rsidR="00585CCC" w:rsidRPr="00585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5665D"/>
    <w:multiLevelType w:val="hybridMultilevel"/>
    <w:tmpl w:val="0972DAD8"/>
    <w:lvl w:ilvl="0" w:tplc="44143950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322386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F4"/>
    <w:rsid w:val="000612BB"/>
    <w:rsid w:val="00172039"/>
    <w:rsid w:val="00337A5C"/>
    <w:rsid w:val="003A4A93"/>
    <w:rsid w:val="004F7623"/>
    <w:rsid w:val="00585CCC"/>
    <w:rsid w:val="00984551"/>
    <w:rsid w:val="00A07D50"/>
    <w:rsid w:val="00BA7BF4"/>
    <w:rsid w:val="00D014FD"/>
    <w:rsid w:val="00D87027"/>
    <w:rsid w:val="00E54B83"/>
    <w:rsid w:val="00F1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9E2058D"/>
  <w15:chartTrackingRefBased/>
  <w15:docId w15:val="{CBE3DC81-9FD5-4349-ABF4-A2D647D0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BF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A7BF4"/>
    <w:pPr>
      <w:jc w:val="center"/>
    </w:pPr>
    <w:rPr>
      <w:rFonts w:ascii="Courier" w:hAnsi="Courier"/>
      <w:b/>
      <w:sz w:val="24"/>
    </w:rPr>
  </w:style>
  <w:style w:type="character" w:customStyle="1" w:styleId="TitleChar">
    <w:name w:val="Title Char"/>
    <w:basedOn w:val="DefaultParagraphFont"/>
    <w:link w:val="Title"/>
    <w:rsid w:val="00BA7BF4"/>
    <w:rPr>
      <w:rFonts w:ascii="Courier" w:eastAsia="Times New Roman" w:hAnsi="Courier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BA7BF4"/>
    <w:pPr>
      <w:jc w:val="center"/>
    </w:pPr>
    <w:rPr>
      <w:rFonts w:ascii="Courier" w:hAnsi="Courier"/>
      <w:b/>
      <w:sz w:val="24"/>
    </w:rPr>
  </w:style>
  <w:style w:type="character" w:customStyle="1" w:styleId="SubtitleChar">
    <w:name w:val="Subtitle Char"/>
    <w:basedOn w:val="DefaultParagraphFont"/>
    <w:link w:val="Subtitle"/>
    <w:rsid w:val="00BA7BF4"/>
    <w:rPr>
      <w:rFonts w:ascii="Courier" w:eastAsia="Times New Roman" w:hAnsi="Courier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A7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6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Delvillar, Shalea</cp:lastModifiedBy>
  <cp:revision>2</cp:revision>
  <dcterms:created xsi:type="dcterms:W3CDTF">2023-03-07T20:57:00Z</dcterms:created>
  <dcterms:modified xsi:type="dcterms:W3CDTF">2023-03-07T20:57:00Z</dcterms:modified>
</cp:coreProperties>
</file>