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2D1E0" w14:textId="77777777" w:rsidR="00E23DB1" w:rsidRPr="00500F06" w:rsidRDefault="00E23DB1" w:rsidP="00E23DB1">
      <w:pPr>
        <w:ind w:left="1440" w:firstLine="720"/>
      </w:pPr>
      <w:r w:rsidRPr="00500F06">
        <w:rPr>
          <w:b/>
          <w:spacing w:val="-3"/>
        </w:rPr>
        <w:t>PENNSYLVANIA PUBLIC UTILITY COMMISSION</w:t>
      </w:r>
      <w:r w:rsidRPr="00500F06">
        <w:rPr>
          <w:b/>
          <w:spacing w:val="-3"/>
        </w:rPr>
        <w:fldChar w:fldCharType="begin"/>
      </w:r>
      <w:r w:rsidRPr="00500F06">
        <w:rPr>
          <w:b/>
          <w:spacing w:val="-3"/>
        </w:rPr>
        <w:instrText xml:space="preserve">PRIVATE </w:instrText>
      </w:r>
      <w:r w:rsidRPr="00500F06">
        <w:rPr>
          <w:b/>
          <w:spacing w:val="-3"/>
        </w:rPr>
        <w:fldChar w:fldCharType="end"/>
      </w:r>
    </w:p>
    <w:p w14:paraId="422A4721" w14:textId="77777777" w:rsidR="00E23DB1" w:rsidRPr="00500F06" w:rsidRDefault="00E23DB1" w:rsidP="00E23DB1">
      <w:pPr>
        <w:tabs>
          <w:tab w:val="center" w:pos="4680"/>
        </w:tabs>
        <w:suppressAutoHyphens/>
        <w:jc w:val="center"/>
        <w:rPr>
          <w:spacing w:val="-3"/>
        </w:rPr>
      </w:pPr>
      <w:r w:rsidRPr="00500F06">
        <w:rPr>
          <w:b/>
          <w:spacing w:val="-3"/>
        </w:rPr>
        <w:t>NOTICE TO BE PUBLISHED</w:t>
      </w:r>
    </w:p>
    <w:p w14:paraId="0F497E86" w14:textId="54C2A610" w:rsidR="00E23DB1" w:rsidRDefault="00E23DB1" w:rsidP="00E23DB1">
      <w:pPr>
        <w:tabs>
          <w:tab w:val="left" w:pos="-720"/>
          <w:tab w:val="left" w:pos="0"/>
          <w:tab w:val="left" w:pos="720"/>
        </w:tabs>
        <w:suppressAutoHyphens/>
        <w:ind w:right="-450"/>
      </w:pPr>
      <w:r w:rsidRPr="00500F06">
        <w:t>Joint Application of Metropolitan Edison Company</w:t>
      </w:r>
      <w:r w:rsidR="006478EA">
        <w:t xml:space="preserve"> (Med-Ed)</w:t>
      </w:r>
      <w:r w:rsidRPr="00500F06">
        <w:t>, Pennsylvania Electric Company</w:t>
      </w:r>
      <w:r w:rsidR="006478EA">
        <w:t xml:space="preserve"> (Penelec)</w:t>
      </w:r>
      <w:r w:rsidRPr="00500F06">
        <w:t>, Pennsylvania Power Company</w:t>
      </w:r>
      <w:r w:rsidR="006478EA">
        <w:t xml:space="preserve"> (Penn Power)</w:t>
      </w:r>
      <w:r w:rsidRPr="00500F06">
        <w:t>, West Penn Power Company</w:t>
      </w:r>
      <w:r w:rsidR="006478EA">
        <w:t xml:space="preserve"> (West Penn)</w:t>
      </w:r>
      <w:r w:rsidRPr="00500F06">
        <w:t>, Keystone Appalachian Transmission Company</w:t>
      </w:r>
      <w:r w:rsidR="006478EA">
        <w:t xml:space="preserve"> (KATCo)</w:t>
      </w:r>
      <w:r w:rsidRPr="00500F06">
        <w:t>, Mid-Atlantic Interstate Transmission, LLC</w:t>
      </w:r>
      <w:r w:rsidR="006478EA">
        <w:t xml:space="preserve"> (MAIT)</w:t>
      </w:r>
      <w:r w:rsidRPr="00500F06">
        <w:t>, and FirstEnergy Pennsylvania Electric Company</w:t>
      </w:r>
      <w:r w:rsidR="006478EA">
        <w:t xml:space="preserve"> (FE PA) (collectively Joint Applicants)</w:t>
      </w:r>
      <w:r w:rsidRPr="00500F06">
        <w:t>. Docket Numbers: A-2023-3038771, A-2023-3038792, A-2023-3038793, A-2023-3038794, A-2023-3038795, A-2023-3038807, A-2023-3038808, G-2023-3038818, G-2023-3038819, G-2023-3038820, G-2023-3038821</w:t>
      </w:r>
      <w:r w:rsidR="00566C55">
        <w:t>, G-00020956</w:t>
      </w:r>
      <w:r w:rsidR="008B2D58">
        <w:t>.</w:t>
      </w:r>
    </w:p>
    <w:p w14:paraId="0A87ED30" w14:textId="1BA30EED" w:rsidR="008B2D58" w:rsidRDefault="008B2D58" w:rsidP="00E23DB1">
      <w:pPr>
        <w:tabs>
          <w:tab w:val="left" w:pos="-720"/>
          <w:tab w:val="left" w:pos="0"/>
          <w:tab w:val="left" w:pos="720"/>
        </w:tabs>
        <w:suppressAutoHyphens/>
        <w:ind w:right="-450"/>
      </w:pPr>
    </w:p>
    <w:p w14:paraId="476DB980" w14:textId="27F90E13" w:rsidR="008B2D58" w:rsidRDefault="008B2D58" w:rsidP="008B2D58">
      <w:r>
        <w:t>Through th</w:t>
      </w:r>
      <w:r w:rsidR="00091BF4">
        <w:t>e Joint</w:t>
      </w:r>
      <w:r>
        <w:t xml:space="preserve"> Application, the Joint Applicants request all of the necessary authority, approvals, and certificates of public convenience for: 1. Agreements and Plans of Merger; The establishment of FirstEnergy Pennsylvania Holding Company LLC as an intermediate holding company in the chain of ownership of FE PA; 3. The merger of Met-Ed, Penelec, Penn Power, and West Penn with and into FE PA; 4. The initiation by FE PA of electric service in all territories in this Commonwealth where Met-Ed, Penelec, Penn Power, and West Penn do or may provide electric service; 5. The abandonment by Met-Ed, Penelec, Penn Power, and West Penn of all electric service in this Commonwealth; 6. The adoption by FE PA of Met-Ed, Penelec, Penn Power, and West Penn’s existing Tariffs and their application within new service and Rate Districts of FE PA corresponding to their existing service territories as the Met-Ed Rate District, Penelec Rate District, Penn Power Rate District, West Penn Rate District, and The Pennsylvania State University Rate District, respectively; 7. The sale of Class B Membership Interests in MAIT held by Met-Ed and Penelec to FirstEnergy Corp.; 8. The transfer of West Penn’s Transmission Assets to KATCo; 9. A certificate of public convenience conferring upon KATCo the status of a Pennsylvania public utility under 66 Pa.C.S. § 102; and 10. Where necessary, associated affiliated interest agreements.</w:t>
      </w:r>
    </w:p>
    <w:p w14:paraId="59804E52" w14:textId="77777777" w:rsidR="008B2D58" w:rsidRPr="00500F06" w:rsidRDefault="008B2D58" w:rsidP="00E23DB1">
      <w:pPr>
        <w:tabs>
          <w:tab w:val="left" w:pos="-720"/>
          <w:tab w:val="left" w:pos="0"/>
          <w:tab w:val="left" w:pos="720"/>
        </w:tabs>
        <w:suppressAutoHyphens/>
        <w:ind w:right="-450"/>
      </w:pPr>
    </w:p>
    <w:p w14:paraId="11878458" w14:textId="77777777" w:rsidR="00E23DB1" w:rsidRPr="00500F06" w:rsidRDefault="00E23DB1" w:rsidP="00E23DB1">
      <w:pPr>
        <w:ind w:left="1440" w:right="1440"/>
        <w:jc w:val="both"/>
        <w:rPr>
          <w:spacing w:val="-3"/>
        </w:rPr>
      </w:pPr>
      <w:r w:rsidRPr="00500F06">
        <w:rPr>
          <w:spacing w:val="-3"/>
        </w:rPr>
        <w:tab/>
        <w:t>________________________________________________</w:t>
      </w:r>
    </w:p>
    <w:p w14:paraId="16ECD726" w14:textId="77777777" w:rsidR="00E23DB1" w:rsidRPr="00500F06" w:rsidRDefault="00E23DB1" w:rsidP="00E23DB1">
      <w:pPr>
        <w:tabs>
          <w:tab w:val="left" w:pos="-720"/>
          <w:tab w:val="left" w:pos="0"/>
          <w:tab w:val="left" w:pos="720"/>
        </w:tabs>
        <w:suppressAutoHyphens/>
        <w:ind w:left="1440" w:right="720" w:hanging="1440"/>
        <w:jc w:val="both"/>
        <w:rPr>
          <w:spacing w:val="-3"/>
        </w:rPr>
      </w:pPr>
    </w:p>
    <w:p w14:paraId="1706829B" w14:textId="3F63074E" w:rsidR="00E23DB1" w:rsidRDefault="00E23DB1" w:rsidP="00E23DB1">
      <w:pPr>
        <w:tabs>
          <w:tab w:val="left" w:pos="-720"/>
        </w:tabs>
        <w:suppressAutoHyphens/>
        <w:ind w:left="180" w:right="540"/>
        <w:rPr>
          <w:rFonts w:eastAsia="Calibri"/>
        </w:rPr>
      </w:pPr>
      <w:r w:rsidRPr="00500F06">
        <w:rPr>
          <w:rFonts w:eastAsia="Calibri"/>
        </w:rPr>
        <w:t xml:space="preserve">Formal protests and petitions to intervene must be filed in accordance with Title 52 of the Pennsylvania Code, on or before </w:t>
      </w:r>
      <w:r w:rsidRPr="008B2D58">
        <w:rPr>
          <w:rFonts w:eastAsia="Calibri"/>
          <w:b/>
          <w:bCs/>
        </w:rPr>
        <w:t>April 17, 2023</w:t>
      </w:r>
      <w:r w:rsidRPr="00500F06">
        <w:rPr>
          <w:rFonts w:eastAsia="Calibri"/>
        </w:rPr>
        <w:t xml:space="preserve">.  All filings must be made with the Secretary of the Pennsylvania Public Utility Commission, 400 North Street, 2nd Floor, Harrisburg, PA  17120, with a copy served on the Applicant. The documents filed in support of the </w:t>
      </w:r>
      <w:r w:rsidR="00091BF4">
        <w:rPr>
          <w:rFonts w:eastAsia="Calibri"/>
        </w:rPr>
        <w:t xml:space="preserve">Joint </w:t>
      </w:r>
      <w:r w:rsidRPr="00500F06">
        <w:rPr>
          <w:rFonts w:eastAsia="Calibri"/>
        </w:rPr>
        <w:t>Application are available ONLY online for inspection and copying on the Commission's website at www.puc.pa.gov, and at the Applicant's business address. ALL Parties to proceedings pending before the Commission must open and use an e-filing account through the Commission’s website at www.puc.pa.gov or you may submit the filing by overnight delivery to: Secretary, Pennsylvania Public Utility Commission, 400 North Street, Harrisburg, Pennsylvania 17120.  If a filing contains confidential or proprietary material, the filing is required to be submitted by overnight delivery.  Large filings containing confidential or proprietary material may be submitted through the Commission’s Share Point File system with advanced notice to the Commission prior to submittal.</w:t>
      </w:r>
    </w:p>
    <w:p w14:paraId="3CE3ECC7" w14:textId="77777777" w:rsidR="006478EA" w:rsidRPr="00500F06" w:rsidRDefault="006478EA" w:rsidP="00E23DB1">
      <w:pPr>
        <w:tabs>
          <w:tab w:val="left" w:pos="-720"/>
        </w:tabs>
        <w:suppressAutoHyphens/>
        <w:ind w:left="180" w:right="540"/>
        <w:rPr>
          <w:spacing w:val="-3"/>
        </w:rPr>
      </w:pPr>
    </w:p>
    <w:p w14:paraId="6FCD37D1" w14:textId="15B4688F" w:rsidR="00E23DB1" w:rsidRPr="00500F06" w:rsidRDefault="00E23DB1" w:rsidP="00E23DB1">
      <w:pPr>
        <w:tabs>
          <w:tab w:val="left" w:pos="-720"/>
        </w:tabs>
        <w:suppressAutoHyphens/>
        <w:rPr>
          <w:spacing w:val="-3"/>
        </w:rPr>
      </w:pPr>
      <w:r w:rsidRPr="00500F06">
        <w:rPr>
          <w:spacing w:val="-3"/>
        </w:rPr>
        <w:tab/>
      </w:r>
      <w:r w:rsidRPr="00500F06">
        <w:rPr>
          <w:spacing w:val="-3"/>
        </w:rPr>
        <w:tab/>
      </w:r>
      <w:r w:rsidR="006478EA">
        <w:rPr>
          <w:spacing w:val="-3"/>
        </w:rPr>
        <w:t xml:space="preserve">Joint </w:t>
      </w:r>
      <w:r w:rsidRPr="00500F06">
        <w:rPr>
          <w:spacing w:val="-3"/>
        </w:rPr>
        <w:t>Applicants:</w:t>
      </w:r>
    </w:p>
    <w:p w14:paraId="2EE34004" w14:textId="77777777" w:rsidR="00E23DB1" w:rsidRPr="00500F06" w:rsidRDefault="00E23DB1" w:rsidP="00E23DB1">
      <w:pPr>
        <w:tabs>
          <w:tab w:val="left" w:pos="-720"/>
        </w:tabs>
        <w:suppressAutoHyphens/>
        <w:rPr>
          <w:spacing w:val="-3"/>
        </w:rPr>
      </w:pPr>
    </w:p>
    <w:p w14:paraId="5F1BB34A" w14:textId="77777777" w:rsidR="00E23DB1" w:rsidRPr="00500F06" w:rsidRDefault="00E23DB1" w:rsidP="00E23DB1">
      <w:pPr>
        <w:tabs>
          <w:tab w:val="left" w:pos="-720"/>
        </w:tabs>
        <w:suppressAutoHyphens/>
        <w:rPr>
          <w:spacing w:val="-3"/>
        </w:rPr>
      </w:pPr>
      <w:r w:rsidRPr="00500F06">
        <w:rPr>
          <w:spacing w:val="-3"/>
        </w:rPr>
        <w:tab/>
      </w:r>
      <w:r w:rsidRPr="00500F06">
        <w:rPr>
          <w:spacing w:val="-3"/>
        </w:rPr>
        <w:tab/>
      </w:r>
      <w:r w:rsidRPr="00500F06">
        <w:rPr>
          <w:spacing w:val="-3"/>
        </w:rPr>
        <w:tab/>
        <w:t>FirstEnergy Service Company</w:t>
      </w:r>
    </w:p>
    <w:p w14:paraId="44BA15EB" w14:textId="77777777" w:rsidR="00E23DB1" w:rsidRPr="00500F06" w:rsidRDefault="00E23DB1" w:rsidP="00E23DB1">
      <w:pPr>
        <w:tabs>
          <w:tab w:val="left" w:pos="-720"/>
        </w:tabs>
        <w:suppressAutoHyphens/>
        <w:rPr>
          <w:spacing w:val="-3"/>
        </w:rPr>
      </w:pPr>
      <w:r w:rsidRPr="00500F06">
        <w:rPr>
          <w:spacing w:val="-3"/>
        </w:rPr>
        <w:tab/>
      </w:r>
      <w:r w:rsidRPr="00500F06">
        <w:rPr>
          <w:spacing w:val="-3"/>
        </w:rPr>
        <w:tab/>
      </w:r>
      <w:r w:rsidRPr="00500F06">
        <w:rPr>
          <w:spacing w:val="-3"/>
        </w:rPr>
        <w:tab/>
        <w:t>2800 Pottsville Pike</w:t>
      </w:r>
    </w:p>
    <w:p w14:paraId="31E7B1C3" w14:textId="77777777" w:rsidR="00E23DB1" w:rsidRPr="00500F06" w:rsidRDefault="00E23DB1" w:rsidP="00E23DB1">
      <w:pPr>
        <w:tabs>
          <w:tab w:val="left" w:pos="-720"/>
        </w:tabs>
        <w:suppressAutoHyphens/>
        <w:rPr>
          <w:spacing w:val="-3"/>
        </w:rPr>
      </w:pPr>
      <w:r w:rsidRPr="00500F06">
        <w:rPr>
          <w:spacing w:val="-3"/>
        </w:rPr>
        <w:tab/>
      </w:r>
      <w:r w:rsidRPr="00500F06">
        <w:rPr>
          <w:spacing w:val="-3"/>
        </w:rPr>
        <w:tab/>
      </w:r>
      <w:r w:rsidRPr="00500F06">
        <w:rPr>
          <w:spacing w:val="-3"/>
        </w:rPr>
        <w:tab/>
        <w:t>P.O. Box 16001</w:t>
      </w:r>
    </w:p>
    <w:p w14:paraId="209B5411" w14:textId="77777777" w:rsidR="00E23DB1" w:rsidRPr="00500F06" w:rsidRDefault="00E23DB1" w:rsidP="00E23DB1">
      <w:pPr>
        <w:tabs>
          <w:tab w:val="left" w:pos="-720"/>
        </w:tabs>
        <w:suppressAutoHyphens/>
        <w:rPr>
          <w:spacing w:val="-3"/>
        </w:rPr>
      </w:pPr>
      <w:r w:rsidRPr="00500F06">
        <w:rPr>
          <w:spacing w:val="-3"/>
        </w:rPr>
        <w:tab/>
      </w:r>
      <w:r w:rsidRPr="00500F06">
        <w:rPr>
          <w:spacing w:val="-3"/>
        </w:rPr>
        <w:tab/>
      </w:r>
      <w:r w:rsidRPr="00500F06">
        <w:rPr>
          <w:spacing w:val="-3"/>
        </w:rPr>
        <w:tab/>
        <w:t>Reading, PA 19612-6001</w:t>
      </w:r>
    </w:p>
    <w:p w14:paraId="01F4DBEF" w14:textId="77777777" w:rsidR="00E23DB1" w:rsidRPr="00500F06" w:rsidRDefault="00E23DB1" w:rsidP="00E23DB1">
      <w:pPr>
        <w:tabs>
          <w:tab w:val="left" w:pos="-720"/>
        </w:tabs>
        <w:suppressAutoHyphens/>
        <w:rPr>
          <w:spacing w:val="-3"/>
        </w:rPr>
      </w:pPr>
    </w:p>
    <w:p w14:paraId="612B7A92" w14:textId="77777777" w:rsidR="00E23DB1" w:rsidRPr="00500F06" w:rsidRDefault="00E23DB1" w:rsidP="00E23DB1">
      <w:pPr>
        <w:tabs>
          <w:tab w:val="left" w:pos="-720"/>
        </w:tabs>
        <w:suppressAutoHyphens/>
        <w:rPr>
          <w:spacing w:val="-3"/>
        </w:rPr>
      </w:pPr>
      <w:r w:rsidRPr="00500F06">
        <w:rPr>
          <w:spacing w:val="-3"/>
        </w:rPr>
        <w:tab/>
      </w:r>
      <w:r w:rsidRPr="00500F06">
        <w:rPr>
          <w:spacing w:val="-3"/>
        </w:rPr>
        <w:tab/>
      </w:r>
      <w:r w:rsidRPr="00500F06">
        <w:rPr>
          <w:spacing w:val="-3"/>
        </w:rPr>
        <w:tab/>
      </w:r>
      <w:r w:rsidRPr="00500F06">
        <w:rPr>
          <w:spacing w:val="-3"/>
        </w:rPr>
        <w:tab/>
      </w:r>
      <w:r w:rsidRPr="00500F06">
        <w:rPr>
          <w:spacing w:val="-3"/>
        </w:rPr>
        <w:tab/>
      </w:r>
    </w:p>
    <w:p w14:paraId="5C0A1E8F" w14:textId="77777777" w:rsidR="00E23DB1" w:rsidRPr="00500F06" w:rsidRDefault="00E23DB1" w:rsidP="00E23DB1">
      <w:pPr>
        <w:tabs>
          <w:tab w:val="left" w:pos="-720"/>
        </w:tabs>
        <w:suppressAutoHyphens/>
        <w:rPr>
          <w:spacing w:val="-3"/>
        </w:rPr>
      </w:pPr>
      <w:r w:rsidRPr="00500F06">
        <w:rPr>
          <w:spacing w:val="-3"/>
        </w:rPr>
        <w:tab/>
      </w:r>
      <w:r w:rsidRPr="00500F06">
        <w:rPr>
          <w:spacing w:val="-3"/>
        </w:rPr>
        <w:tab/>
        <w:t>Through and By Counsel for:</w:t>
      </w:r>
    </w:p>
    <w:p w14:paraId="0B4346E5" w14:textId="77777777" w:rsidR="00E23DB1" w:rsidRPr="00500F06" w:rsidRDefault="00E23DB1" w:rsidP="00E23DB1">
      <w:pPr>
        <w:tabs>
          <w:tab w:val="left" w:pos="-720"/>
        </w:tabs>
        <w:suppressAutoHyphens/>
        <w:rPr>
          <w:spacing w:val="-3"/>
        </w:rPr>
      </w:pPr>
    </w:p>
    <w:p w14:paraId="2F0364BB" w14:textId="77777777" w:rsidR="00E23DB1" w:rsidRPr="00500F06" w:rsidRDefault="00E23DB1" w:rsidP="00E23DB1">
      <w:pPr>
        <w:ind w:left="720" w:right="1314"/>
        <w:rPr>
          <w:spacing w:val="-3"/>
        </w:rPr>
      </w:pPr>
      <w:r w:rsidRPr="00500F06">
        <w:rPr>
          <w:spacing w:val="-3"/>
        </w:rPr>
        <w:tab/>
      </w:r>
      <w:r w:rsidRPr="00500F06">
        <w:rPr>
          <w:spacing w:val="-3"/>
        </w:rPr>
        <w:tab/>
        <w:t>Tori L. Giesler, Esquire</w:t>
      </w:r>
    </w:p>
    <w:p w14:paraId="303C33D9" w14:textId="77777777" w:rsidR="00E23DB1" w:rsidRPr="00500F06" w:rsidRDefault="00E23DB1" w:rsidP="00E23DB1">
      <w:pPr>
        <w:ind w:left="2160" w:right="1314"/>
        <w:rPr>
          <w:spacing w:val="-3"/>
        </w:rPr>
      </w:pPr>
      <w:r w:rsidRPr="00500F06">
        <w:rPr>
          <w:spacing w:val="-3"/>
        </w:rPr>
        <w:t>Darshana Singh, Esquire</w:t>
      </w:r>
    </w:p>
    <w:p w14:paraId="109DE47A" w14:textId="77777777" w:rsidR="00E23DB1" w:rsidRPr="00500F06" w:rsidRDefault="00E23DB1" w:rsidP="00E23DB1">
      <w:pPr>
        <w:ind w:left="2160" w:right="1314"/>
        <w:rPr>
          <w:spacing w:val="-3"/>
        </w:rPr>
      </w:pPr>
      <w:r w:rsidRPr="00500F06">
        <w:rPr>
          <w:spacing w:val="-3"/>
        </w:rPr>
        <w:t>FirstEnergy Service Company</w:t>
      </w:r>
    </w:p>
    <w:p w14:paraId="1452CB3A" w14:textId="77777777" w:rsidR="00E23DB1" w:rsidRPr="00500F06" w:rsidRDefault="00E23DB1" w:rsidP="00E23DB1">
      <w:pPr>
        <w:ind w:left="2160" w:right="1314"/>
        <w:rPr>
          <w:spacing w:val="-3"/>
        </w:rPr>
      </w:pPr>
      <w:r w:rsidRPr="00500F06">
        <w:rPr>
          <w:spacing w:val="-3"/>
        </w:rPr>
        <w:t>Phone: 610-921-6658</w:t>
      </w:r>
    </w:p>
    <w:p w14:paraId="474B3EAC" w14:textId="77777777" w:rsidR="00E23DB1" w:rsidRPr="00500F06" w:rsidRDefault="00E23DB1" w:rsidP="00E23DB1">
      <w:pPr>
        <w:ind w:left="2160" w:right="1314"/>
        <w:rPr>
          <w:spacing w:val="-3"/>
        </w:rPr>
      </w:pPr>
      <w:r w:rsidRPr="00500F06">
        <w:rPr>
          <w:spacing w:val="-3"/>
        </w:rPr>
        <w:t>tgiesler@firstenergycorp.com</w:t>
      </w:r>
    </w:p>
    <w:p w14:paraId="2CB014B7" w14:textId="77777777" w:rsidR="00E23DB1" w:rsidRPr="00500F06" w:rsidRDefault="00E23DB1" w:rsidP="00E23DB1">
      <w:pPr>
        <w:ind w:left="2160" w:right="1314"/>
        <w:rPr>
          <w:spacing w:val="-3"/>
        </w:rPr>
      </w:pPr>
      <w:r w:rsidRPr="00500F06">
        <w:rPr>
          <w:spacing w:val="-3"/>
        </w:rPr>
        <w:t>singhd@firstenergycorp.com</w:t>
      </w:r>
    </w:p>
    <w:p w14:paraId="7A178E36" w14:textId="77777777" w:rsidR="00E23DB1" w:rsidRPr="00500F06" w:rsidRDefault="00E23DB1" w:rsidP="00E23DB1">
      <w:pPr>
        <w:ind w:left="720" w:right="1314"/>
        <w:rPr>
          <w:spacing w:val="-3"/>
        </w:rPr>
      </w:pPr>
    </w:p>
    <w:p w14:paraId="74B7B6BC" w14:textId="77777777" w:rsidR="00E23DB1" w:rsidRPr="00500F06" w:rsidRDefault="00E23DB1" w:rsidP="00E23DB1">
      <w:pPr>
        <w:ind w:left="720" w:right="1314"/>
        <w:rPr>
          <w:spacing w:val="-3"/>
        </w:rPr>
      </w:pPr>
      <w:r w:rsidRPr="00500F06">
        <w:rPr>
          <w:spacing w:val="-3"/>
        </w:rPr>
        <w:tab/>
      </w:r>
      <w:r w:rsidRPr="00500F06">
        <w:rPr>
          <w:spacing w:val="-3"/>
        </w:rPr>
        <w:tab/>
        <w:t>David B. MacGregor, Esquire</w:t>
      </w:r>
    </w:p>
    <w:p w14:paraId="46EA33B9" w14:textId="77777777" w:rsidR="00E23DB1" w:rsidRPr="00500F06" w:rsidRDefault="00E23DB1" w:rsidP="00E23DB1">
      <w:pPr>
        <w:ind w:left="2160" w:right="1314"/>
        <w:rPr>
          <w:spacing w:val="-3"/>
        </w:rPr>
      </w:pPr>
      <w:r w:rsidRPr="00500F06">
        <w:rPr>
          <w:spacing w:val="-3"/>
        </w:rPr>
        <w:t>Devin T. Ryan, Esquire</w:t>
      </w:r>
    </w:p>
    <w:p w14:paraId="21CF0990" w14:textId="77777777" w:rsidR="00E23DB1" w:rsidRPr="00500F06" w:rsidRDefault="00E23DB1" w:rsidP="00E23DB1">
      <w:pPr>
        <w:ind w:left="2160" w:right="1314"/>
        <w:rPr>
          <w:spacing w:val="-3"/>
        </w:rPr>
      </w:pPr>
      <w:r w:rsidRPr="00500F06">
        <w:rPr>
          <w:spacing w:val="-3"/>
        </w:rPr>
        <w:t>Garrett P. Lent, Esquire</w:t>
      </w:r>
    </w:p>
    <w:p w14:paraId="1EAEAC7C" w14:textId="77777777" w:rsidR="00E23DB1" w:rsidRPr="00500F06" w:rsidRDefault="00E23DB1" w:rsidP="00E23DB1">
      <w:pPr>
        <w:ind w:left="2160" w:right="1314"/>
        <w:rPr>
          <w:spacing w:val="-3"/>
        </w:rPr>
      </w:pPr>
      <w:r w:rsidRPr="00500F06">
        <w:rPr>
          <w:spacing w:val="-3"/>
        </w:rPr>
        <w:t xml:space="preserve">Megan E. Rulli, Esquire </w:t>
      </w:r>
    </w:p>
    <w:p w14:paraId="2E1BDC5A" w14:textId="77777777" w:rsidR="00E23DB1" w:rsidRPr="00500F06" w:rsidRDefault="00E23DB1" w:rsidP="00E23DB1">
      <w:pPr>
        <w:ind w:left="2160" w:right="1314"/>
        <w:rPr>
          <w:spacing w:val="-3"/>
        </w:rPr>
      </w:pPr>
      <w:r w:rsidRPr="00500F06">
        <w:rPr>
          <w:spacing w:val="-3"/>
        </w:rPr>
        <w:t>Post &amp; Schell, P.C.</w:t>
      </w:r>
    </w:p>
    <w:p w14:paraId="7DE13139" w14:textId="77777777" w:rsidR="00E23DB1" w:rsidRPr="00500F06" w:rsidRDefault="00E23DB1" w:rsidP="00E23DB1">
      <w:pPr>
        <w:ind w:left="2160" w:right="1314"/>
        <w:rPr>
          <w:spacing w:val="-3"/>
        </w:rPr>
      </w:pPr>
      <w:r w:rsidRPr="00500F06">
        <w:rPr>
          <w:spacing w:val="-3"/>
        </w:rPr>
        <w:t>17 North Second Street</w:t>
      </w:r>
    </w:p>
    <w:p w14:paraId="432A5151" w14:textId="77777777" w:rsidR="00E23DB1" w:rsidRPr="00500F06" w:rsidRDefault="00E23DB1" w:rsidP="00E23DB1">
      <w:pPr>
        <w:ind w:left="2160" w:right="1314"/>
        <w:rPr>
          <w:spacing w:val="-3"/>
        </w:rPr>
      </w:pPr>
      <w:r w:rsidRPr="00500F06">
        <w:rPr>
          <w:spacing w:val="-3"/>
        </w:rPr>
        <w:lastRenderedPageBreak/>
        <w:t>12th Floor</w:t>
      </w:r>
    </w:p>
    <w:p w14:paraId="497E62C6" w14:textId="77777777" w:rsidR="00E23DB1" w:rsidRPr="00500F06" w:rsidRDefault="00E23DB1" w:rsidP="00E23DB1">
      <w:pPr>
        <w:ind w:left="2160" w:right="1314"/>
        <w:rPr>
          <w:spacing w:val="-3"/>
        </w:rPr>
      </w:pPr>
      <w:r w:rsidRPr="00500F06">
        <w:rPr>
          <w:spacing w:val="-3"/>
        </w:rPr>
        <w:t>Harrisburg, PA 17101-1601</w:t>
      </w:r>
    </w:p>
    <w:p w14:paraId="10A01150" w14:textId="77777777" w:rsidR="00E23DB1" w:rsidRPr="00500F06" w:rsidRDefault="00E23DB1" w:rsidP="00E23DB1">
      <w:pPr>
        <w:ind w:left="2160" w:right="1314"/>
        <w:rPr>
          <w:spacing w:val="-3"/>
        </w:rPr>
      </w:pPr>
      <w:r w:rsidRPr="00500F06">
        <w:rPr>
          <w:spacing w:val="-3"/>
        </w:rPr>
        <w:t>Phone: 717-731-1970</w:t>
      </w:r>
    </w:p>
    <w:p w14:paraId="67C4D332" w14:textId="77777777" w:rsidR="00E23DB1" w:rsidRPr="00500F06" w:rsidRDefault="00E23DB1" w:rsidP="00E23DB1">
      <w:pPr>
        <w:ind w:left="2160" w:right="1314"/>
        <w:rPr>
          <w:spacing w:val="-3"/>
        </w:rPr>
      </w:pPr>
      <w:r w:rsidRPr="00500F06">
        <w:rPr>
          <w:spacing w:val="-3"/>
        </w:rPr>
        <w:t>Fax: 717-731-1985</w:t>
      </w:r>
    </w:p>
    <w:p w14:paraId="04E71AA8" w14:textId="77777777" w:rsidR="00E23DB1" w:rsidRPr="00500F06" w:rsidRDefault="00E23DB1" w:rsidP="00E23DB1">
      <w:pPr>
        <w:ind w:left="2160" w:right="1314"/>
        <w:rPr>
          <w:spacing w:val="-3"/>
        </w:rPr>
      </w:pPr>
      <w:r w:rsidRPr="00500F06">
        <w:rPr>
          <w:spacing w:val="-3"/>
        </w:rPr>
        <w:t>dmacgregor@postschell.com</w:t>
      </w:r>
    </w:p>
    <w:p w14:paraId="30F64B51" w14:textId="77777777" w:rsidR="00E23DB1" w:rsidRPr="00500F06" w:rsidRDefault="00000000" w:rsidP="00E23DB1">
      <w:pPr>
        <w:ind w:left="2160" w:right="1314"/>
        <w:rPr>
          <w:spacing w:val="-3"/>
        </w:rPr>
      </w:pPr>
      <w:hyperlink r:id="rId6" w:history="1">
        <w:r w:rsidR="00E23DB1" w:rsidRPr="00500F06">
          <w:rPr>
            <w:rStyle w:val="Hyperlink"/>
            <w:spacing w:val="-3"/>
          </w:rPr>
          <w:t>dryan@postschell.com</w:t>
        </w:r>
      </w:hyperlink>
    </w:p>
    <w:p w14:paraId="73B42350" w14:textId="77777777" w:rsidR="00E23DB1" w:rsidRPr="00500F06" w:rsidRDefault="00E23DB1" w:rsidP="00E23DB1">
      <w:pPr>
        <w:ind w:left="2160" w:right="1314"/>
        <w:rPr>
          <w:spacing w:val="-3"/>
        </w:rPr>
      </w:pPr>
      <w:r w:rsidRPr="00500F06">
        <w:rPr>
          <w:spacing w:val="-3"/>
        </w:rPr>
        <w:t>glent@postschell.com</w:t>
      </w:r>
    </w:p>
    <w:p w14:paraId="60BB9970" w14:textId="77777777" w:rsidR="00E23DB1" w:rsidRPr="00500F06" w:rsidRDefault="00E23DB1" w:rsidP="00E23DB1">
      <w:pPr>
        <w:ind w:left="2160" w:right="1314"/>
        <w:rPr>
          <w:spacing w:val="-3"/>
        </w:rPr>
      </w:pPr>
      <w:r w:rsidRPr="00500F06">
        <w:rPr>
          <w:spacing w:val="-3"/>
        </w:rPr>
        <w:t>mrulli@postschell.com</w:t>
      </w:r>
    </w:p>
    <w:p w14:paraId="17FA54C0" w14:textId="6FACC8B6" w:rsidR="00E23DB1" w:rsidRDefault="00E23DB1" w:rsidP="00E23DB1">
      <w:pPr>
        <w:ind w:left="720" w:right="1314"/>
        <w:rPr>
          <w:spacing w:val="-3"/>
        </w:rPr>
      </w:pPr>
    </w:p>
    <w:p w14:paraId="1F66F9CE" w14:textId="77777777" w:rsidR="006478EA" w:rsidRPr="00FC7EA4" w:rsidRDefault="006478EA" w:rsidP="006478EA">
      <w:pPr>
        <w:shd w:val="clear" w:color="auto" w:fill="FFFFFF"/>
        <w:spacing w:before="300" w:after="150"/>
        <w:jc w:val="center"/>
        <w:outlineLvl w:val="2"/>
        <w:rPr>
          <w:b/>
          <w:bCs/>
          <w:color w:val="333333"/>
        </w:rPr>
      </w:pPr>
      <w:r w:rsidRPr="00FC7EA4">
        <w:rPr>
          <w:b/>
          <w:bCs/>
          <w:color w:val="333333"/>
        </w:rPr>
        <w:t>Telephonic Prehearing Conference</w:t>
      </w:r>
    </w:p>
    <w:p w14:paraId="4C8A05F6" w14:textId="2002E77C" w:rsidR="006478EA" w:rsidRPr="00FC7EA4" w:rsidRDefault="006478EA" w:rsidP="006478EA">
      <w:pPr>
        <w:shd w:val="clear" w:color="auto" w:fill="FFFFFF"/>
        <w:spacing w:after="150"/>
        <w:jc w:val="both"/>
        <w:rPr>
          <w:color w:val="333333"/>
        </w:rPr>
      </w:pPr>
      <w:r w:rsidRPr="00FC7EA4">
        <w:rPr>
          <w:color w:val="333333"/>
        </w:rPr>
        <w:t xml:space="preserve">An initial telephonic prehearing conference on the </w:t>
      </w:r>
      <w:r w:rsidR="00B8153B" w:rsidRPr="00FC7EA4">
        <w:rPr>
          <w:color w:val="333333"/>
        </w:rPr>
        <w:t>captioned</w:t>
      </w:r>
      <w:r w:rsidRPr="00FC7EA4">
        <w:rPr>
          <w:color w:val="333333"/>
        </w:rPr>
        <w:t xml:space="preserve"> case will be held as follows:</w:t>
      </w:r>
    </w:p>
    <w:p w14:paraId="352CE9F7" w14:textId="77777777" w:rsidR="00B8153B" w:rsidRPr="00FC7EA4" w:rsidRDefault="00B8153B" w:rsidP="006478EA">
      <w:pPr>
        <w:shd w:val="clear" w:color="auto" w:fill="FFFFFF"/>
        <w:spacing w:after="150"/>
        <w:jc w:val="both"/>
        <w:rPr>
          <w:color w:val="333333"/>
        </w:rPr>
      </w:pPr>
    </w:p>
    <w:tbl>
      <w:tblPr>
        <w:tblW w:w="8231" w:type="dxa"/>
        <w:tblInd w:w="570" w:type="dxa"/>
        <w:shd w:val="clear" w:color="auto" w:fill="FFFFFF"/>
        <w:tblCellMar>
          <w:top w:w="15" w:type="dxa"/>
          <w:left w:w="15" w:type="dxa"/>
          <w:bottom w:w="15" w:type="dxa"/>
          <w:right w:w="15" w:type="dxa"/>
        </w:tblCellMar>
        <w:tblLook w:val="04A0" w:firstRow="1" w:lastRow="0" w:firstColumn="1" w:lastColumn="0" w:noHBand="0" w:noVBand="1"/>
      </w:tblPr>
      <w:tblGrid>
        <w:gridCol w:w="1136"/>
        <w:gridCol w:w="7095"/>
      </w:tblGrid>
      <w:tr w:rsidR="006478EA" w:rsidRPr="00FC7EA4" w14:paraId="36283C84" w14:textId="77777777" w:rsidTr="00B8153B">
        <w:trPr>
          <w:trHeight w:val="272"/>
        </w:trPr>
        <w:tc>
          <w:tcPr>
            <w:tcW w:w="0" w:type="auto"/>
            <w:shd w:val="clear" w:color="auto" w:fill="FFFFFF"/>
            <w:vAlign w:val="bottom"/>
            <w:hideMark/>
          </w:tcPr>
          <w:p w14:paraId="66139C0F" w14:textId="77777777" w:rsidR="006478EA" w:rsidRPr="00FC7EA4" w:rsidRDefault="006478EA" w:rsidP="006478EA">
            <w:pPr>
              <w:jc w:val="both"/>
              <w:rPr>
                <w:b/>
                <w:bCs/>
                <w:color w:val="333333"/>
              </w:rPr>
            </w:pPr>
            <w:r w:rsidRPr="00FC7EA4">
              <w:rPr>
                <w:b/>
                <w:bCs/>
                <w:color w:val="333333"/>
              </w:rPr>
              <w:t>Date:</w:t>
            </w:r>
          </w:p>
        </w:tc>
        <w:tc>
          <w:tcPr>
            <w:tcW w:w="7095" w:type="dxa"/>
            <w:shd w:val="clear" w:color="auto" w:fill="FFFFFF"/>
            <w:vAlign w:val="bottom"/>
            <w:hideMark/>
          </w:tcPr>
          <w:p w14:paraId="1956E8A8" w14:textId="22C74F25" w:rsidR="006478EA" w:rsidRPr="00FC7EA4" w:rsidRDefault="006478EA" w:rsidP="006478EA">
            <w:pPr>
              <w:jc w:val="both"/>
              <w:rPr>
                <w:b/>
                <w:bCs/>
                <w:color w:val="333333"/>
              </w:rPr>
            </w:pPr>
            <w:r w:rsidRPr="00FC7EA4">
              <w:rPr>
                <w:b/>
                <w:bCs/>
                <w:color w:val="333333"/>
              </w:rPr>
              <w:t>T</w:t>
            </w:r>
            <w:r w:rsidR="00B8153B" w:rsidRPr="00FC7EA4">
              <w:rPr>
                <w:b/>
                <w:bCs/>
                <w:color w:val="333333"/>
              </w:rPr>
              <w:t>uesday</w:t>
            </w:r>
            <w:r w:rsidRPr="00FC7EA4">
              <w:rPr>
                <w:b/>
                <w:bCs/>
                <w:color w:val="333333"/>
              </w:rPr>
              <w:t xml:space="preserve">, April </w:t>
            </w:r>
            <w:r w:rsidR="00B8153B" w:rsidRPr="00FC7EA4">
              <w:rPr>
                <w:b/>
                <w:bCs/>
                <w:color w:val="333333"/>
              </w:rPr>
              <w:t>25</w:t>
            </w:r>
            <w:r w:rsidRPr="00FC7EA4">
              <w:rPr>
                <w:b/>
                <w:bCs/>
                <w:color w:val="333333"/>
              </w:rPr>
              <w:t>, 2023</w:t>
            </w:r>
          </w:p>
        </w:tc>
      </w:tr>
      <w:tr w:rsidR="006478EA" w:rsidRPr="00FC7EA4" w14:paraId="30593C47" w14:textId="77777777" w:rsidTr="00B8153B">
        <w:trPr>
          <w:trHeight w:val="284"/>
        </w:trPr>
        <w:tc>
          <w:tcPr>
            <w:tcW w:w="0" w:type="auto"/>
            <w:shd w:val="clear" w:color="auto" w:fill="FFFFFF"/>
            <w:hideMark/>
          </w:tcPr>
          <w:p w14:paraId="40A6525E" w14:textId="77777777" w:rsidR="006478EA" w:rsidRPr="00FC7EA4" w:rsidRDefault="006478EA" w:rsidP="006478EA">
            <w:pPr>
              <w:jc w:val="both"/>
              <w:rPr>
                <w:b/>
                <w:bCs/>
                <w:color w:val="333333"/>
              </w:rPr>
            </w:pPr>
            <w:r w:rsidRPr="00FC7EA4">
              <w:rPr>
                <w:b/>
                <w:bCs/>
                <w:i/>
                <w:iCs/>
                <w:color w:val="333333"/>
              </w:rPr>
              <w:t>Time</w:t>
            </w:r>
            <w:r w:rsidRPr="00FC7EA4">
              <w:rPr>
                <w:b/>
                <w:bCs/>
                <w:color w:val="333333"/>
              </w:rPr>
              <w:t>:</w:t>
            </w:r>
          </w:p>
        </w:tc>
        <w:tc>
          <w:tcPr>
            <w:tcW w:w="7095" w:type="dxa"/>
            <w:shd w:val="clear" w:color="auto" w:fill="FFFFFF"/>
            <w:hideMark/>
          </w:tcPr>
          <w:p w14:paraId="47B2C5C0" w14:textId="77777777" w:rsidR="006478EA" w:rsidRPr="00FC7EA4" w:rsidRDefault="006478EA" w:rsidP="006478EA">
            <w:pPr>
              <w:jc w:val="both"/>
              <w:rPr>
                <w:b/>
                <w:bCs/>
                <w:color w:val="333333"/>
              </w:rPr>
            </w:pPr>
            <w:r w:rsidRPr="00FC7EA4">
              <w:rPr>
                <w:b/>
                <w:bCs/>
                <w:color w:val="333333"/>
              </w:rPr>
              <w:t>1:30 p.m.</w:t>
            </w:r>
          </w:p>
        </w:tc>
      </w:tr>
      <w:tr w:rsidR="006478EA" w:rsidRPr="00FC7EA4" w14:paraId="18D7062F" w14:textId="77777777" w:rsidTr="00B8153B">
        <w:trPr>
          <w:trHeight w:val="1088"/>
        </w:trPr>
        <w:tc>
          <w:tcPr>
            <w:tcW w:w="0" w:type="auto"/>
            <w:shd w:val="clear" w:color="auto" w:fill="FFFFFF"/>
            <w:hideMark/>
          </w:tcPr>
          <w:p w14:paraId="6A6A4E5A" w14:textId="290EA883" w:rsidR="006478EA" w:rsidRPr="00FC7EA4" w:rsidRDefault="006478EA" w:rsidP="006478EA">
            <w:pPr>
              <w:jc w:val="both"/>
              <w:rPr>
                <w:b/>
                <w:bCs/>
                <w:color w:val="333333"/>
              </w:rPr>
            </w:pPr>
            <w:r w:rsidRPr="00FC7EA4">
              <w:rPr>
                <w:b/>
                <w:bCs/>
                <w:i/>
                <w:iCs/>
                <w:color w:val="333333"/>
              </w:rPr>
              <w:t>Presiding</w:t>
            </w:r>
            <w:r w:rsidR="00B8153B" w:rsidRPr="00FC7EA4">
              <w:rPr>
                <w:b/>
                <w:bCs/>
                <w:i/>
                <w:iCs/>
                <w:color w:val="333333"/>
              </w:rPr>
              <w:t xml:space="preserve"> Officers</w:t>
            </w:r>
            <w:r w:rsidRPr="00FC7EA4">
              <w:rPr>
                <w:b/>
                <w:bCs/>
                <w:color w:val="333333"/>
              </w:rPr>
              <w:t>:</w:t>
            </w:r>
          </w:p>
        </w:tc>
        <w:tc>
          <w:tcPr>
            <w:tcW w:w="7095" w:type="dxa"/>
            <w:shd w:val="clear" w:color="auto" w:fill="FFFFFF"/>
            <w:hideMark/>
          </w:tcPr>
          <w:p w14:paraId="0B4CB561" w14:textId="4F020005" w:rsidR="006478EA" w:rsidRPr="00FC7EA4" w:rsidRDefault="006478EA" w:rsidP="006478EA">
            <w:pPr>
              <w:rPr>
                <w:b/>
                <w:bCs/>
                <w:color w:val="333333"/>
              </w:rPr>
            </w:pPr>
            <w:r w:rsidRPr="00FC7EA4">
              <w:rPr>
                <w:b/>
                <w:bCs/>
                <w:color w:val="333333"/>
              </w:rPr>
              <w:t xml:space="preserve">Administrative Law Judges </w:t>
            </w:r>
            <w:r w:rsidR="00B8153B" w:rsidRPr="00FC7EA4">
              <w:rPr>
                <w:b/>
                <w:bCs/>
                <w:color w:val="333333"/>
              </w:rPr>
              <w:t>Conrad A. Johnson</w:t>
            </w:r>
            <w:r w:rsidRPr="00FC7EA4">
              <w:rPr>
                <w:b/>
                <w:bCs/>
                <w:color w:val="333333"/>
              </w:rPr>
              <w:t xml:space="preserve"> and </w:t>
            </w:r>
            <w:r w:rsidR="00B8153B" w:rsidRPr="00FC7EA4">
              <w:rPr>
                <w:b/>
                <w:bCs/>
                <w:color w:val="333333"/>
              </w:rPr>
              <w:t>Emily I. DeVoe</w:t>
            </w:r>
            <w:r w:rsidRPr="00FC7EA4">
              <w:rPr>
                <w:b/>
                <w:bCs/>
                <w:color w:val="333333"/>
              </w:rPr>
              <w:t xml:space="preserve"> </w:t>
            </w:r>
            <w:r w:rsidRPr="00FC7EA4">
              <w:rPr>
                <w:b/>
                <w:bCs/>
                <w:color w:val="333333"/>
              </w:rPr>
              <w:br/>
              <w:t>Phone: (412) 565-3550</w:t>
            </w:r>
            <w:r w:rsidRPr="00FC7EA4">
              <w:rPr>
                <w:b/>
                <w:bCs/>
                <w:color w:val="333333"/>
              </w:rPr>
              <w:br/>
              <w:t>Fax: (412) 565-5692</w:t>
            </w:r>
          </w:p>
        </w:tc>
      </w:tr>
    </w:tbl>
    <w:p w14:paraId="76BA8F90" w14:textId="77777777" w:rsidR="00B8153B" w:rsidRPr="00FC7EA4" w:rsidRDefault="00B8153B" w:rsidP="006478EA">
      <w:pPr>
        <w:shd w:val="clear" w:color="auto" w:fill="FFFFFF"/>
        <w:spacing w:after="150"/>
        <w:jc w:val="both"/>
        <w:rPr>
          <w:color w:val="333333"/>
        </w:rPr>
      </w:pPr>
    </w:p>
    <w:p w14:paraId="0C14F88B" w14:textId="341A71A2" w:rsidR="006478EA" w:rsidRPr="00FC7EA4" w:rsidRDefault="006478EA" w:rsidP="00091BF4">
      <w:pPr>
        <w:shd w:val="clear" w:color="auto" w:fill="FFFFFF"/>
        <w:spacing w:after="150"/>
        <w:rPr>
          <w:color w:val="333333"/>
        </w:rPr>
      </w:pPr>
      <w:r w:rsidRPr="00FC7EA4">
        <w:rPr>
          <w:color w:val="333333"/>
        </w:rPr>
        <w:t>At the previously listed date and time,</w:t>
      </w:r>
      <w:r w:rsidR="00091BF4" w:rsidRPr="00FC7EA4">
        <w:rPr>
          <w:color w:val="333333"/>
        </w:rPr>
        <w:t xml:space="preserve"> </w:t>
      </w:r>
      <w:r w:rsidRPr="00FC7EA4">
        <w:rPr>
          <w:color w:val="333333"/>
        </w:rPr>
        <w:t>individuals must call into the telephonic prehearing conference. Individuals will not be called by the Presiding Officers.</w:t>
      </w:r>
    </w:p>
    <w:p w14:paraId="1B8F9A34" w14:textId="77777777" w:rsidR="006478EA" w:rsidRPr="00FC7EA4" w:rsidRDefault="006478EA" w:rsidP="00091BF4">
      <w:pPr>
        <w:shd w:val="clear" w:color="auto" w:fill="FFFFFF"/>
        <w:spacing w:after="150"/>
        <w:rPr>
          <w:color w:val="333333"/>
        </w:rPr>
      </w:pPr>
      <w:r w:rsidRPr="00FC7EA4">
        <w:rPr>
          <w:color w:val="333333"/>
        </w:rPr>
        <w:t> </w:t>
      </w:r>
      <w:r w:rsidRPr="00FC7EA4">
        <w:rPr>
          <w:color w:val="333333"/>
        </w:rPr>
        <w:t>To participate in the telephonic prehearing conference, individuals must:</w:t>
      </w:r>
    </w:p>
    <w:p w14:paraId="6F1B8F16" w14:textId="77777777" w:rsidR="006478EA" w:rsidRPr="00FC7EA4" w:rsidRDefault="006478EA" w:rsidP="00091BF4">
      <w:pPr>
        <w:shd w:val="clear" w:color="auto" w:fill="FFFFFF"/>
        <w:spacing w:after="150"/>
        <w:rPr>
          <w:color w:val="333333"/>
        </w:rPr>
      </w:pPr>
      <w:r w:rsidRPr="00FC7EA4">
        <w:rPr>
          <w:color w:val="333333"/>
        </w:rPr>
        <w:t> </w:t>
      </w:r>
      <w:r w:rsidRPr="00FC7EA4">
        <w:rPr>
          <w:color w:val="333333"/>
        </w:rPr>
        <w:t>•</w:t>
      </w:r>
      <w:r w:rsidRPr="00FC7EA4">
        <w:rPr>
          <w:color w:val="333333"/>
        </w:rPr>
        <w:t> </w:t>
      </w:r>
      <w:r w:rsidRPr="00FC7EA4">
        <w:rPr>
          <w:color w:val="333333"/>
        </w:rPr>
        <w:t>Dial the following toll-free number.</w:t>
      </w:r>
    </w:p>
    <w:p w14:paraId="0F4D22CD" w14:textId="77777777" w:rsidR="006478EA" w:rsidRPr="00FC7EA4" w:rsidRDefault="006478EA" w:rsidP="00091BF4">
      <w:pPr>
        <w:shd w:val="clear" w:color="auto" w:fill="FFFFFF"/>
        <w:spacing w:after="150"/>
        <w:rPr>
          <w:color w:val="333333"/>
        </w:rPr>
      </w:pPr>
      <w:r w:rsidRPr="00FC7EA4">
        <w:rPr>
          <w:color w:val="333333"/>
        </w:rPr>
        <w:t> </w:t>
      </w:r>
      <w:r w:rsidRPr="00FC7EA4">
        <w:rPr>
          <w:color w:val="333333"/>
        </w:rPr>
        <w:t>•</w:t>
      </w:r>
      <w:r w:rsidRPr="00FC7EA4">
        <w:rPr>
          <w:color w:val="333333"/>
        </w:rPr>
        <w:t> </w:t>
      </w:r>
      <w:r w:rsidRPr="00FC7EA4">
        <w:rPr>
          <w:color w:val="333333"/>
        </w:rPr>
        <w:t>Enter the PIN number when instructed to do so, listed as follows.</w:t>
      </w:r>
    </w:p>
    <w:p w14:paraId="1D3CC3DA" w14:textId="77777777" w:rsidR="006478EA" w:rsidRPr="00FC7EA4" w:rsidRDefault="006478EA" w:rsidP="00091BF4">
      <w:pPr>
        <w:shd w:val="clear" w:color="auto" w:fill="FFFFFF"/>
        <w:spacing w:after="150"/>
        <w:rPr>
          <w:color w:val="333333"/>
        </w:rPr>
      </w:pPr>
      <w:r w:rsidRPr="00FC7EA4">
        <w:rPr>
          <w:color w:val="333333"/>
        </w:rPr>
        <w:t> </w:t>
      </w:r>
      <w:r w:rsidRPr="00FC7EA4">
        <w:rPr>
          <w:color w:val="333333"/>
        </w:rPr>
        <w:t>•</w:t>
      </w:r>
      <w:r w:rsidRPr="00FC7EA4">
        <w:rPr>
          <w:color w:val="333333"/>
        </w:rPr>
        <w:t> </w:t>
      </w:r>
      <w:r w:rsidRPr="00FC7EA4">
        <w:rPr>
          <w:color w:val="333333"/>
        </w:rPr>
        <w:t>Speak the individual's name when prompted.</w:t>
      </w:r>
    </w:p>
    <w:p w14:paraId="3F325092" w14:textId="77777777" w:rsidR="006478EA" w:rsidRPr="00FC7EA4" w:rsidRDefault="006478EA" w:rsidP="00091BF4">
      <w:pPr>
        <w:shd w:val="clear" w:color="auto" w:fill="FFFFFF"/>
        <w:spacing w:after="150"/>
        <w:rPr>
          <w:color w:val="333333"/>
        </w:rPr>
      </w:pPr>
      <w:r w:rsidRPr="00FC7EA4">
        <w:rPr>
          <w:color w:val="333333"/>
        </w:rPr>
        <w:t> </w:t>
      </w:r>
      <w:r w:rsidRPr="00FC7EA4">
        <w:rPr>
          <w:color w:val="333333"/>
        </w:rPr>
        <w:t>The telephone system will connect individuals to the telephonic prehearing conference.</w:t>
      </w:r>
    </w:p>
    <w:p w14:paraId="0849CABB" w14:textId="250D5A95" w:rsidR="006478EA" w:rsidRPr="00FC7EA4" w:rsidRDefault="006478EA" w:rsidP="00091BF4">
      <w:pPr>
        <w:shd w:val="clear" w:color="auto" w:fill="FFFFFF"/>
        <w:spacing w:after="150"/>
        <w:rPr>
          <w:color w:val="333333"/>
        </w:rPr>
      </w:pPr>
      <w:r w:rsidRPr="00FC7EA4">
        <w:rPr>
          <w:color w:val="333333"/>
        </w:rPr>
        <w:t> </w:t>
      </w:r>
      <w:r w:rsidRPr="00FC7EA4">
        <w:rPr>
          <w:color w:val="333333"/>
        </w:rPr>
        <w:t xml:space="preserve">Toll-free Conference Number: </w:t>
      </w:r>
      <w:r w:rsidRPr="00FC7EA4">
        <w:rPr>
          <w:rFonts w:ascii="Microsoft Sans Serif" w:eastAsiaTheme="minorHAnsi" w:hAnsi="Microsoft Sans Serif" w:cs="Microsoft Sans Serif"/>
          <w:b/>
          <w:bCs/>
        </w:rPr>
        <w:t>1.866.</w:t>
      </w:r>
      <w:r w:rsidR="00B8153B" w:rsidRPr="00FC7EA4">
        <w:rPr>
          <w:rFonts w:ascii="Microsoft Sans Serif" w:eastAsiaTheme="minorHAnsi" w:hAnsi="Microsoft Sans Serif" w:cs="Microsoft Sans Serif"/>
          <w:b/>
          <w:bCs/>
        </w:rPr>
        <w:t>566</w:t>
      </w:r>
      <w:r w:rsidRPr="00FC7EA4">
        <w:rPr>
          <w:rFonts w:ascii="Microsoft Sans Serif" w:eastAsiaTheme="minorHAnsi" w:hAnsi="Microsoft Sans Serif" w:cs="Microsoft Sans Serif"/>
          <w:b/>
          <w:bCs/>
        </w:rPr>
        <w:t>.0</w:t>
      </w:r>
      <w:r w:rsidR="00B8153B" w:rsidRPr="00FC7EA4">
        <w:rPr>
          <w:rFonts w:ascii="Microsoft Sans Serif" w:eastAsiaTheme="minorHAnsi" w:hAnsi="Microsoft Sans Serif" w:cs="Microsoft Sans Serif"/>
          <w:b/>
          <w:bCs/>
        </w:rPr>
        <w:t>826</w:t>
      </w:r>
      <w:r w:rsidRPr="00FC7EA4">
        <w:rPr>
          <w:color w:val="333333"/>
          <w:highlight w:val="yellow"/>
        </w:rPr>
        <w:br/>
      </w:r>
      <w:r w:rsidRPr="00FC7EA4">
        <w:rPr>
          <w:color w:val="333333"/>
        </w:rPr>
        <w:t> </w:t>
      </w:r>
      <w:r w:rsidRPr="00FC7EA4">
        <w:rPr>
          <w:color w:val="333333"/>
        </w:rPr>
        <w:t xml:space="preserve">PIN Number: </w:t>
      </w:r>
      <w:r w:rsidR="00B8153B" w:rsidRPr="00FC7EA4">
        <w:rPr>
          <w:rFonts w:ascii="Microsoft Sans Serif" w:hAnsi="Microsoft Sans Serif" w:cs="Microsoft Sans Serif"/>
          <w:b/>
          <w:bCs/>
          <w:color w:val="333333"/>
        </w:rPr>
        <w:t>76982683</w:t>
      </w:r>
    </w:p>
    <w:p w14:paraId="11F32BAC" w14:textId="77777777" w:rsidR="006478EA" w:rsidRPr="00FC7EA4" w:rsidRDefault="006478EA" w:rsidP="006478EA">
      <w:pPr>
        <w:shd w:val="clear" w:color="auto" w:fill="FFFFFF"/>
        <w:spacing w:after="150"/>
        <w:jc w:val="both"/>
        <w:rPr>
          <w:color w:val="333333"/>
        </w:rPr>
      </w:pPr>
      <w:r w:rsidRPr="00FC7EA4">
        <w:rPr>
          <w:color w:val="333333"/>
        </w:rPr>
        <w:t xml:space="preserve">If you require an interpreter to participate in the telephonic prehearing conference, the Commission will make every reasonable effort to have an interpreter present. Please call the Scheduling Office at the Commission at least 10 business days prior to the prehearing conference to submit your request. </w:t>
      </w:r>
    </w:p>
    <w:p w14:paraId="38DF20C1" w14:textId="77777777" w:rsidR="006478EA" w:rsidRPr="00FC7EA4" w:rsidRDefault="006478EA" w:rsidP="006478EA">
      <w:pPr>
        <w:shd w:val="clear" w:color="auto" w:fill="FFFFFF"/>
        <w:spacing w:after="150"/>
        <w:jc w:val="both"/>
        <w:rPr>
          <w:color w:val="333333"/>
        </w:rPr>
      </w:pPr>
      <w:r w:rsidRPr="00FC7EA4">
        <w:rPr>
          <w:color w:val="333333"/>
        </w:rPr>
        <w:t> </w:t>
      </w:r>
      <w:r w:rsidRPr="00FC7EA4">
        <w:rPr>
          <w:color w:val="333333"/>
        </w:rPr>
        <w:t>•</w:t>
      </w:r>
      <w:r w:rsidRPr="00FC7EA4">
        <w:rPr>
          <w:color w:val="333333"/>
        </w:rPr>
        <w:t> </w:t>
      </w:r>
      <w:r w:rsidRPr="00FC7EA4">
        <w:rPr>
          <w:color w:val="333333"/>
        </w:rPr>
        <w:t>Scheduling Office: (717) 787-1399</w:t>
      </w:r>
    </w:p>
    <w:p w14:paraId="62F85996" w14:textId="77777777" w:rsidR="006478EA" w:rsidRPr="00FC7EA4" w:rsidRDefault="006478EA" w:rsidP="006478EA">
      <w:pPr>
        <w:shd w:val="clear" w:color="auto" w:fill="FFFFFF"/>
        <w:spacing w:after="150"/>
        <w:jc w:val="both"/>
        <w:rPr>
          <w:color w:val="333333"/>
        </w:rPr>
      </w:pPr>
      <w:r w:rsidRPr="00FC7EA4">
        <w:rPr>
          <w:color w:val="333333"/>
        </w:rPr>
        <w:t> </w:t>
      </w:r>
      <w:r w:rsidRPr="00FC7EA4">
        <w:rPr>
          <w:color w:val="333333"/>
        </w:rPr>
        <w:t>•</w:t>
      </w:r>
      <w:r w:rsidRPr="00FC7EA4">
        <w:rPr>
          <w:color w:val="333333"/>
        </w:rPr>
        <w:t> </w:t>
      </w:r>
      <w:r w:rsidRPr="00FC7EA4">
        <w:rPr>
          <w:color w:val="333333"/>
        </w:rPr>
        <w:t>Pennsylvania Hamilton Relay Service number for persons who are deaf or hearing-impaired: (800) 654-5988</w:t>
      </w:r>
    </w:p>
    <w:p w14:paraId="6C91C8A6" w14:textId="77777777" w:rsidR="006478EA" w:rsidRPr="00FC7EA4" w:rsidRDefault="006478EA" w:rsidP="006478EA">
      <w:pPr>
        <w:shd w:val="clear" w:color="auto" w:fill="FFFFFF"/>
        <w:spacing w:after="150"/>
        <w:rPr>
          <w:color w:val="333333"/>
        </w:rPr>
      </w:pPr>
      <w:r w:rsidRPr="00FC7EA4">
        <w:rPr>
          <w:color w:val="333333"/>
        </w:rPr>
        <w:t> </w:t>
      </w:r>
      <w:r w:rsidRPr="00FC7EA4">
        <w:rPr>
          <w:color w:val="333333"/>
        </w:rPr>
        <w:t xml:space="preserve">The Commission offers a free eFiling Subscription Service, which allows users to automatically receive an e-mail notification whenever a document is added, removed or changed on the Commission web site regarding a specific case. Instructions for subscribing to this service are on the Commission's web site at </w:t>
      </w:r>
      <w:r w:rsidRPr="00FC7EA4">
        <w:t>http://www.puc.pa.gov/Documentation/eFiling_Subscriptions.pdf</w:t>
      </w:r>
      <w:r w:rsidRPr="00FC7EA4">
        <w:rPr>
          <w:color w:val="333333"/>
        </w:rPr>
        <w:t xml:space="preserve">. </w:t>
      </w:r>
    </w:p>
    <w:p w14:paraId="017556BA" w14:textId="77777777" w:rsidR="006478EA" w:rsidRPr="00FC7EA4" w:rsidRDefault="006478EA" w:rsidP="006478EA">
      <w:pPr>
        <w:ind w:right="1314"/>
        <w:rPr>
          <w:spacing w:val="-3"/>
        </w:rPr>
      </w:pPr>
    </w:p>
    <w:p w14:paraId="7847A6A4" w14:textId="451BF809" w:rsidR="006478EA" w:rsidRPr="00FC7EA4" w:rsidRDefault="006478EA" w:rsidP="00E23DB1">
      <w:pPr>
        <w:ind w:left="5760" w:firstLine="720"/>
        <w:rPr>
          <w:spacing w:val="-3"/>
        </w:rPr>
      </w:pPr>
    </w:p>
    <w:p w14:paraId="5D07530D" w14:textId="7D09F522" w:rsidR="006478EA" w:rsidRPr="00FC7EA4" w:rsidRDefault="006478EA" w:rsidP="00E23DB1">
      <w:pPr>
        <w:ind w:left="5760" w:firstLine="720"/>
        <w:rPr>
          <w:spacing w:val="-3"/>
        </w:rPr>
      </w:pPr>
    </w:p>
    <w:p w14:paraId="79921546" w14:textId="6FD0CFF2" w:rsidR="00E23DB1" w:rsidRPr="00FC7EA4" w:rsidRDefault="00E23DB1" w:rsidP="00FC7EA4">
      <w:pPr>
        <w:ind w:left="5760" w:firstLine="720"/>
        <w:rPr>
          <w:spacing w:val="-3"/>
        </w:rPr>
      </w:pPr>
      <w:r w:rsidRPr="00FC7EA4">
        <w:rPr>
          <w:noProof/>
        </w:rPr>
        <w:drawing>
          <wp:anchor distT="0" distB="0" distL="114300" distR="114300" simplePos="0" relativeHeight="251659264" behindDoc="1" locked="0" layoutInCell="1" allowOverlap="1" wp14:anchorId="34BDC7C2" wp14:editId="6FA51E10">
            <wp:simplePos x="0" y="0"/>
            <wp:positionH relativeFrom="column">
              <wp:posOffset>3958590</wp:posOffset>
            </wp:positionH>
            <wp:positionV relativeFrom="paragraph">
              <wp:posOffset>141605</wp:posOffset>
            </wp:positionV>
            <wp:extent cx="1754505" cy="668655"/>
            <wp:effectExtent l="0" t="0" r="0"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EA4">
        <w:rPr>
          <w:spacing w:val="-3"/>
        </w:rPr>
        <w:t>BY THE COMMISSION</w:t>
      </w:r>
    </w:p>
    <w:p w14:paraId="7447223A" w14:textId="77777777" w:rsidR="00E23DB1" w:rsidRPr="00FC7EA4" w:rsidRDefault="00E23DB1" w:rsidP="00E23DB1">
      <w:pPr>
        <w:tabs>
          <w:tab w:val="left" w:pos="-720"/>
        </w:tabs>
        <w:suppressAutoHyphens/>
        <w:rPr>
          <w:spacing w:val="-3"/>
        </w:rPr>
      </w:pPr>
    </w:p>
    <w:p w14:paraId="67F8F863" w14:textId="77777777" w:rsidR="00E23DB1" w:rsidRPr="00FC7EA4" w:rsidRDefault="00E23DB1" w:rsidP="00E23DB1">
      <w:pPr>
        <w:tabs>
          <w:tab w:val="left" w:pos="-720"/>
        </w:tabs>
        <w:suppressAutoHyphens/>
        <w:rPr>
          <w:spacing w:val="-3"/>
        </w:rPr>
      </w:pPr>
    </w:p>
    <w:p w14:paraId="555DEEC4" w14:textId="77777777" w:rsidR="00E23DB1" w:rsidRPr="00FC7EA4" w:rsidRDefault="00E23DB1" w:rsidP="00E23DB1">
      <w:pPr>
        <w:tabs>
          <w:tab w:val="left" w:pos="-720"/>
        </w:tabs>
        <w:suppressAutoHyphens/>
        <w:rPr>
          <w:spacing w:val="-3"/>
        </w:rPr>
      </w:pPr>
    </w:p>
    <w:p w14:paraId="0F9DB843" w14:textId="77777777" w:rsidR="00E23DB1" w:rsidRPr="00FC7EA4" w:rsidRDefault="00E23DB1" w:rsidP="00E23DB1">
      <w:pPr>
        <w:tabs>
          <w:tab w:val="left" w:pos="-720"/>
        </w:tabs>
        <w:suppressAutoHyphens/>
        <w:rPr>
          <w:spacing w:val="-3"/>
        </w:rPr>
      </w:pPr>
      <w:r w:rsidRPr="00FC7EA4">
        <w:rPr>
          <w:spacing w:val="-3"/>
        </w:rPr>
        <w:tab/>
      </w:r>
      <w:r w:rsidRPr="00FC7EA4">
        <w:rPr>
          <w:spacing w:val="-3"/>
        </w:rPr>
        <w:tab/>
      </w:r>
      <w:r w:rsidRPr="00FC7EA4">
        <w:rPr>
          <w:spacing w:val="-3"/>
        </w:rPr>
        <w:tab/>
      </w:r>
      <w:r w:rsidRPr="00FC7EA4">
        <w:rPr>
          <w:spacing w:val="-3"/>
        </w:rPr>
        <w:tab/>
      </w:r>
      <w:r w:rsidRPr="00FC7EA4">
        <w:rPr>
          <w:spacing w:val="-3"/>
        </w:rPr>
        <w:tab/>
      </w:r>
      <w:r w:rsidRPr="00FC7EA4">
        <w:rPr>
          <w:spacing w:val="-3"/>
        </w:rPr>
        <w:tab/>
      </w:r>
      <w:r w:rsidRPr="00FC7EA4">
        <w:rPr>
          <w:spacing w:val="-3"/>
        </w:rPr>
        <w:tab/>
      </w:r>
      <w:r w:rsidRPr="00FC7EA4">
        <w:rPr>
          <w:spacing w:val="-3"/>
        </w:rPr>
        <w:tab/>
      </w:r>
      <w:r w:rsidRPr="00FC7EA4">
        <w:rPr>
          <w:spacing w:val="-3"/>
        </w:rPr>
        <w:tab/>
        <w:t>Rosemary Chiavetta</w:t>
      </w:r>
    </w:p>
    <w:p w14:paraId="30B29AC3" w14:textId="77777777" w:rsidR="00E23DB1" w:rsidRPr="00FC7EA4" w:rsidRDefault="00E23DB1" w:rsidP="00E23DB1">
      <w:pPr>
        <w:tabs>
          <w:tab w:val="left" w:pos="-720"/>
        </w:tabs>
        <w:suppressAutoHyphens/>
      </w:pPr>
      <w:r w:rsidRPr="00FC7EA4">
        <w:rPr>
          <w:spacing w:val="-3"/>
        </w:rPr>
        <w:tab/>
      </w:r>
      <w:r w:rsidRPr="00FC7EA4">
        <w:rPr>
          <w:spacing w:val="-3"/>
        </w:rPr>
        <w:tab/>
      </w:r>
      <w:r w:rsidRPr="00FC7EA4">
        <w:rPr>
          <w:spacing w:val="-3"/>
        </w:rPr>
        <w:tab/>
      </w:r>
      <w:r w:rsidRPr="00FC7EA4">
        <w:rPr>
          <w:spacing w:val="-3"/>
        </w:rPr>
        <w:tab/>
      </w:r>
      <w:r w:rsidRPr="00FC7EA4">
        <w:rPr>
          <w:spacing w:val="-3"/>
        </w:rPr>
        <w:tab/>
      </w:r>
      <w:r w:rsidRPr="00FC7EA4">
        <w:rPr>
          <w:spacing w:val="-3"/>
        </w:rPr>
        <w:tab/>
      </w:r>
      <w:r w:rsidRPr="00FC7EA4">
        <w:rPr>
          <w:spacing w:val="-3"/>
        </w:rPr>
        <w:tab/>
      </w:r>
      <w:r w:rsidRPr="00FC7EA4">
        <w:rPr>
          <w:spacing w:val="-3"/>
        </w:rPr>
        <w:tab/>
      </w:r>
      <w:r w:rsidRPr="00FC7EA4">
        <w:rPr>
          <w:spacing w:val="-3"/>
        </w:rPr>
        <w:tab/>
        <w:t>Secretary</w:t>
      </w:r>
    </w:p>
    <w:p w14:paraId="397C0904" w14:textId="7FD0B263" w:rsidR="00B90566" w:rsidRPr="00FC7EA4" w:rsidRDefault="00E23DB1">
      <w:r w:rsidRPr="00FC7EA4">
        <w:tab/>
      </w:r>
      <w:r w:rsidRPr="00FC7EA4">
        <w:tab/>
      </w:r>
      <w:r w:rsidRPr="00FC7EA4">
        <w:tab/>
      </w:r>
    </w:p>
    <w:sectPr w:rsidR="00B90566" w:rsidRPr="00FC7EA4" w:rsidSect="00E23DB1">
      <w:footerReference w:type="even" r:id="rId8"/>
      <w:footerReference w:type="default" r:id="rId9"/>
      <w:pgSz w:w="12240" w:h="15840"/>
      <w:pgMar w:top="50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E69C6" w14:textId="77777777" w:rsidR="008B0D68" w:rsidRDefault="008B0D68">
      <w:r>
        <w:separator/>
      </w:r>
    </w:p>
  </w:endnote>
  <w:endnote w:type="continuationSeparator" w:id="0">
    <w:p w14:paraId="056B41B4" w14:textId="77777777" w:rsidR="008B0D68" w:rsidRDefault="008B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3BAF" w14:textId="77777777" w:rsidR="009E40EC" w:rsidRDefault="00E23D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8216365" w14:textId="77777777" w:rsidR="009E40E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F55E" w14:textId="77777777" w:rsidR="009E40EC" w:rsidRDefault="00000000">
    <w:pPr>
      <w:pStyle w:val="Footer"/>
      <w:framePr w:wrap="around" w:vAnchor="text" w:hAnchor="margin" w:xAlign="center" w:y="1"/>
      <w:rPr>
        <w:rStyle w:val="PageNumber"/>
      </w:rPr>
    </w:pPr>
  </w:p>
  <w:p w14:paraId="6CABE3B9" w14:textId="77777777" w:rsidR="009E40E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06D8C" w14:textId="77777777" w:rsidR="008B0D68" w:rsidRDefault="008B0D68">
      <w:r>
        <w:separator/>
      </w:r>
    </w:p>
  </w:footnote>
  <w:footnote w:type="continuationSeparator" w:id="0">
    <w:p w14:paraId="4E96A95B" w14:textId="77777777" w:rsidR="008B0D68" w:rsidRDefault="008B0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B1"/>
    <w:rsid w:val="00091BF4"/>
    <w:rsid w:val="00251A20"/>
    <w:rsid w:val="00566C55"/>
    <w:rsid w:val="006478EA"/>
    <w:rsid w:val="006B38CC"/>
    <w:rsid w:val="008B0D68"/>
    <w:rsid w:val="008B2D58"/>
    <w:rsid w:val="00B8153B"/>
    <w:rsid w:val="00B90566"/>
    <w:rsid w:val="00D24087"/>
    <w:rsid w:val="00E23DB1"/>
    <w:rsid w:val="00FC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F135"/>
  <w15:chartTrackingRefBased/>
  <w15:docId w15:val="{A1CE948E-29AE-4146-962E-5569C238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D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3DB1"/>
    <w:pPr>
      <w:tabs>
        <w:tab w:val="center" w:pos="4320"/>
        <w:tab w:val="right" w:pos="8640"/>
      </w:tabs>
    </w:pPr>
  </w:style>
  <w:style w:type="character" w:customStyle="1" w:styleId="FooterChar">
    <w:name w:val="Footer Char"/>
    <w:basedOn w:val="DefaultParagraphFont"/>
    <w:link w:val="Footer"/>
    <w:rsid w:val="00E23DB1"/>
    <w:rPr>
      <w:rFonts w:ascii="Times New Roman" w:eastAsia="Times New Roman" w:hAnsi="Times New Roman" w:cs="Times New Roman"/>
      <w:sz w:val="20"/>
      <w:szCs w:val="20"/>
    </w:rPr>
  </w:style>
  <w:style w:type="character" w:styleId="PageNumber">
    <w:name w:val="page number"/>
    <w:basedOn w:val="DefaultParagraphFont"/>
    <w:rsid w:val="00E23DB1"/>
  </w:style>
  <w:style w:type="character" w:styleId="Hyperlink">
    <w:name w:val="Hyperlink"/>
    <w:basedOn w:val="DefaultParagraphFont"/>
    <w:unhideWhenUsed/>
    <w:rsid w:val="00E23DB1"/>
    <w:rPr>
      <w:color w:val="0563C1" w:themeColor="hyperlink"/>
      <w:u w:val="single"/>
    </w:rPr>
  </w:style>
  <w:style w:type="character" w:styleId="UnresolvedMention">
    <w:name w:val="Unresolved Mention"/>
    <w:basedOn w:val="DefaultParagraphFont"/>
    <w:uiPriority w:val="99"/>
    <w:semiHidden/>
    <w:unhideWhenUsed/>
    <w:rsid w:val="008B2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yan@postschel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Elwell, Angel</dc:creator>
  <cp:keywords/>
  <dc:description/>
  <cp:lastModifiedBy>Elwell, Angel</cp:lastModifiedBy>
  <cp:revision>4</cp:revision>
  <dcterms:created xsi:type="dcterms:W3CDTF">2023-03-08T17:54:00Z</dcterms:created>
  <dcterms:modified xsi:type="dcterms:W3CDTF">2023-03-08T19:20:00Z</dcterms:modified>
</cp:coreProperties>
</file>