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CD171" w14:textId="77777777" w:rsidR="00C015AE" w:rsidRPr="00321FE6" w:rsidRDefault="00C015AE" w:rsidP="00C015AE">
      <w:pPr>
        <w:tabs>
          <w:tab w:val="left" w:pos="0"/>
        </w:tabs>
        <w:spacing w:line="233" w:lineRule="auto"/>
        <w:jc w:val="center"/>
        <w:rPr>
          <w:rFonts w:eastAsia="Times New Roman"/>
          <w:b/>
        </w:rPr>
      </w:pPr>
      <w:r w:rsidRPr="00321FE6">
        <w:rPr>
          <w:rFonts w:eastAsia="Times New Roman"/>
          <w:b/>
        </w:rPr>
        <w:t>BEFORE THE</w:t>
      </w:r>
    </w:p>
    <w:p w14:paraId="116BC28E" w14:textId="77777777" w:rsidR="00C015AE" w:rsidRPr="00321FE6" w:rsidRDefault="00C015AE" w:rsidP="00C015AE">
      <w:pPr>
        <w:tabs>
          <w:tab w:val="left" w:pos="0"/>
        </w:tabs>
        <w:spacing w:line="240" w:lineRule="auto"/>
        <w:jc w:val="center"/>
        <w:rPr>
          <w:rFonts w:eastAsia="Times New Roman"/>
          <w:b/>
        </w:rPr>
      </w:pPr>
      <w:smartTag w:uri="urn:schemas-microsoft-com:office:smarttags" w:element="State">
        <w:smartTag w:uri="urn:schemas-microsoft-com:office:smarttags" w:element="place">
          <w:r w:rsidRPr="00321FE6">
            <w:rPr>
              <w:rFonts w:eastAsia="Times New Roman"/>
              <w:b/>
            </w:rPr>
            <w:t>PENNSYLVANIA</w:t>
          </w:r>
        </w:smartTag>
      </w:smartTag>
      <w:r w:rsidRPr="00321FE6">
        <w:rPr>
          <w:rFonts w:eastAsia="Times New Roman"/>
          <w:b/>
        </w:rPr>
        <w:t xml:space="preserve"> PUBLIC UTILITY COMMISSION</w:t>
      </w:r>
    </w:p>
    <w:p w14:paraId="6E1387A4" w14:textId="77777777" w:rsidR="00C015AE" w:rsidRPr="00321FE6" w:rsidRDefault="00C015AE" w:rsidP="00C015AE">
      <w:pPr>
        <w:tabs>
          <w:tab w:val="left" w:pos="0"/>
        </w:tabs>
        <w:spacing w:line="240" w:lineRule="auto"/>
        <w:jc w:val="both"/>
        <w:rPr>
          <w:rFonts w:eastAsia="Times New Roman"/>
          <w:b/>
        </w:rPr>
      </w:pPr>
    </w:p>
    <w:p w14:paraId="7E479868" w14:textId="77777777" w:rsidR="00C015AE" w:rsidRPr="00321FE6" w:rsidRDefault="00C015AE" w:rsidP="00C015AE">
      <w:pPr>
        <w:tabs>
          <w:tab w:val="left" w:pos="0"/>
        </w:tabs>
        <w:spacing w:line="240" w:lineRule="auto"/>
        <w:jc w:val="both"/>
        <w:rPr>
          <w:rFonts w:eastAsia="Times New Roman"/>
          <w:b/>
        </w:rPr>
      </w:pPr>
    </w:p>
    <w:p w14:paraId="1BAEDB79" w14:textId="77777777" w:rsidR="00C015AE" w:rsidRPr="00321FE6" w:rsidRDefault="00C015AE" w:rsidP="00C015AE">
      <w:pPr>
        <w:tabs>
          <w:tab w:val="left" w:pos="0"/>
        </w:tabs>
        <w:spacing w:line="240" w:lineRule="auto"/>
        <w:jc w:val="both"/>
        <w:rPr>
          <w:rFonts w:eastAsia="Times New Roman"/>
          <w:b/>
        </w:rPr>
      </w:pPr>
    </w:p>
    <w:p w14:paraId="1E267704" w14:textId="66AF329F" w:rsidR="00C015AE" w:rsidRPr="00321FE6" w:rsidRDefault="002A39C2" w:rsidP="00C015AE">
      <w:pPr>
        <w:tabs>
          <w:tab w:val="left" w:pos="0"/>
        </w:tabs>
        <w:spacing w:line="240" w:lineRule="auto"/>
        <w:jc w:val="both"/>
        <w:rPr>
          <w:rFonts w:eastAsia="Times New Roman"/>
          <w:b/>
        </w:rPr>
      </w:pPr>
      <w:r>
        <w:rPr>
          <w:rFonts w:eastAsia="Times New Roman"/>
        </w:rPr>
        <w:t xml:space="preserve">Bobby </w:t>
      </w:r>
      <w:proofErr w:type="spellStart"/>
      <w:r>
        <w:rPr>
          <w:rFonts w:eastAsia="Times New Roman"/>
        </w:rPr>
        <w:t>Malafee</w:t>
      </w:r>
      <w:proofErr w:type="spellEnd"/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="00C015AE" w:rsidRPr="00321FE6">
        <w:rPr>
          <w:rFonts w:eastAsia="Times New Roman"/>
        </w:rPr>
        <w:tab/>
      </w:r>
      <w:r w:rsidR="00C015AE" w:rsidRPr="00321FE6">
        <w:rPr>
          <w:rFonts w:eastAsia="Times New Roman"/>
        </w:rPr>
        <w:tab/>
        <w:t>:</w:t>
      </w:r>
    </w:p>
    <w:p w14:paraId="44B0A7EC" w14:textId="77777777" w:rsidR="00C015AE" w:rsidRPr="00321FE6" w:rsidRDefault="00C015AE" w:rsidP="00C015AE">
      <w:pPr>
        <w:tabs>
          <w:tab w:val="left" w:pos="0"/>
        </w:tabs>
        <w:spacing w:line="240" w:lineRule="auto"/>
        <w:jc w:val="both"/>
        <w:rPr>
          <w:rFonts w:eastAsia="Times New Roman"/>
        </w:rPr>
      </w:pPr>
      <w:r w:rsidRPr="00321FE6">
        <w:rPr>
          <w:rFonts w:eastAsia="Times New Roman"/>
          <w:b/>
        </w:rPr>
        <w:tab/>
      </w:r>
      <w:r w:rsidRPr="00321FE6">
        <w:rPr>
          <w:rFonts w:eastAsia="Times New Roman"/>
          <w:b/>
        </w:rPr>
        <w:tab/>
      </w:r>
      <w:r w:rsidRPr="00321FE6">
        <w:rPr>
          <w:rFonts w:eastAsia="Times New Roman"/>
          <w:b/>
        </w:rPr>
        <w:tab/>
      </w:r>
      <w:r w:rsidRPr="00321FE6">
        <w:rPr>
          <w:rFonts w:eastAsia="Times New Roman"/>
          <w:b/>
        </w:rPr>
        <w:tab/>
      </w:r>
      <w:r w:rsidRPr="00321FE6">
        <w:rPr>
          <w:rFonts w:eastAsia="Times New Roman"/>
          <w:b/>
        </w:rPr>
        <w:tab/>
      </w:r>
      <w:r w:rsidRPr="00321FE6">
        <w:rPr>
          <w:rFonts w:eastAsia="Times New Roman"/>
          <w:b/>
        </w:rPr>
        <w:tab/>
      </w:r>
      <w:r w:rsidRPr="00321FE6">
        <w:rPr>
          <w:rFonts w:eastAsia="Times New Roman"/>
          <w:b/>
        </w:rPr>
        <w:tab/>
      </w:r>
      <w:r w:rsidRPr="00321FE6">
        <w:rPr>
          <w:rFonts w:eastAsia="Times New Roman"/>
        </w:rPr>
        <w:t>:</w:t>
      </w:r>
    </w:p>
    <w:p w14:paraId="4826EFE9" w14:textId="5498EA5E" w:rsidR="00C015AE" w:rsidRPr="00321FE6" w:rsidRDefault="00C015AE" w:rsidP="00C015AE">
      <w:pPr>
        <w:tabs>
          <w:tab w:val="left" w:pos="0"/>
        </w:tabs>
        <w:spacing w:line="240" w:lineRule="auto"/>
        <w:jc w:val="both"/>
        <w:rPr>
          <w:rFonts w:eastAsia="Times New Roman"/>
        </w:rPr>
      </w:pPr>
      <w:r w:rsidRPr="00321FE6">
        <w:rPr>
          <w:rFonts w:eastAsia="Times New Roman"/>
        </w:rPr>
        <w:tab/>
        <w:t>v.</w:t>
      </w:r>
      <w:r w:rsidRPr="00321FE6">
        <w:rPr>
          <w:rFonts w:eastAsia="Times New Roman"/>
        </w:rPr>
        <w:tab/>
      </w:r>
      <w:r w:rsidRPr="00321FE6">
        <w:rPr>
          <w:rFonts w:eastAsia="Times New Roman"/>
        </w:rPr>
        <w:tab/>
      </w:r>
      <w:r w:rsidRPr="00321FE6">
        <w:rPr>
          <w:rFonts w:eastAsia="Times New Roman"/>
        </w:rPr>
        <w:tab/>
      </w:r>
      <w:r w:rsidRPr="00321FE6">
        <w:rPr>
          <w:rFonts w:eastAsia="Times New Roman"/>
        </w:rPr>
        <w:tab/>
      </w:r>
      <w:r w:rsidRPr="00321FE6">
        <w:rPr>
          <w:rFonts w:eastAsia="Times New Roman"/>
        </w:rPr>
        <w:tab/>
      </w:r>
      <w:r w:rsidRPr="00321FE6">
        <w:rPr>
          <w:rFonts w:eastAsia="Times New Roman"/>
        </w:rPr>
        <w:tab/>
        <w:t>:</w:t>
      </w:r>
      <w:r w:rsidRPr="00321FE6">
        <w:rPr>
          <w:rFonts w:eastAsia="Times New Roman"/>
          <w:b/>
        </w:rPr>
        <w:tab/>
      </w:r>
      <w:r w:rsidRPr="00321FE6">
        <w:rPr>
          <w:rFonts w:eastAsia="Times New Roman"/>
          <w:b/>
        </w:rPr>
        <w:tab/>
      </w:r>
      <w:r w:rsidRPr="00C015AE">
        <w:rPr>
          <w:rFonts w:eastAsia="Times New Roman"/>
        </w:rPr>
        <w:t>C-20</w:t>
      </w:r>
      <w:r w:rsidR="002A39C2">
        <w:rPr>
          <w:rFonts w:eastAsia="Times New Roman"/>
        </w:rPr>
        <w:t>22</w:t>
      </w:r>
      <w:r w:rsidRPr="00C015AE">
        <w:rPr>
          <w:rFonts w:eastAsia="Times New Roman"/>
        </w:rPr>
        <w:t>-30</w:t>
      </w:r>
      <w:r w:rsidR="002A39C2">
        <w:rPr>
          <w:rFonts w:eastAsia="Times New Roman"/>
        </w:rPr>
        <w:t>37213</w:t>
      </w:r>
    </w:p>
    <w:p w14:paraId="18CE9C0F" w14:textId="77777777" w:rsidR="00C015AE" w:rsidRDefault="00C015AE" w:rsidP="00C015AE">
      <w:pPr>
        <w:tabs>
          <w:tab w:val="left" w:pos="0"/>
        </w:tabs>
        <w:spacing w:line="240" w:lineRule="auto"/>
        <w:jc w:val="both"/>
        <w:rPr>
          <w:rFonts w:eastAsia="Times New Roman"/>
        </w:rPr>
      </w:pPr>
      <w:r w:rsidRPr="00321FE6">
        <w:rPr>
          <w:rFonts w:eastAsia="Times New Roman"/>
        </w:rPr>
        <w:tab/>
      </w:r>
      <w:r w:rsidRPr="00321FE6">
        <w:rPr>
          <w:rFonts w:eastAsia="Times New Roman"/>
        </w:rPr>
        <w:tab/>
      </w:r>
      <w:r w:rsidRPr="00321FE6">
        <w:rPr>
          <w:rFonts w:eastAsia="Times New Roman"/>
        </w:rPr>
        <w:tab/>
      </w:r>
      <w:r w:rsidRPr="00321FE6">
        <w:rPr>
          <w:rFonts w:eastAsia="Times New Roman"/>
        </w:rPr>
        <w:tab/>
      </w:r>
      <w:r w:rsidRPr="00321FE6">
        <w:rPr>
          <w:rFonts w:eastAsia="Times New Roman"/>
        </w:rPr>
        <w:tab/>
      </w:r>
      <w:r w:rsidRPr="00321FE6">
        <w:rPr>
          <w:rFonts w:eastAsia="Times New Roman"/>
        </w:rPr>
        <w:tab/>
      </w:r>
      <w:r w:rsidRPr="00321FE6">
        <w:rPr>
          <w:rFonts w:eastAsia="Times New Roman"/>
        </w:rPr>
        <w:tab/>
        <w:t>:</w:t>
      </w:r>
    </w:p>
    <w:p w14:paraId="494599D4" w14:textId="59FA0A7C" w:rsidR="00C015AE" w:rsidRDefault="002A39C2" w:rsidP="00C015AE">
      <w:pPr>
        <w:tabs>
          <w:tab w:val="left" w:pos="0"/>
        </w:tabs>
        <w:spacing w:line="240" w:lineRule="auto"/>
        <w:jc w:val="both"/>
        <w:rPr>
          <w:rFonts w:eastAsia="Times New Roman"/>
        </w:rPr>
      </w:pPr>
      <w:r>
        <w:rPr>
          <w:rFonts w:eastAsia="Times New Roman"/>
        </w:rPr>
        <w:t>Philadelphia Gas Works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="00C015AE" w:rsidRPr="00321FE6">
        <w:rPr>
          <w:rFonts w:eastAsia="Times New Roman"/>
        </w:rPr>
        <w:tab/>
      </w:r>
      <w:r w:rsidR="00C015AE" w:rsidRPr="00321FE6">
        <w:rPr>
          <w:rFonts w:eastAsia="Times New Roman"/>
        </w:rPr>
        <w:tab/>
        <w:t>:</w:t>
      </w:r>
    </w:p>
    <w:p w14:paraId="5A089D44" w14:textId="77777777" w:rsidR="00303887" w:rsidRPr="00303887" w:rsidRDefault="00303887" w:rsidP="00303887">
      <w:pPr>
        <w:tabs>
          <w:tab w:val="left" w:pos="0"/>
        </w:tabs>
        <w:spacing w:line="233" w:lineRule="auto"/>
        <w:jc w:val="both"/>
        <w:rPr>
          <w:rFonts w:eastAsia="Times New Roman"/>
          <w:b/>
        </w:rPr>
      </w:pPr>
    </w:p>
    <w:p w14:paraId="1786278D" w14:textId="77777777" w:rsidR="009304FB" w:rsidRDefault="009304FB" w:rsidP="00303887">
      <w:pPr>
        <w:spacing w:line="240" w:lineRule="auto"/>
      </w:pPr>
    </w:p>
    <w:p w14:paraId="10A80AA4" w14:textId="77777777" w:rsidR="00F733FB" w:rsidRDefault="00F733FB" w:rsidP="00303887">
      <w:pPr>
        <w:spacing w:line="240" w:lineRule="auto"/>
      </w:pPr>
    </w:p>
    <w:p w14:paraId="19ACF4D2" w14:textId="77777777" w:rsidR="00F733FB" w:rsidRPr="000A7E6E" w:rsidRDefault="00F733FB" w:rsidP="000A7E6E">
      <w:pPr>
        <w:spacing w:line="240" w:lineRule="auto"/>
        <w:jc w:val="center"/>
        <w:rPr>
          <w:b/>
        </w:rPr>
      </w:pPr>
      <w:r w:rsidRPr="000A7E6E">
        <w:rPr>
          <w:b/>
        </w:rPr>
        <w:t>INTERIM ORDER</w:t>
      </w:r>
    </w:p>
    <w:p w14:paraId="1B38DB75" w14:textId="77777777" w:rsidR="00F733FB" w:rsidRPr="000A7E6E" w:rsidRDefault="00F733FB" w:rsidP="000A7E6E">
      <w:pPr>
        <w:spacing w:line="240" w:lineRule="auto"/>
        <w:jc w:val="center"/>
        <w:rPr>
          <w:b/>
          <w:u w:val="single"/>
        </w:rPr>
      </w:pPr>
      <w:r w:rsidRPr="000A7E6E">
        <w:rPr>
          <w:b/>
          <w:u w:val="single"/>
        </w:rPr>
        <w:t>REQUIRING REPRESENTATION</w:t>
      </w:r>
    </w:p>
    <w:p w14:paraId="6F47CFB3" w14:textId="77777777" w:rsidR="00F733FB" w:rsidRDefault="00F733FB"/>
    <w:p w14:paraId="30F7E8B6" w14:textId="0B50EEBE" w:rsidR="00F733FB" w:rsidRDefault="00F733FB">
      <w:r>
        <w:tab/>
      </w:r>
      <w:r>
        <w:tab/>
      </w:r>
      <w:r w:rsidR="00BD0623" w:rsidRPr="00BD0623">
        <w:t xml:space="preserve">On September 19, 2022, </w:t>
      </w:r>
      <w:r w:rsidR="00FB63BE">
        <w:t xml:space="preserve">Bobby </w:t>
      </w:r>
      <w:proofErr w:type="spellStart"/>
      <w:r w:rsidR="00FB63BE">
        <w:t>Malafee</w:t>
      </w:r>
      <w:proofErr w:type="spellEnd"/>
      <w:r w:rsidR="00BD0623" w:rsidRPr="00BD0623">
        <w:t xml:space="preserve"> (Complainant) filed a Formal Complaint (complaint) with the Pennsylvania Public Utility Commission (Commission) against </w:t>
      </w:r>
      <w:r w:rsidR="00FB63BE">
        <w:t>Philadelphia Gas Works</w:t>
      </w:r>
      <w:r w:rsidR="00BD0623" w:rsidRPr="00BD0623">
        <w:t xml:space="preserve"> (Respondent or </w:t>
      </w:r>
      <w:r w:rsidR="00FB63BE">
        <w:t>PGW</w:t>
      </w:r>
      <w:r w:rsidR="00BD0623" w:rsidRPr="00BD0623">
        <w:t>).  The complaint alleges that the Respondent is threatening to shut off her electric service and she would like a Commission-issued payment agreement.</w:t>
      </w:r>
    </w:p>
    <w:p w14:paraId="31A74A23" w14:textId="77777777" w:rsidR="00801A58" w:rsidRDefault="00801A58"/>
    <w:p w14:paraId="79D3E725" w14:textId="5EF68455" w:rsidR="00801A58" w:rsidRDefault="00801A58">
      <w:r>
        <w:tab/>
      </w:r>
      <w:r>
        <w:tab/>
      </w:r>
      <w:r w:rsidR="0008592C" w:rsidRPr="00D5570D">
        <w:rPr>
          <w:rFonts w:eastAsia="Times New Roman"/>
          <w:color w:val="000000"/>
          <w:szCs w:val="24"/>
        </w:rPr>
        <w:t>On October</w:t>
      </w:r>
      <w:r w:rsidR="0008592C" w:rsidRPr="00D5570D">
        <w:rPr>
          <w:rFonts w:eastAsia="Times New Roman"/>
          <w:color w:val="000000"/>
          <w:spacing w:val="4"/>
          <w:szCs w:val="24"/>
        </w:rPr>
        <w:t xml:space="preserve"> 10, 2022</w:t>
      </w:r>
      <w:r w:rsidR="0008592C" w:rsidRPr="00D5570D">
        <w:rPr>
          <w:rFonts w:eastAsia="Times New Roman"/>
          <w:color w:val="000000"/>
          <w:szCs w:val="24"/>
        </w:rPr>
        <w:t xml:space="preserve">, the Respondent filed an answer in which it denied the material allegations of fact and conclusions of law in the complaint and claimed that Complainant’s </w:t>
      </w:r>
      <w:r w:rsidR="00AE2469">
        <w:rPr>
          <w:rFonts w:eastAsia="Times New Roman"/>
          <w:color w:val="000000"/>
          <w:szCs w:val="24"/>
        </w:rPr>
        <w:t xml:space="preserve">account was a commercial account. </w:t>
      </w:r>
    </w:p>
    <w:p w14:paraId="27E7CBBB" w14:textId="5752D4D5" w:rsidR="00801A58" w:rsidRDefault="00801A58"/>
    <w:p w14:paraId="027F83F4" w14:textId="4A0BBDC0" w:rsidR="00801A58" w:rsidRDefault="00801A58">
      <w:r>
        <w:tab/>
      </w:r>
      <w:r>
        <w:tab/>
        <w:t xml:space="preserve">By notice dated </w:t>
      </w:r>
      <w:r w:rsidR="00D046A2">
        <w:t>January</w:t>
      </w:r>
      <w:r>
        <w:t xml:space="preserve"> </w:t>
      </w:r>
      <w:r w:rsidR="00D046A2">
        <w:t>3</w:t>
      </w:r>
      <w:r>
        <w:t>, 20</w:t>
      </w:r>
      <w:r w:rsidR="00D046A2">
        <w:t>23</w:t>
      </w:r>
      <w:r>
        <w:t xml:space="preserve">, this matter was assigned to me and scheduled for a telephonic hearing on </w:t>
      </w:r>
      <w:r w:rsidR="00C157C0">
        <w:t>February</w:t>
      </w:r>
      <w:r>
        <w:t xml:space="preserve"> 2</w:t>
      </w:r>
      <w:r w:rsidR="00C157C0">
        <w:t>7</w:t>
      </w:r>
      <w:r>
        <w:t>, 20</w:t>
      </w:r>
      <w:r w:rsidR="00C157C0">
        <w:t>23</w:t>
      </w:r>
      <w:r>
        <w:t>.</w:t>
      </w:r>
    </w:p>
    <w:p w14:paraId="70F5D1E6" w14:textId="77777777" w:rsidR="00801A58" w:rsidRDefault="00801A58"/>
    <w:p w14:paraId="37FB0481" w14:textId="40B5C12F" w:rsidR="00340989" w:rsidRDefault="00340989" w:rsidP="00F733FB">
      <w:pPr>
        <w:ind w:right="288" w:firstLine="1440"/>
      </w:pPr>
      <w:r>
        <w:t xml:space="preserve">At time </w:t>
      </w:r>
      <w:r w:rsidR="00993C17">
        <w:t>of</w:t>
      </w:r>
      <w:r>
        <w:t xml:space="preserve"> the telephonic </w:t>
      </w:r>
      <w:r w:rsidR="00993C17">
        <w:t>hearing,</w:t>
      </w:r>
      <w:r w:rsidR="009F172F">
        <w:t xml:space="preserve"> it was confirmed that Complainant’s account was a commercial account for </w:t>
      </w:r>
      <w:r w:rsidR="00926AE3">
        <w:t xml:space="preserve">J&amp;B </w:t>
      </w:r>
      <w:proofErr w:type="spellStart"/>
      <w:r w:rsidR="00926AE3">
        <w:t>Bridesburg</w:t>
      </w:r>
      <w:proofErr w:type="spellEnd"/>
      <w:r w:rsidR="00926AE3">
        <w:t xml:space="preserve"> Pizza, LLC</w:t>
      </w:r>
      <w:r w:rsidR="00704504">
        <w:t xml:space="preserve">. </w:t>
      </w:r>
    </w:p>
    <w:p w14:paraId="7D40F5DF" w14:textId="77777777" w:rsidR="00340989" w:rsidRDefault="00340989" w:rsidP="00F733FB">
      <w:pPr>
        <w:ind w:right="288" w:firstLine="1440"/>
      </w:pPr>
    </w:p>
    <w:p w14:paraId="21824F7B" w14:textId="103E61DD" w:rsidR="00F733FB" w:rsidRDefault="00F733FB" w:rsidP="00F733FB">
      <w:pPr>
        <w:ind w:right="288" w:firstLine="1440"/>
        <w:rPr>
          <w:color w:val="000000"/>
          <w:szCs w:val="24"/>
        </w:rPr>
      </w:pPr>
      <w:r w:rsidRPr="00D03A90">
        <w:rPr>
          <w:szCs w:val="24"/>
        </w:rPr>
        <w:t>The Commission’s regulations provide that only an individual may represent themselves.</w:t>
      </w:r>
      <w:r w:rsidRPr="00D03A90">
        <w:rPr>
          <w:rStyle w:val="FootnoteReference"/>
          <w:szCs w:val="24"/>
        </w:rPr>
        <w:footnoteReference w:id="1"/>
      </w:r>
      <w:r w:rsidRPr="00D03A90">
        <w:rPr>
          <w:szCs w:val="24"/>
        </w:rPr>
        <w:t xml:space="preserve">  </w:t>
      </w:r>
      <w:r w:rsidR="00FA7E13" w:rsidRPr="00021493">
        <w:rPr>
          <w:spacing w:val="-3"/>
        </w:rPr>
        <w:t xml:space="preserve">All others, including a partnership, corporation, trust, association, or governmental </w:t>
      </w:r>
      <w:r w:rsidR="00FA7E13" w:rsidRPr="00021493">
        <w:rPr>
          <w:spacing w:val="-3"/>
        </w:rPr>
        <w:lastRenderedPageBreak/>
        <w:t xml:space="preserve">agency or subdivision, must be represented an attorney licensed to practice law in Pennsylvania, or admitted </w:t>
      </w:r>
      <w:r w:rsidR="00FA7E13" w:rsidRPr="00021493">
        <w:rPr>
          <w:i/>
          <w:iCs/>
          <w:spacing w:val="-3"/>
        </w:rPr>
        <w:t>pro hac vice</w:t>
      </w:r>
      <w:r w:rsidR="00FA7E13" w:rsidRPr="00021493">
        <w:rPr>
          <w:spacing w:val="-3"/>
        </w:rPr>
        <w:t>.</w:t>
      </w:r>
      <w:r w:rsidR="00FA7E13">
        <w:rPr>
          <w:rStyle w:val="FootnoteReference"/>
          <w:spacing w:val="-3"/>
        </w:rPr>
        <w:footnoteReference w:id="2"/>
      </w:r>
      <w:r w:rsidR="00FA7E13" w:rsidRPr="00021493">
        <w:rPr>
          <w:spacing w:val="-3"/>
        </w:rPr>
        <w:t xml:space="preserve"> </w:t>
      </w:r>
      <w:r w:rsidR="0095584B">
        <w:rPr>
          <w:spacing w:val="-3"/>
        </w:rPr>
        <w:t xml:space="preserve"> </w:t>
      </w:r>
      <w:r>
        <w:rPr>
          <w:szCs w:val="24"/>
        </w:rPr>
        <w:t>These regulations are consistent with the rules of the Pennsylvania Supreme Court and may not be waived.</w:t>
      </w:r>
      <w:r>
        <w:rPr>
          <w:rStyle w:val="FootnoteReference"/>
          <w:szCs w:val="24"/>
        </w:rPr>
        <w:footnoteReference w:id="3"/>
      </w:r>
      <w:r>
        <w:rPr>
          <w:szCs w:val="24"/>
        </w:rPr>
        <w:t xml:space="preserve">  </w:t>
      </w:r>
      <w:r w:rsidRPr="00D03A90">
        <w:rPr>
          <w:szCs w:val="24"/>
        </w:rPr>
        <w:t xml:space="preserve">Accordingly, in order to participate further in these proceedings, </w:t>
      </w:r>
      <w:r w:rsidR="0052679D">
        <w:rPr>
          <w:szCs w:val="24"/>
        </w:rPr>
        <w:t xml:space="preserve">J&amp;B </w:t>
      </w:r>
      <w:proofErr w:type="spellStart"/>
      <w:r w:rsidR="0052679D">
        <w:rPr>
          <w:szCs w:val="24"/>
        </w:rPr>
        <w:t>Bridesburg</w:t>
      </w:r>
      <w:proofErr w:type="spellEnd"/>
      <w:r w:rsidR="0052679D">
        <w:rPr>
          <w:szCs w:val="24"/>
        </w:rPr>
        <w:t xml:space="preserve"> Pizza</w:t>
      </w:r>
      <w:r w:rsidR="00801A58">
        <w:rPr>
          <w:szCs w:val="24"/>
        </w:rPr>
        <w:t>, LLC</w:t>
      </w:r>
      <w:r>
        <w:rPr>
          <w:szCs w:val="24"/>
        </w:rPr>
        <w:t xml:space="preserve">, </w:t>
      </w:r>
      <w:r w:rsidRPr="00D03A90">
        <w:rPr>
          <w:szCs w:val="24"/>
        </w:rPr>
        <w:t>must be represented by counsel</w:t>
      </w:r>
      <w:r>
        <w:rPr>
          <w:szCs w:val="24"/>
        </w:rPr>
        <w:t xml:space="preserve"> licensed to practice law in the Commonwealth.</w:t>
      </w:r>
      <w:bookmarkStart w:id="0" w:name="SearchTerm"/>
      <w:r w:rsidRPr="00FD74A6">
        <w:rPr>
          <w:rStyle w:val="FootnoteReference"/>
          <w:iCs/>
          <w:color w:val="000000"/>
          <w:szCs w:val="24"/>
        </w:rPr>
        <w:footnoteReference w:id="4"/>
      </w:r>
      <w:r>
        <w:rPr>
          <w:color w:val="000000"/>
          <w:szCs w:val="24"/>
        </w:rPr>
        <w:t xml:space="preserve"> </w:t>
      </w:r>
      <w:r w:rsidRPr="00D51E42">
        <w:rPr>
          <w:color w:val="000000"/>
          <w:szCs w:val="24"/>
        </w:rPr>
        <w:t xml:space="preserve"> </w:t>
      </w:r>
      <w:bookmarkEnd w:id="0"/>
    </w:p>
    <w:p w14:paraId="7F60606F" w14:textId="2F608EAB" w:rsidR="000F2A05" w:rsidRDefault="000F2A05" w:rsidP="00F733FB">
      <w:pPr>
        <w:ind w:right="288" w:firstLine="1440"/>
        <w:rPr>
          <w:color w:val="000000"/>
          <w:szCs w:val="24"/>
        </w:rPr>
      </w:pPr>
    </w:p>
    <w:p w14:paraId="264DF1D7" w14:textId="3C157E87" w:rsidR="000F2A05" w:rsidRDefault="0095584B" w:rsidP="00F733FB">
      <w:pPr>
        <w:ind w:right="288" w:firstLine="1440"/>
        <w:rPr>
          <w:color w:val="000000"/>
          <w:szCs w:val="24"/>
        </w:rPr>
      </w:pPr>
      <w:r>
        <w:rPr>
          <w:color w:val="000000"/>
          <w:szCs w:val="24"/>
        </w:rPr>
        <w:t>At the hearing, t</w:t>
      </w:r>
      <w:r w:rsidR="00C7399B">
        <w:rPr>
          <w:color w:val="000000"/>
          <w:szCs w:val="24"/>
        </w:rPr>
        <w:t xml:space="preserve">he parties were informed that I would </w:t>
      </w:r>
      <w:r w:rsidR="00AB451E">
        <w:rPr>
          <w:color w:val="000000"/>
          <w:szCs w:val="24"/>
        </w:rPr>
        <w:t xml:space="preserve">provide Complainant </w:t>
      </w:r>
      <w:r w:rsidR="0005547A">
        <w:rPr>
          <w:color w:val="000000"/>
          <w:szCs w:val="24"/>
        </w:rPr>
        <w:t>thirty (30)</w:t>
      </w:r>
      <w:r w:rsidR="00AB451E">
        <w:rPr>
          <w:color w:val="000000"/>
          <w:szCs w:val="24"/>
        </w:rPr>
        <w:t xml:space="preserve"> days to have an attorney enter their appearance on behalf of Bobby </w:t>
      </w:r>
      <w:proofErr w:type="spellStart"/>
      <w:r w:rsidR="00AB451E">
        <w:rPr>
          <w:color w:val="000000"/>
          <w:szCs w:val="24"/>
        </w:rPr>
        <w:t>Malafee</w:t>
      </w:r>
      <w:proofErr w:type="spellEnd"/>
      <w:r w:rsidR="00AB451E">
        <w:rPr>
          <w:color w:val="000000"/>
          <w:szCs w:val="24"/>
        </w:rPr>
        <w:t xml:space="preserve">/J&amp;B </w:t>
      </w:r>
      <w:proofErr w:type="spellStart"/>
      <w:r w:rsidR="00AB451E">
        <w:rPr>
          <w:color w:val="000000"/>
          <w:szCs w:val="24"/>
        </w:rPr>
        <w:t>Bridesburg</w:t>
      </w:r>
      <w:proofErr w:type="spellEnd"/>
      <w:r w:rsidR="00AB451E">
        <w:rPr>
          <w:color w:val="000000"/>
          <w:szCs w:val="24"/>
        </w:rPr>
        <w:t xml:space="preserve"> Pizza</w:t>
      </w:r>
      <w:r w:rsidR="002603F1">
        <w:rPr>
          <w:color w:val="000000"/>
          <w:szCs w:val="24"/>
        </w:rPr>
        <w:t xml:space="preserve"> and </w:t>
      </w:r>
      <w:r w:rsidR="00704BD9">
        <w:rPr>
          <w:color w:val="000000"/>
          <w:szCs w:val="24"/>
        </w:rPr>
        <w:t xml:space="preserve">the hearing would be rescheduled to a date thereafter. </w:t>
      </w:r>
    </w:p>
    <w:p w14:paraId="1F2FF3E2" w14:textId="77777777" w:rsidR="00801A58" w:rsidRDefault="00801A58" w:rsidP="00F733FB">
      <w:pPr>
        <w:ind w:right="288" w:firstLine="1440"/>
        <w:rPr>
          <w:color w:val="000000"/>
          <w:szCs w:val="24"/>
        </w:rPr>
      </w:pPr>
    </w:p>
    <w:p w14:paraId="0DABE28C" w14:textId="77777777" w:rsidR="00F733FB" w:rsidRDefault="00F733FB" w:rsidP="00F733FB">
      <w:pPr>
        <w:ind w:right="288" w:firstLine="1440"/>
      </w:pPr>
      <w:r>
        <w:t>THEREFORE</w:t>
      </w:r>
    </w:p>
    <w:p w14:paraId="161EC63D" w14:textId="77777777" w:rsidR="00F733FB" w:rsidRDefault="00F733FB" w:rsidP="00F733FB">
      <w:pPr>
        <w:ind w:right="288" w:firstLine="1440"/>
      </w:pPr>
    </w:p>
    <w:p w14:paraId="35A7E089" w14:textId="77777777" w:rsidR="00F733FB" w:rsidRDefault="00F733FB" w:rsidP="00F733FB">
      <w:pPr>
        <w:ind w:right="288" w:firstLine="1440"/>
      </w:pPr>
      <w:r>
        <w:t>IT IS ORDERED:</w:t>
      </w:r>
    </w:p>
    <w:p w14:paraId="045DC176" w14:textId="77777777" w:rsidR="00F733FB" w:rsidRDefault="00F733FB"/>
    <w:p w14:paraId="1BD38F9B" w14:textId="58538888" w:rsidR="00FE5D3D" w:rsidRDefault="00F733FB">
      <w:r>
        <w:tab/>
      </w:r>
      <w:r>
        <w:tab/>
        <w:t>1.</w:t>
      </w:r>
      <w:r>
        <w:tab/>
      </w:r>
      <w:r w:rsidR="00697DB1">
        <w:t xml:space="preserve">That </w:t>
      </w:r>
      <w:r w:rsidR="002A5F1C">
        <w:t xml:space="preserve">Complainant, </w:t>
      </w:r>
      <w:r w:rsidR="0005547A">
        <w:t xml:space="preserve">Bobby </w:t>
      </w:r>
      <w:proofErr w:type="spellStart"/>
      <w:r w:rsidR="0005547A">
        <w:t>Malafee</w:t>
      </w:r>
      <w:proofErr w:type="spellEnd"/>
      <w:r w:rsidR="002A5F1C">
        <w:t>/</w:t>
      </w:r>
      <w:r w:rsidR="0005547A">
        <w:t xml:space="preserve">J&amp;B </w:t>
      </w:r>
      <w:proofErr w:type="spellStart"/>
      <w:r w:rsidR="0005547A">
        <w:t>Bridesburg</w:t>
      </w:r>
      <w:proofErr w:type="spellEnd"/>
      <w:r w:rsidR="0005547A">
        <w:t xml:space="preserve"> Pizza</w:t>
      </w:r>
      <w:r w:rsidR="00801A58">
        <w:t>, LLC</w:t>
      </w:r>
      <w:r w:rsidR="00697DB1">
        <w:t>.</w:t>
      </w:r>
      <w:r w:rsidR="002A5F1C">
        <w:t>,</w:t>
      </w:r>
      <w:r w:rsidR="00697DB1">
        <w:t xml:space="preserve"> shall cause an attorney to enter an appearance in accordance with 52 Pa.</w:t>
      </w:r>
      <w:r w:rsidR="002A5F1C">
        <w:t xml:space="preserve"> </w:t>
      </w:r>
      <w:r w:rsidR="00697DB1">
        <w:t xml:space="preserve">Code §§ 1.21-1.25, on or before </w:t>
      </w:r>
      <w:r w:rsidR="001F0DEC">
        <w:rPr>
          <w:b/>
          <w:u w:val="single"/>
        </w:rPr>
        <w:t>March 29, 2023</w:t>
      </w:r>
      <w:r w:rsidR="008D632E">
        <w:t>.</w:t>
      </w:r>
      <w:r w:rsidR="00C015AE">
        <w:br/>
      </w:r>
    </w:p>
    <w:p w14:paraId="1E38E894" w14:textId="77777777" w:rsidR="00FE5D3D" w:rsidRPr="00FE5D3D" w:rsidRDefault="00FE5D3D">
      <w:pPr>
        <w:rPr>
          <w:b/>
          <w:u w:val="single"/>
        </w:rPr>
      </w:pPr>
      <w:r>
        <w:tab/>
      </w:r>
      <w:r>
        <w:tab/>
        <w:t>2.</w:t>
      </w:r>
      <w:r>
        <w:tab/>
      </w:r>
      <w:r w:rsidRPr="00FE5D3D">
        <w:rPr>
          <w:b/>
          <w:u w:val="single"/>
        </w:rPr>
        <w:t>That failure to cause an attorney to enter an appearance as set forth in Paragraph 1 may result in the dismissal of the complaint in its entirety.</w:t>
      </w:r>
    </w:p>
    <w:p w14:paraId="083F433F" w14:textId="77777777" w:rsidR="008D632E" w:rsidRDefault="008D632E" w:rsidP="00C015AE"/>
    <w:p w14:paraId="65923C9D" w14:textId="77777777" w:rsidR="00FE5D3D" w:rsidRDefault="00FE5D3D" w:rsidP="00FE5D3D"/>
    <w:p w14:paraId="362C302C" w14:textId="77777777" w:rsidR="008017C7" w:rsidRDefault="00FE5D3D" w:rsidP="00FE5D3D">
      <w:r>
        <w:t xml:space="preserve"> </w:t>
      </w:r>
    </w:p>
    <w:p w14:paraId="5840D95B" w14:textId="24A0F8CD" w:rsidR="008017C7" w:rsidRPr="008017C7" w:rsidRDefault="008017C7" w:rsidP="008017C7">
      <w:pPr>
        <w:spacing w:line="240" w:lineRule="auto"/>
        <w:rPr>
          <w:rFonts w:eastAsia="Times New Roman"/>
          <w:szCs w:val="24"/>
        </w:rPr>
      </w:pPr>
      <w:bookmarkStart w:id="2" w:name="_Hlk505862083"/>
      <w:r w:rsidRPr="008017C7">
        <w:rPr>
          <w:rFonts w:eastAsia="Times New Roman"/>
          <w:szCs w:val="24"/>
        </w:rPr>
        <w:t xml:space="preserve">Date:  </w:t>
      </w:r>
      <w:r w:rsidR="00E34DA8">
        <w:rPr>
          <w:rFonts w:eastAsia="Times New Roman"/>
          <w:szCs w:val="24"/>
          <w:u w:val="single"/>
        </w:rPr>
        <w:t xml:space="preserve">March </w:t>
      </w:r>
      <w:r w:rsidR="003D342C">
        <w:rPr>
          <w:rFonts w:eastAsia="Times New Roman"/>
          <w:szCs w:val="24"/>
          <w:u w:val="single"/>
        </w:rPr>
        <w:t>16</w:t>
      </w:r>
      <w:r w:rsidR="00E34DA8">
        <w:rPr>
          <w:rFonts w:eastAsia="Times New Roman"/>
          <w:szCs w:val="24"/>
          <w:u w:val="single"/>
        </w:rPr>
        <w:t>, 2023</w:t>
      </w:r>
      <w:r w:rsidRPr="008017C7">
        <w:rPr>
          <w:rFonts w:eastAsia="Times New Roman"/>
          <w:szCs w:val="24"/>
        </w:rPr>
        <w:tab/>
      </w:r>
      <w:r w:rsidRPr="008017C7">
        <w:rPr>
          <w:rFonts w:eastAsia="Times New Roman"/>
          <w:szCs w:val="24"/>
        </w:rPr>
        <w:tab/>
      </w:r>
      <w:r w:rsidRPr="008017C7">
        <w:rPr>
          <w:rFonts w:eastAsia="Times New Roman"/>
          <w:szCs w:val="24"/>
        </w:rPr>
        <w:tab/>
      </w:r>
      <w:r w:rsidRPr="008017C7">
        <w:rPr>
          <w:rFonts w:eastAsia="Times New Roman"/>
          <w:szCs w:val="24"/>
        </w:rPr>
        <w:tab/>
      </w:r>
      <w:r w:rsidRPr="008017C7">
        <w:rPr>
          <w:rFonts w:eastAsia="Times New Roman"/>
          <w:szCs w:val="24"/>
          <w:u w:val="single"/>
        </w:rPr>
        <w:tab/>
      </w:r>
      <w:r w:rsidRPr="008017C7">
        <w:rPr>
          <w:rFonts w:eastAsia="Times New Roman"/>
          <w:szCs w:val="24"/>
          <w:u w:val="single"/>
        </w:rPr>
        <w:tab/>
        <w:t>/s/</w:t>
      </w:r>
      <w:r w:rsidRPr="008017C7">
        <w:rPr>
          <w:rFonts w:eastAsia="Times New Roman"/>
          <w:szCs w:val="24"/>
          <w:u w:val="single"/>
        </w:rPr>
        <w:tab/>
      </w:r>
      <w:r w:rsidRPr="008017C7">
        <w:rPr>
          <w:rFonts w:eastAsia="Times New Roman"/>
          <w:szCs w:val="24"/>
          <w:u w:val="single"/>
        </w:rPr>
        <w:tab/>
      </w:r>
      <w:r w:rsidRPr="008017C7">
        <w:rPr>
          <w:rFonts w:eastAsia="Times New Roman"/>
          <w:szCs w:val="24"/>
          <w:u w:val="single"/>
        </w:rPr>
        <w:tab/>
      </w:r>
      <w:r w:rsidRPr="008017C7">
        <w:rPr>
          <w:rFonts w:eastAsia="Times New Roman"/>
          <w:szCs w:val="24"/>
          <w:u w:val="single"/>
        </w:rPr>
        <w:tab/>
      </w:r>
    </w:p>
    <w:p w14:paraId="4ADF5BF0" w14:textId="1C1DBB8E" w:rsidR="008017C7" w:rsidRPr="008017C7" w:rsidRDefault="008017C7" w:rsidP="008017C7">
      <w:pPr>
        <w:spacing w:line="240" w:lineRule="auto"/>
        <w:rPr>
          <w:rFonts w:eastAsia="Times New Roman"/>
          <w:szCs w:val="24"/>
        </w:rPr>
      </w:pPr>
      <w:r w:rsidRPr="008017C7">
        <w:rPr>
          <w:rFonts w:eastAsia="Times New Roman"/>
          <w:szCs w:val="24"/>
        </w:rPr>
        <w:tab/>
      </w:r>
      <w:r w:rsidRPr="008017C7">
        <w:rPr>
          <w:rFonts w:eastAsia="Times New Roman"/>
          <w:szCs w:val="24"/>
        </w:rPr>
        <w:tab/>
      </w:r>
      <w:r w:rsidRPr="008017C7">
        <w:rPr>
          <w:rFonts w:eastAsia="Times New Roman"/>
          <w:szCs w:val="24"/>
        </w:rPr>
        <w:tab/>
      </w:r>
      <w:r w:rsidRPr="008017C7">
        <w:rPr>
          <w:rFonts w:eastAsia="Times New Roman"/>
          <w:szCs w:val="24"/>
        </w:rPr>
        <w:tab/>
      </w:r>
      <w:r w:rsidRPr="008017C7">
        <w:rPr>
          <w:rFonts w:eastAsia="Times New Roman"/>
          <w:szCs w:val="24"/>
        </w:rPr>
        <w:tab/>
      </w:r>
      <w:r w:rsidRPr="008017C7">
        <w:rPr>
          <w:rFonts w:eastAsia="Times New Roman"/>
          <w:szCs w:val="24"/>
        </w:rPr>
        <w:tab/>
      </w:r>
      <w:r w:rsidRPr="008017C7">
        <w:rPr>
          <w:rFonts w:eastAsia="Times New Roman"/>
          <w:szCs w:val="24"/>
        </w:rPr>
        <w:tab/>
      </w:r>
      <w:r w:rsidR="00E34DA8">
        <w:rPr>
          <w:rFonts w:eastAsia="Times New Roman"/>
          <w:szCs w:val="24"/>
        </w:rPr>
        <w:t>Michael J. Mroczka</w:t>
      </w:r>
    </w:p>
    <w:p w14:paraId="75D6E4E5" w14:textId="539CC43B" w:rsidR="008017C7" w:rsidRDefault="008017C7" w:rsidP="00E80806">
      <w:pPr>
        <w:spacing w:line="240" w:lineRule="auto"/>
        <w:rPr>
          <w:rFonts w:eastAsia="Times New Roman"/>
          <w:szCs w:val="24"/>
        </w:rPr>
      </w:pPr>
      <w:r w:rsidRPr="008017C7">
        <w:rPr>
          <w:rFonts w:eastAsia="Times New Roman"/>
          <w:szCs w:val="24"/>
        </w:rPr>
        <w:tab/>
      </w:r>
      <w:r w:rsidRPr="008017C7">
        <w:rPr>
          <w:rFonts w:eastAsia="Times New Roman"/>
          <w:szCs w:val="24"/>
        </w:rPr>
        <w:tab/>
      </w:r>
      <w:r w:rsidRPr="008017C7">
        <w:rPr>
          <w:rFonts w:eastAsia="Times New Roman"/>
          <w:szCs w:val="24"/>
        </w:rPr>
        <w:tab/>
      </w:r>
      <w:r w:rsidRPr="008017C7">
        <w:rPr>
          <w:rFonts w:eastAsia="Times New Roman"/>
          <w:szCs w:val="24"/>
        </w:rPr>
        <w:tab/>
      </w:r>
      <w:r w:rsidRPr="008017C7">
        <w:rPr>
          <w:rFonts w:eastAsia="Times New Roman"/>
          <w:szCs w:val="24"/>
        </w:rPr>
        <w:tab/>
      </w:r>
      <w:r w:rsidRPr="008017C7">
        <w:rPr>
          <w:rFonts w:eastAsia="Times New Roman"/>
          <w:szCs w:val="24"/>
        </w:rPr>
        <w:tab/>
      </w:r>
      <w:r w:rsidRPr="008017C7">
        <w:rPr>
          <w:rFonts w:eastAsia="Times New Roman"/>
          <w:szCs w:val="24"/>
        </w:rPr>
        <w:tab/>
      </w:r>
      <w:bookmarkEnd w:id="2"/>
      <w:r w:rsidR="00E34DA8">
        <w:rPr>
          <w:rFonts w:eastAsia="Times New Roman"/>
          <w:szCs w:val="24"/>
        </w:rPr>
        <w:t>Special Agent</w:t>
      </w:r>
    </w:p>
    <w:p w14:paraId="569FCDA3" w14:textId="77777777" w:rsidR="00C015AE" w:rsidRDefault="00C015AE" w:rsidP="00E80806">
      <w:pPr>
        <w:spacing w:line="240" w:lineRule="auto"/>
        <w:sectPr w:rsidR="00C015AE" w:rsidSect="00C015AE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75524EE" w14:textId="77777777" w:rsidR="00523E69" w:rsidRPr="00523E69" w:rsidRDefault="00523E69" w:rsidP="00523E69">
      <w:pPr>
        <w:spacing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523E69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C-2022-3037213 - BOBBY MALAFEE v. PHILADELPHIA GAS WORKS</w:t>
      </w:r>
      <w:r w:rsidRPr="00523E69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523E69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523E69">
        <w:rPr>
          <w:rFonts w:ascii="Microsoft Sans Serif" w:eastAsia="Microsoft Sans Serif" w:hAnsi="Microsoft Sans Serif" w:cs="Microsoft Sans Serif"/>
          <w:szCs w:val="22"/>
        </w:rPr>
        <w:t>BOBBY MALAFEE</w:t>
      </w:r>
      <w:r w:rsidRPr="00523E69">
        <w:rPr>
          <w:rFonts w:ascii="Microsoft Sans Serif" w:eastAsia="Microsoft Sans Serif" w:hAnsi="Microsoft Sans Serif" w:cs="Microsoft Sans Serif"/>
          <w:szCs w:val="22"/>
        </w:rPr>
        <w:cr/>
        <w:t>4776 RICHMOND STREET FIRST FLOOR</w:t>
      </w:r>
      <w:r w:rsidRPr="00523E69">
        <w:rPr>
          <w:rFonts w:ascii="Microsoft Sans Serif" w:eastAsia="Microsoft Sans Serif" w:hAnsi="Microsoft Sans Serif" w:cs="Microsoft Sans Serif"/>
          <w:szCs w:val="22"/>
        </w:rPr>
        <w:cr/>
        <w:t>PHILADELPHIA PA  19137</w:t>
      </w:r>
      <w:r w:rsidRPr="00523E69">
        <w:rPr>
          <w:rFonts w:ascii="Microsoft Sans Serif" w:eastAsia="Microsoft Sans Serif" w:hAnsi="Microsoft Sans Serif" w:cs="Microsoft Sans Serif"/>
          <w:szCs w:val="22"/>
        </w:rPr>
        <w:cr/>
      </w:r>
      <w:r w:rsidRPr="00523E69">
        <w:rPr>
          <w:rFonts w:ascii="Microsoft Sans Serif" w:eastAsia="Microsoft Sans Serif" w:hAnsi="Microsoft Sans Serif" w:cs="Microsoft Sans Serif"/>
          <w:b/>
          <w:bCs/>
          <w:szCs w:val="22"/>
        </w:rPr>
        <w:t>267.693.8261</w:t>
      </w:r>
    </w:p>
    <w:p w14:paraId="58769048" w14:textId="77777777" w:rsidR="00523E69" w:rsidRPr="00523E69" w:rsidRDefault="00C20CEC" w:rsidP="00523E69">
      <w:pPr>
        <w:spacing w:line="259" w:lineRule="auto"/>
        <w:rPr>
          <w:rFonts w:ascii="Microsoft Sans Serif" w:eastAsia="Microsoft Sans Serif" w:hAnsi="Microsoft Sans Serif" w:cs="Microsoft Sans Serif"/>
          <w:szCs w:val="22"/>
        </w:rPr>
      </w:pPr>
      <w:hyperlink r:id="rId8" w:history="1">
        <w:r w:rsidR="00523E69" w:rsidRPr="00523E69">
          <w:rPr>
            <w:rFonts w:ascii="Microsoft Sans Serif" w:eastAsia="Microsoft Sans Serif" w:hAnsi="Microsoft Sans Serif" w:cs="Microsoft Sans Serif"/>
            <w:color w:val="0563C1"/>
            <w:szCs w:val="22"/>
            <w:u w:val="single"/>
          </w:rPr>
          <w:t>bridesburgpizzaphilly@gmail.com</w:t>
        </w:r>
      </w:hyperlink>
    </w:p>
    <w:p w14:paraId="578A017B" w14:textId="77777777" w:rsidR="00523E69" w:rsidRPr="00523E69" w:rsidRDefault="00523E69" w:rsidP="00523E69">
      <w:pPr>
        <w:spacing w:line="259" w:lineRule="auto"/>
        <w:rPr>
          <w:rFonts w:ascii="Microsoft Sans Serif" w:eastAsia="Microsoft Sans Serif" w:hAnsi="Microsoft Sans Serif" w:cs="Microsoft Sans Serif"/>
          <w:b/>
          <w:bCs/>
          <w:szCs w:val="22"/>
        </w:rPr>
      </w:pPr>
      <w:r w:rsidRPr="00523E69">
        <w:rPr>
          <w:rFonts w:ascii="Microsoft Sans Serif" w:eastAsia="Microsoft Sans Serif" w:hAnsi="Microsoft Sans Serif" w:cs="Microsoft Sans Serif"/>
          <w:szCs w:val="22"/>
        </w:rPr>
        <w:cr/>
        <w:t>GRACIELA CHRISTLIEB ESQUIRE</w:t>
      </w:r>
      <w:r w:rsidRPr="00523E69">
        <w:rPr>
          <w:rFonts w:ascii="Microsoft Sans Serif" w:eastAsia="Microsoft Sans Serif" w:hAnsi="Microsoft Sans Serif" w:cs="Microsoft Sans Serif"/>
          <w:szCs w:val="22"/>
        </w:rPr>
        <w:cr/>
        <w:t>PHILADELPHIA GAS WORKS</w:t>
      </w:r>
      <w:r w:rsidRPr="00523E69">
        <w:rPr>
          <w:rFonts w:ascii="Microsoft Sans Serif" w:eastAsia="Microsoft Sans Serif" w:hAnsi="Microsoft Sans Serif" w:cs="Microsoft Sans Serif"/>
          <w:szCs w:val="22"/>
        </w:rPr>
        <w:cr/>
        <w:t>800 WEST MONTGOMERY AVE</w:t>
      </w:r>
      <w:r w:rsidRPr="00523E69">
        <w:rPr>
          <w:rFonts w:ascii="Microsoft Sans Serif" w:eastAsia="Microsoft Sans Serif" w:hAnsi="Microsoft Sans Serif" w:cs="Microsoft Sans Serif"/>
          <w:szCs w:val="22"/>
        </w:rPr>
        <w:cr/>
        <w:t>PHILADELPHIA PA  19122</w:t>
      </w:r>
      <w:r w:rsidRPr="00523E69">
        <w:rPr>
          <w:rFonts w:ascii="Microsoft Sans Serif" w:eastAsia="Microsoft Sans Serif" w:hAnsi="Microsoft Sans Serif" w:cs="Microsoft Sans Serif"/>
          <w:szCs w:val="22"/>
        </w:rPr>
        <w:cr/>
      </w:r>
      <w:r w:rsidRPr="00523E69">
        <w:rPr>
          <w:rFonts w:ascii="Microsoft Sans Serif" w:eastAsia="Microsoft Sans Serif" w:hAnsi="Microsoft Sans Serif" w:cs="Microsoft Sans Serif"/>
          <w:b/>
          <w:bCs/>
          <w:szCs w:val="22"/>
        </w:rPr>
        <w:t>215.684.6164</w:t>
      </w:r>
    </w:p>
    <w:p w14:paraId="6467B807" w14:textId="77777777" w:rsidR="00523E69" w:rsidRPr="00523E69" w:rsidRDefault="00C20CEC" w:rsidP="00523E69">
      <w:pPr>
        <w:spacing w:line="259" w:lineRule="auto"/>
        <w:rPr>
          <w:rFonts w:ascii="Microsoft Sans Serif" w:eastAsia="Microsoft Sans Serif" w:hAnsi="Microsoft Sans Serif" w:cs="Microsoft Sans Serif"/>
          <w:szCs w:val="22"/>
        </w:rPr>
      </w:pPr>
      <w:hyperlink r:id="rId9" w:history="1">
        <w:r w:rsidR="00523E69" w:rsidRPr="00523E69">
          <w:rPr>
            <w:rFonts w:ascii="Microsoft Sans Serif" w:eastAsia="Microsoft Sans Serif" w:hAnsi="Microsoft Sans Serif" w:cs="Microsoft Sans Serif"/>
            <w:color w:val="0563C1"/>
            <w:szCs w:val="22"/>
            <w:u w:val="single"/>
          </w:rPr>
          <w:t>Graciela.Christlieb@pgworks.com</w:t>
        </w:r>
      </w:hyperlink>
    </w:p>
    <w:p w14:paraId="7A0BD768" w14:textId="77777777" w:rsidR="00523E69" w:rsidRPr="00523E69" w:rsidRDefault="00523E69" w:rsidP="00523E69">
      <w:pPr>
        <w:spacing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523E69">
        <w:rPr>
          <w:rFonts w:ascii="Microsoft Sans Serif" w:eastAsia="Microsoft Sans Serif" w:hAnsi="Microsoft Sans Serif" w:cs="Microsoft Sans Serif"/>
          <w:szCs w:val="22"/>
        </w:rPr>
        <w:t xml:space="preserve">Accepts </w:t>
      </w:r>
      <w:proofErr w:type="gramStart"/>
      <w:r w:rsidRPr="00523E69">
        <w:rPr>
          <w:rFonts w:ascii="Microsoft Sans Serif" w:eastAsia="Microsoft Sans Serif" w:hAnsi="Microsoft Sans Serif" w:cs="Microsoft Sans Serif"/>
          <w:szCs w:val="22"/>
        </w:rPr>
        <w:t>eservice</w:t>
      </w:r>
      <w:proofErr w:type="gramEnd"/>
    </w:p>
    <w:p w14:paraId="40DAA231" w14:textId="055630EE" w:rsidR="00C015AE" w:rsidRDefault="00C015AE" w:rsidP="00E80806">
      <w:pPr>
        <w:spacing w:line="240" w:lineRule="auto"/>
      </w:pPr>
    </w:p>
    <w:sectPr w:rsidR="00C015A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0CC59" w14:textId="77777777" w:rsidR="00230803" w:rsidRDefault="00230803" w:rsidP="00F733FB">
      <w:pPr>
        <w:spacing w:line="240" w:lineRule="auto"/>
      </w:pPr>
      <w:r>
        <w:separator/>
      </w:r>
    </w:p>
  </w:endnote>
  <w:endnote w:type="continuationSeparator" w:id="0">
    <w:p w14:paraId="2620C96D" w14:textId="77777777" w:rsidR="00230803" w:rsidRDefault="00230803" w:rsidP="00F733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4352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50B5F8" w14:textId="2C3DF684" w:rsidR="00C015AE" w:rsidRDefault="00C015AE">
        <w:pPr>
          <w:pStyle w:val="Footer"/>
          <w:jc w:val="center"/>
        </w:pPr>
        <w:r w:rsidRPr="00C015AE">
          <w:rPr>
            <w:sz w:val="20"/>
          </w:rPr>
          <w:fldChar w:fldCharType="begin"/>
        </w:r>
        <w:r w:rsidRPr="00C015AE">
          <w:rPr>
            <w:sz w:val="20"/>
          </w:rPr>
          <w:instrText xml:space="preserve"> PAGE   \* MERGEFORMAT </w:instrText>
        </w:r>
        <w:r w:rsidRPr="00C015AE">
          <w:rPr>
            <w:sz w:val="20"/>
          </w:rPr>
          <w:fldChar w:fldCharType="separate"/>
        </w:r>
        <w:r w:rsidRPr="00C015AE">
          <w:rPr>
            <w:noProof/>
            <w:sz w:val="20"/>
          </w:rPr>
          <w:t>2</w:t>
        </w:r>
        <w:r w:rsidRPr="00C015AE">
          <w:rPr>
            <w:noProof/>
            <w:sz w:val="20"/>
          </w:rPr>
          <w:fldChar w:fldCharType="end"/>
        </w:r>
      </w:p>
    </w:sdtContent>
  </w:sdt>
  <w:p w14:paraId="7F3B6FE4" w14:textId="77777777" w:rsidR="00C015AE" w:rsidRDefault="00C015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60042" w14:textId="23E3D5C5" w:rsidR="00C015AE" w:rsidRDefault="00C015AE">
    <w:pPr>
      <w:pStyle w:val="Footer"/>
      <w:jc w:val="center"/>
    </w:pPr>
  </w:p>
  <w:p w14:paraId="6BB4A516" w14:textId="77777777" w:rsidR="00C015AE" w:rsidRDefault="00C015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8530E" w14:textId="77777777" w:rsidR="00230803" w:rsidRDefault="00230803" w:rsidP="00F733FB">
      <w:pPr>
        <w:spacing w:line="240" w:lineRule="auto"/>
      </w:pPr>
      <w:r>
        <w:separator/>
      </w:r>
    </w:p>
  </w:footnote>
  <w:footnote w:type="continuationSeparator" w:id="0">
    <w:p w14:paraId="1048A4C4" w14:textId="77777777" w:rsidR="00230803" w:rsidRDefault="00230803" w:rsidP="00F733FB">
      <w:pPr>
        <w:spacing w:line="240" w:lineRule="auto"/>
      </w:pPr>
      <w:r>
        <w:continuationSeparator/>
      </w:r>
    </w:p>
  </w:footnote>
  <w:footnote w:id="1">
    <w:p w14:paraId="3D6CCA34" w14:textId="48802FCF" w:rsidR="008017C7" w:rsidRPr="003D342C" w:rsidRDefault="00F733FB" w:rsidP="00E34DA8">
      <w:pPr>
        <w:pStyle w:val="FootnoteText"/>
        <w:ind w:left="720" w:firstLine="720"/>
        <w:rPr>
          <w:lang w:val="it-IT"/>
        </w:rPr>
      </w:pPr>
      <w:r w:rsidRPr="00D03A90">
        <w:rPr>
          <w:rStyle w:val="FootnoteReference"/>
        </w:rPr>
        <w:footnoteRef/>
      </w:r>
      <w:r w:rsidR="00C015AE" w:rsidRPr="003D342C">
        <w:rPr>
          <w:lang w:val="it-IT"/>
        </w:rPr>
        <w:t xml:space="preserve"> </w:t>
      </w:r>
      <w:r w:rsidR="00C015AE" w:rsidRPr="003D342C">
        <w:rPr>
          <w:lang w:val="it-IT"/>
        </w:rPr>
        <w:tab/>
      </w:r>
      <w:r w:rsidRPr="003D342C">
        <w:rPr>
          <w:lang w:val="it-IT"/>
        </w:rPr>
        <w:t>52 Pa.</w:t>
      </w:r>
      <w:r w:rsidR="00E34DA8" w:rsidRPr="003D342C">
        <w:rPr>
          <w:lang w:val="it-IT"/>
        </w:rPr>
        <w:t xml:space="preserve"> </w:t>
      </w:r>
      <w:r w:rsidRPr="003D342C">
        <w:rPr>
          <w:lang w:val="it-IT"/>
        </w:rPr>
        <w:t>Code § 1.22(a).</w:t>
      </w:r>
      <w:r w:rsidR="00500CA2" w:rsidRPr="003D342C">
        <w:rPr>
          <w:lang w:val="it-IT"/>
        </w:rPr>
        <w:t xml:space="preserve"> </w:t>
      </w:r>
    </w:p>
    <w:p w14:paraId="1195F7E6" w14:textId="77777777" w:rsidR="00F733FB" w:rsidRPr="003D342C" w:rsidRDefault="00500CA2" w:rsidP="00E34DA8">
      <w:pPr>
        <w:pStyle w:val="FootnoteText"/>
        <w:rPr>
          <w:lang w:val="it-IT"/>
        </w:rPr>
      </w:pPr>
      <w:r w:rsidRPr="003D342C">
        <w:rPr>
          <w:lang w:val="it-IT"/>
        </w:rPr>
        <w:t xml:space="preserve"> </w:t>
      </w:r>
    </w:p>
  </w:footnote>
  <w:footnote w:id="2">
    <w:p w14:paraId="2DCC0CD9" w14:textId="4020E160" w:rsidR="00FA7E13" w:rsidRPr="00D62CF7" w:rsidRDefault="00FA7E13" w:rsidP="00E34DA8">
      <w:pPr>
        <w:pStyle w:val="FootnoteText"/>
        <w:rPr>
          <w:lang w:val="it-IT"/>
        </w:rPr>
      </w:pPr>
      <w:r w:rsidRPr="003D342C">
        <w:rPr>
          <w:lang w:val="it-IT"/>
        </w:rPr>
        <w:tab/>
      </w:r>
      <w:r w:rsidR="00E34DA8" w:rsidRPr="003D342C">
        <w:rPr>
          <w:lang w:val="it-IT"/>
        </w:rPr>
        <w:tab/>
      </w:r>
      <w:r>
        <w:rPr>
          <w:rStyle w:val="FootnoteReference"/>
        </w:rPr>
        <w:footnoteRef/>
      </w:r>
      <w:r w:rsidRPr="00D62CF7">
        <w:rPr>
          <w:lang w:val="it-IT"/>
        </w:rPr>
        <w:t xml:space="preserve"> </w:t>
      </w:r>
      <w:r w:rsidRPr="00D62CF7">
        <w:rPr>
          <w:lang w:val="it-IT"/>
        </w:rPr>
        <w:tab/>
        <w:t>52 Pa. Code §§ 1.21 &amp; 1.22.</w:t>
      </w:r>
    </w:p>
    <w:p w14:paraId="08159B34" w14:textId="77777777" w:rsidR="00FA7E13" w:rsidRPr="00D62CF7" w:rsidRDefault="00FA7E13" w:rsidP="00E34DA8">
      <w:pPr>
        <w:pStyle w:val="FootnoteText"/>
        <w:rPr>
          <w:lang w:val="it-IT"/>
        </w:rPr>
      </w:pPr>
    </w:p>
  </w:footnote>
  <w:footnote w:id="3">
    <w:p w14:paraId="4153DF36" w14:textId="3D3613A6" w:rsidR="00F733FB" w:rsidRDefault="00F733FB" w:rsidP="00E34DA8">
      <w:pPr>
        <w:pStyle w:val="FootnoteText"/>
        <w:ind w:left="720" w:firstLine="720"/>
      </w:pPr>
      <w:r>
        <w:rPr>
          <w:rStyle w:val="FootnoteReference"/>
        </w:rPr>
        <w:footnoteRef/>
      </w:r>
      <w:r w:rsidRPr="003D342C">
        <w:t xml:space="preserve"> </w:t>
      </w:r>
      <w:r w:rsidR="00500CA2" w:rsidRPr="003D342C">
        <w:t xml:space="preserve"> </w:t>
      </w:r>
      <w:r w:rsidR="00500CA2" w:rsidRPr="003D342C">
        <w:tab/>
      </w:r>
      <w:r w:rsidRPr="003D342C">
        <w:rPr>
          <w:i/>
        </w:rPr>
        <w:t>Smaha v. Landy</w:t>
      </w:r>
      <w:r w:rsidRPr="003D342C">
        <w:t>, 638 A.2d 392 (Pa.</w:t>
      </w:r>
      <w:r w:rsidR="00704504" w:rsidRPr="003D342C">
        <w:t xml:space="preserve"> </w:t>
      </w:r>
      <w:r w:rsidRPr="00F733FB">
        <w:t>Cmwlth. 1994).</w:t>
      </w:r>
    </w:p>
    <w:p w14:paraId="49A6FE59" w14:textId="77777777" w:rsidR="008017C7" w:rsidRDefault="008017C7" w:rsidP="00E34DA8">
      <w:pPr>
        <w:pStyle w:val="FootnoteText"/>
      </w:pPr>
    </w:p>
  </w:footnote>
  <w:footnote w:id="4">
    <w:p w14:paraId="6133C4A6" w14:textId="47BBD01D" w:rsidR="00F733FB" w:rsidRDefault="00F733FB" w:rsidP="00E34DA8">
      <w:pPr>
        <w:pStyle w:val="FootnoteText"/>
        <w:ind w:firstLine="1440"/>
      </w:pPr>
      <w:r>
        <w:rPr>
          <w:rStyle w:val="FootnoteReference"/>
        </w:rPr>
        <w:footnoteRef/>
      </w:r>
      <w:r>
        <w:t xml:space="preserve"> </w:t>
      </w:r>
      <w:r>
        <w:tab/>
      </w:r>
      <w:bookmarkStart w:id="1" w:name="_Hlk521485945"/>
      <w:r w:rsidRPr="00D51E42">
        <w:rPr>
          <w:i/>
          <w:iCs/>
        </w:rPr>
        <w:t xml:space="preserve">Cars </w:t>
      </w:r>
      <w:r>
        <w:rPr>
          <w:i/>
          <w:iCs/>
        </w:rPr>
        <w:t>R Us c/o Holman Copeland v. P</w:t>
      </w:r>
      <w:r w:rsidR="0080496F">
        <w:rPr>
          <w:i/>
          <w:iCs/>
        </w:rPr>
        <w:t xml:space="preserve">hila. </w:t>
      </w:r>
      <w:r>
        <w:rPr>
          <w:i/>
          <w:iCs/>
        </w:rPr>
        <w:t>G</w:t>
      </w:r>
      <w:r w:rsidR="0080496F">
        <w:rPr>
          <w:i/>
          <w:iCs/>
        </w:rPr>
        <w:t xml:space="preserve">as </w:t>
      </w:r>
      <w:r>
        <w:rPr>
          <w:i/>
          <w:iCs/>
        </w:rPr>
        <w:t>W</w:t>
      </w:r>
      <w:r w:rsidR="0080496F">
        <w:rPr>
          <w:i/>
          <w:iCs/>
        </w:rPr>
        <w:t>orks</w:t>
      </w:r>
      <w:r w:rsidRPr="00D51E42">
        <w:t>,</w:t>
      </w:r>
      <w:r>
        <w:t xml:space="preserve"> </w:t>
      </w:r>
      <w:r w:rsidRPr="00D51E42">
        <w:t>Docket No. C-2008-2033437 (</w:t>
      </w:r>
      <w:r w:rsidR="00F43BEB">
        <w:t xml:space="preserve">Opinion and </w:t>
      </w:r>
      <w:r w:rsidRPr="00D51E42">
        <w:t>Order entered</w:t>
      </w:r>
      <w:r w:rsidR="00E34DA8">
        <w:t xml:space="preserve"> </w:t>
      </w:r>
      <w:r w:rsidRPr="00D51E42">
        <w:t>Feb</w:t>
      </w:r>
      <w:r w:rsidR="00DF083F">
        <w:t>.</w:t>
      </w:r>
      <w:r w:rsidRPr="00D51E42">
        <w:t xml:space="preserve"> 4, 2010)</w:t>
      </w:r>
      <w:bookmarkEnd w:id="1"/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32D57"/>
    <w:multiLevelType w:val="hybridMultilevel"/>
    <w:tmpl w:val="3BB8502C"/>
    <w:lvl w:ilvl="0" w:tplc="3D462258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D5116E7"/>
    <w:multiLevelType w:val="hybridMultilevel"/>
    <w:tmpl w:val="73CEFEE2"/>
    <w:lvl w:ilvl="0" w:tplc="D834F7A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44C6BF6"/>
    <w:multiLevelType w:val="hybridMultilevel"/>
    <w:tmpl w:val="1C2C1DD4"/>
    <w:lvl w:ilvl="0" w:tplc="A98CE02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70257"/>
    <w:multiLevelType w:val="hybridMultilevel"/>
    <w:tmpl w:val="F8206D68"/>
    <w:lvl w:ilvl="0" w:tplc="AF8867B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CB17452"/>
    <w:multiLevelType w:val="hybridMultilevel"/>
    <w:tmpl w:val="9C085A1E"/>
    <w:lvl w:ilvl="0" w:tplc="AC782B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10354"/>
    <w:multiLevelType w:val="hybridMultilevel"/>
    <w:tmpl w:val="2F64736E"/>
    <w:lvl w:ilvl="0" w:tplc="ACCA5A5A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43425B8"/>
    <w:multiLevelType w:val="hybridMultilevel"/>
    <w:tmpl w:val="8918C5F0"/>
    <w:lvl w:ilvl="0" w:tplc="0FA221A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111101"/>
    <w:multiLevelType w:val="hybridMultilevel"/>
    <w:tmpl w:val="BC28E7D0"/>
    <w:lvl w:ilvl="0" w:tplc="A7CE1D5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D0733"/>
    <w:multiLevelType w:val="hybridMultilevel"/>
    <w:tmpl w:val="DD4E9A92"/>
    <w:lvl w:ilvl="0" w:tplc="3B825C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64759C"/>
    <w:multiLevelType w:val="hybridMultilevel"/>
    <w:tmpl w:val="B1D612BC"/>
    <w:lvl w:ilvl="0" w:tplc="F39C5B5C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412E4DD6"/>
    <w:multiLevelType w:val="hybridMultilevel"/>
    <w:tmpl w:val="EBA47466"/>
    <w:lvl w:ilvl="0" w:tplc="0140490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940CE9"/>
    <w:multiLevelType w:val="hybridMultilevel"/>
    <w:tmpl w:val="5B66DD6A"/>
    <w:lvl w:ilvl="0" w:tplc="EADC93F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A43A5"/>
    <w:multiLevelType w:val="hybridMultilevel"/>
    <w:tmpl w:val="818C50FE"/>
    <w:lvl w:ilvl="0" w:tplc="935A75F4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4B095837"/>
    <w:multiLevelType w:val="hybridMultilevel"/>
    <w:tmpl w:val="62BAD5EC"/>
    <w:lvl w:ilvl="0" w:tplc="69EE35F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C7436"/>
    <w:multiLevelType w:val="hybridMultilevel"/>
    <w:tmpl w:val="53B0DB04"/>
    <w:lvl w:ilvl="0" w:tplc="A560FD1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D67DDB"/>
    <w:multiLevelType w:val="hybridMultilevel"/>
    <w:tmpl w:val="F89295D8"/>
    <w:lvl w:ilvl="0" w:tplc="E7B2319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63515A"/>
    <w:multiLevelType w:val="hybridMultilevel"/>
    <w:tmpl w:val="AECA1614"/>
    <w:lvl w:ilvl="0" w:tplc="6A026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4C81C86"/>
    <w:multiLevelType w:val="hybridMultilevel"/>
    <w:tmpl w:val="5010E1CA"/>
    <w:lvl w:ilvl="0" w:tplc="929C00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240B2"/>
    <w:multiLevelType w:val="hybridMultilevel"/>
    <w:tmpl w:val="DB700314"/>
    <w:lvl w:ilvl="0" w:tplc="990AB5C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2B4994"/>
    <w:multiLevelType w:val="hybridMultilevel"/>
    <w:tmpl w:val="1CBEED92"/>
    <w:lvl w:ilvl="0" w:tplc="80F0015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0433C0"/>
    <w:multiLevelType w:val="hybridMultilevel"/>
    <w:tmpl w:val="45EE0DC0"/>
    <w:lvl w:ilvl="0" w:tplc="D1F075C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3B6BCD"/>
    <w:multiLevelType w:val="hybridMultilevel"/>
    <w:tmpl w:val="F934C904"/>
    <w:lvl w:ilvl="0" w:tplc="2B1E7B6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0C6BCA"/>
    <w:multiLevelType w:val="hybridMultilevel"/>
    <w:tmpl w:val="28386070"/>
    <w:lvl w:ilvl="0" w:tplc="0C92B1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7D5134"/>
    <w:multiLevelType w:val="hybridMultilevel"/>
    <w:tmpl w:val="130E6982"/>
    <w:lvl w:ilvl="0" w:tplc="F8684F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A348A0"/>
    <w:multiLevelType w:val="hybridMultilevel"/>
    <w:tmpl w:val="D6202846"/>
    <w:lvl w:ilvl="0" w:tplc="867CA1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7F95CD1"/>
    <w:multiLevelType w:val="hybridMultilevel"/>
    <w:tmpl w:val="6C12450C"/>
    <w:lvl w:ilvl="0" w:tplc="6F9AFBE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AC4007"/>
    <w:multiLevelType w:val="hybridMultilevel"/>
    <w:tmpl w:val="4524D50A"/>
    <w:lvl w:ilvl="0" w:tplc="57E460E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A5902F6"/>
    <w:multiLevelType w:val="hybridMultilevel"/>
    <w:tmpl w:val="66F64792"/>
    <w:lvl w:ilvl="0" w:tplc="FE7C9A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6C3975"/>
    <w:multiLevelType w:val="hybridMultilevel"/>
    <w:tmpl w:val="0D6428D0"/>
    <w:lvl w:ilvl="0" w:tplc="2FA09AF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4469A6"/>
    <w:multiLevelType w:val="hybridMultilevel"/>
    <w:tmpl w:val="D63A2DA8"/>
    <w:lvl w:ilvl="0" w:tplc="E878CB8E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93478577">
    <w:abstractNumId w:val="24"/>
  </w:num>
  <w:num w:numId="2" w16cid:durableId="790635163">
    <w:abstractNumId w:val="16"/>
  </w:num>
  <w:num w:numId="3" w16cid:durableId="345179057">
    <w:abstractNumId w:val="22"/>
  </w:num>
  <w:num w:numId="4" w16cid:durableId="2123918513">
    <w:abstractNumId w:val="26"/>
  </w:num>
  <w:num w:numId="5" w16cid:durableId="2070228809">
    <w:abstractNumId w:val="9"/>
  </w:num>
  <w:num w:numId="6" w16cid:durableId="80029592">
    <w:abstractNumId w:val="6"/>
  </w:num>
  <w:num w:numId="7" w16cid:durableId="1924728469">
    <w:abstractNumId w:val="4"/>
  </w:num>
  <w:num w:numId="8" w16cid:durableId="789200543">
    <w:abstractNumId w:val="25"/>
  </w:num>
  <w:num w:numId="9" w16cid:durableId="1876694097">
    <w:abstractNumId w:val="2"/>
  </w:num>
  <w:num w:numId="10" w16cid:durableId="1404377651">
    <w:abstractNumId w:val="18"/>
  </w:num>
  <w:num w:numId="11" w16cid:durableId="1003513282">
    <w:abstractNumId w:val="21"/>
  </w:num>
  <w:num w:numId="12" w16cid:durableId="1026102868">
    <w:abstractNumId w:val="13"/>
  </w:num>
  <w:num w:numId="13" w16cid:durableId="384642271">
    <w:abstractNumId w:val="19"/>
  </w:num>
  <w:num w:numId="14" w16cid:durableId="41295265">
    <w:abstractNumId w:val="23"/>
  </w:num>
  <w:num w:numId="15" w16cid:durableId="906262490">
    <w:abstractNumId w:val="0"/>
  </w:num>
  <w:num w:numId="16" w16cid:durableId="146172281">
    <w:abstractNumId w:val="17"/>
  </w:num>
  <w:num w:numId="17" w16cid:durableId="862129141">
    <w:abstractNumId w:val="17"/>
  </w:num>
  <w:num w:numId="18" w16cid:durableId="2102099759">
    <w:abstractNumId w:val="8"/>
  </w:num>
  <w:num w:numId="19" w16cid:durableId="350842628">
    <w:abstractNumId w:val="14"/>
  </w:num>
  <w:num w:numId="20" w16cid:durableId="1254778698">
    <w:abstractNumId w:val="27"/>
  </w:num>
  <w:num w:numId="21" w16cid:durableId="587618652">
    <w:abstractNumId w:val="11"/>
  </w:num>
  <w:num w:numId="22" w16cid:durableId="920791114">
    <w:abstractNumId w:val="3"/>
  </w:num>
  <w:num w:numId="23" w16cid:durableId="1646547126">
    <w:abstractNumId w:val="12"/>
  </w:num>
  <w:num w:numId="24" w16cid:durableId="522597626">
    <w:abstractNumId w:val="29"/>
  </w:num>
  <w:num w:numId="25" w16cid:durableId="968974326">
    <w:abstractNumId w:val="1"/>
  </w:num>
  <w:num w:numId="26" w16cid:durableId="2007512587">
    <w:abstractNumId w:val="5"/>
  </w:num>
  <w:num w:numId="27" w16cid:durableId="1357120445">
    <w:abstractNumId w:val="20"/>
  </w:num>
  <w:num w:numId="28" w16cid:durableId="1971473639">
    <w:abstractNumId w:val="10"/>
  </w:num>
  <w:num w:numId="29" w16cid:durableId="442724262">
    <w:abstractNumId w:val="7"/>
  </w:num>
  <w:num w:numId="30" w16cid:durableId="1141730082">
    <w:abstractNumId w:val="15"/>
  </w:num>
  <w:num w:numId="31" w16cid:durableId="131106009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3FB"/>
    <w:rsid w:val="000041DC"/>
    <w:rsid w:val="00004C37"/>
    <w:rsid w:val="00033462"/>
    <w:rsid w:val="00043019"/>
    <w:rsid w:val="0005547A"/>
    <w:rsid w:val="00066D87"/>
    <w:rsid w:val="0008592C"/>
    <w:rsid w:val="000A7E6E"/>
    <w:rsid w:val="000B6090"/>
    <w:rsid w:val="000E3EDE"/>
    <w:rsid w:val="000F2A05"/>
    <w:rsid w:val="00107E82"/>
    <w:rsid w:val="00187596"/>
    <w:rsid w:val="001A21B6"/>
    <w:rsid w:val="001B1CBA"/>
    <w:rsid w:val="001D2AF7"/>
    <w:rsid w:val="001F0DEC"/>
    <w:rsid w:val="00207743"/>
    <w:rsid w:val="00213167"/>
    <w:rsid w:val="00230803"/>
    <w:rsid w:val="002400BF"/>
    <w:rsid w:val="002512F9"/>
    <w:rsid w:val="002603F1"/>
    <w:rsid w:val="002A39C2"/>
    <w:rsid w:val="002A5F1C"/>
    <w:rsid w:val="002D61B7"/>
    <w:rsid w:val="00303887"/>
    <w:rsid w:val="003145FA"/>
    <w:rsid w:val="00340989"/>
    <w:rsid w:val="00367A41"/>
    <w:rsid w:val="003756E8"/>
    <w:rsid w:val="00393C92"/>
    <w:rsid w:val="003A3E09"/>
    <w:rsid w:val="003D342C"/>
    <w:rsid w:val="003F0BFC"/>
    <w:rsid w:val="0041547F"/>
    <w:rsid w:val="004160CD"/>
    <w:rsid w:val="00473A84"/>
    <w:rsid w:val="004D523C"/>
    <w:rsid w:val="00500CA2"/>
    <w:rsid w:val="00523E69"/>
    <w:rsid w:val="0052679D"/>
    <w:rsid w:val="0059047F"/>
    <w:rsid w:val="005A1C17"/>
    <w:rsid w:val="005A2ABA"/>
    <w:rsid w:val="005D180A"/>
    <w:rsid w:val="005E7B69"/>
    <w:rsid w:val="00613500"/>
    <w:rsid w:val="006168A2"/>
    <w:rsid w:val="00616F15"/>
    <w:rsid w:val="0061775F"/>
    <w:rsid w:val="00696C0D"/>
    <w:rsid w:val="00697DB1"/>
    <w:rsid w:val="006F0329"/>
    <w:rsid w:val="00700807"/>
    <w:rsid w:val="00704504"/>
    <w:rsid w:val="00704BD9"/>
    <w:rsid w:val="00712E58"/>
    <w:rsid w:val="007141D3"/>
    <w:rsid w:val="007407AC"/>
    <w:rsid w:val="00740B97"/>
    <w:rsid w:val="00755D72"/>
    <w:rsid w:val="00792796"/>
    <w:rsid w:val="00796B64"/>
    <w:rsid w:val="007E6779"/>
    <w:rsid w:val="008017C7"/>
    <w:rsid w:val="00801A58"/>
    <w:rsid w:val="0080496F"/>
    <w:rsid w:val="00820B4C"/>
    <w:rsid w:val="0083239D"/>
    <w:rsid w:val="008529D2"/>
    <w:rsid w:val="0088105E"/>
    <w:rsid w:val="008838BB"/>
    <w:rsid w:val="008D632E"/>
    <w:rsid w:val="008E4C40"/>
    <w:rsid w:val="00917DCA"/>
    <w:rsid w:val="00926AE3"/>
    <w:rsid w:val="009304FB"/>
    <w:rsid w:val="0095584B"/>
    <w:rsid w:val="009558D3"/>
    <w:rsid w:val="009765B1"/>
    <w:rsid w:val="00993C17"/>
    <w:rsid w:val="009A4591"/>
    <w:rsid w:val="009D5A5B"/>
    <w:rsid w:val="009F172F"/>
    <w:rsid w:val="00A47096"/>
    <w:rsid w:val="00AA2EC5"/>
    <w:rsid w:val="00AB2925"/>
    <w:rsid w:val="00AB451E"/>
    <w:rsid w:val="00AB4C73"/>
    <w:rsid w:val="00AE2469"/>
    <w:rsid w:val="00AE6F47"/>
    <w:rsid w:val="00B758CC"/>
    <w:rsid w:val="00B91E47"/>
    <w:rsid w:val="00BC6B21"/>
    <w:rsid w:val="00BD0623"/>
    <w:rsid w:val="00C015AE"/>
    <w:rsid w:val="00C157C0"/>
    <w:rsid w:val="00C20CEC"/>
    <w:rsid w:val="00C7322C"/>
    <w:rsid w:val="00C7399B"/>
    <w:rsid w:val="00C87E57"/>
    <w:rsid w:val="00CF6143"/>
    <w:rsid w:val="00D02ED1"/>
    <w:rsid w:val="00D046A2"/>
    <w:rsid w:val="00DD5C37"/>
    <w:rsid w:val="00DF083F"/>
    <w:rsid w:val="00E34DA8"/>
    <w:rsid w:val="00E4239A"/>
    <w:rsid w:val="00E80806"/>
    <w:rsid w:val="00EB027A"/>
    <w:rsid w:val="00EC1CBA"/>
    <w:rsid w:val="00EE7801"/>
    <w:rsid w:val="00F11A19"/>
    <w:rsid w:val="00F16554"/>
    <w:rsid w:val="00F43BEB"/>
    <w:rsid w:val="00F544E1"/>
    <w:rsid w:val="00F733FB"/>
    <w:rsid w:val="00FA7E13"/>
    <w:rsid w:val="00FB63BE"/>
    <w:rsid w:val="00FD5C10"/>
    <w:rsid w:val="00FE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  <w14:docId w14:val="373C0C0F"/>
  <w15:chartTrackingRefBased/>
  <w15:docId w15:val="{8852087E-0FEE-4772-B0C9-23701FE06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05E"/>
    <w:rPr>
      <w:rFonts w:eastAsia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755D72"/>
    <w:pPr>
      <w:ind w:left="1440" w:firstLine="720"/>
    </w:pPr>
  </w:style>
  <w:style w:type="paragraph" w:styleId="FootnoteText">
    <w:name w:val="footnote text"/>
    <w:aliases w:val="Car,fn,ALTS FOOTNOTE,Footnote Text 2,Footnote text,FOOTNOTE,fn Char Char,fn Char,Footnote Text Char1 Char,Footnote Text Char Char Char,ALTS FOOTNOTE Char Char Char,Footnote Text Char2 Char Char Char"/>
    <w:link w:val="FootnoteTextChar"/>
    <w:autoRedefine/>
    <w:uiPriority w:val="99"/>
    <w:unhideWhenUsed/>
    <w:qFormat/>
    <w:rsid w:val="00E34DA8"/>
    <w:pPr>
      <w:spacing w:line="240" w:lineRule="auto"/>
    </w:pPr>
    <w:rPr>
      <w:sz w:val="20"/>
    </w:rPr>
  </w:style>
  <w:style w:type="character" w:customStyle="1" w:styleId="FootnoteTextChar">
    <w:name w:val="Footnote Text Char"/>
    <w:aliases w:val="Car Char,fn Char1,ALTS FOOTNOTE Char,Footnote Text 2 Char,Footnote text Char,FOOTNOTE Char,fn Char Char Char,fn Char Char1,Footnote Text Char1 Char Char,Footnote Text Char Char Char Char,ALTS FOOTNOTE Char Char Char Char"/>
    <w:basedOn w:val="DefaultParagraphFont"/>
    <w:link w:val="FootnoteText"/>
    <w:uiPriority w:val="99"/>
    <w:rsid w:val="00E34DA8"/>
    <w:rPr>
      <w:sz w:val="20"/>
    </w:rPr>
  </w:style>
  <w:style w:type="paragraph" w:styleId="EnvelopeReturn">
    <w:name w:val="envelope return"/>
    <w:basedOn w:val="Normal"/>
    <w:uiPriority w:val="99"/>
    <w:semiHidden/>
    <w:unhideWhenUsed/>
    <w:rsid w:val="00AE6F47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List">
    <w:name w:val="List"/>
    <w:basedOn w:val="Normal"/>
    <w:autoRedefine/>
    <w:uiPriority w:val="99"/>
    <w:unhideWhenUsed/>
    <w:rsid w:val="00755D72"/>
    <w:pPr>
      <w:ind w:firstLine="1440"/>
    </w:pPr>
  </w:style>
  <w:style w:type="character" w:styleId="FootnoteReference">
    <w:name w:val="footnote reference"/>
    <w:aliases w:val="o,fr"/>
    <w:basedOn w:val="DefaultParagraphFont"/>
    <w:uiPriority w:val="99"/>
    <w:unhideWhenUsed/>
    <w:rsid w:val="00F733F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015A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5AE"/>
    <w:rPr>
      <w:rFonts w:eastAsia="SimSun"/>
    </w:rPr>
  </w:style>
  <w:style w:type="paragraph" w:styleId="Footer">
    <w:name w:val="footer"/>
    <w:basedOn w:val="Normal"/>
    <w:link w:val="FooterChar"/>
    <w:uiPriority w:val="99"/>
    <w:unhideWhenUsed/>
    <w:rsid w:val="00C015A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5AE"/>
    <w:rPr>
      <w:rFonts w:eastAsia="SimSun"/>
    </w:rPr>
  </w:style>
  <w:style w:type="paragraph" w:styleId="Revision">
    <w:name w:val="Revision"/>
    <w:hidden/>
    <w:uiPriority w:val="99"/>
    <w:semiHidden/>
    <w:rsid w:val="0095584B"/>
    <w:pPr>
      <w:spacing w:line="240" w:lineRule="auto"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idesburgpizzaphilly@gmail.com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Graciela.Christlieb@pgwork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409</Words>
  <Characters>2333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Long, Mary</dc:creator>
  <cp:keywords/>
  <dc:description/>
  <cp:lastModifiedBy>Williams, Bobbie Jo</cp:lastModifiedBy>
  <cp:revision>2</cp:revision>
  <dcterms:created xsi:type="dcterms:W3CDTF">2023-03-16T19:43:00Z</dcterms:created>
  <dcterms:modified xsi:type="dcterms:W3CDTF">2023-03-16T19:43:00Z</dcterms:modified>
</cp:coreProperties>
</file>