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972F" w14:textId="77777777" w:rsidR="00655FAF" w:rsidRPr="00AD7BF9" w:rsidRDefault="00655FAF" w:rsidP="00655FAF">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BEFORE THE</w:t>
      </w:r>
    </w:p>
    <w:p w14:paraId="573DB2A6" w14:textId="77777777" w:rsidR="00655FAF" w:rsidRPr="00AD7BF9" w:rsidRDefault="00655FAF" w:rsidP="00655FAF">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PENNSYLVANIA PUBLIC UTILITY COMMISSION</w:t>
      </w:r>
    </w:p>
    <w:p w14:paraId="74FB7C91" w14:textId="77777777" w:rsidR="00655FAF" w:rsidRPr="001D053B" w:rsidRDefault="00655FAF" w:rsidP="00655FAF">
      <w:pPr>
        <w:tabs>
          <w:tab w:val="left" w:pos="0"/>
        </w:tabs>
        <w:spacing w:after="0" w:line="240" w:lineRule="auto"/>
        <w:jc w:val="both"/>
        <w:rPr>
          <w:rFonts w:cs="Times New Roman"/>
          <w:bCs/>
          <w:szCs w:val="24"/>
        </w:rPr>
      </w:pPr>
    </w:p>
    <w:p w14:paraId="6EE6C6F3" w14:textId="77777777" w:rsidR="00655FAF" w:rsidRPr="001D053B" w:rsidRDefault="00655FAF" w:rsidP="00655FAF">
      <w:pPr>
        <w:tabs>
          <w:tab w:val="left" w:pos="0"/>
        </w:tabs>
        <w:spacing w:after="0" w:line="240" w:lineRule="auto"/>
        <w:jc w:val="both"/>
        <w:rPr>
          <w:rFonts w:cs="Times New Roman"/>
          <w:bCs/>
          <w:szCs w:val="24"/>
        </w:rPr>
      </w:pPr>
    </w:p>
    <w:p w14:paraId="266B5748" w14:textId="77777777" w:rsidR="00655FAF" w:rsidRPr="001D053B" w:rsidRDefault="00655FAF" w:rsidP="00655FAF">
      <w:pPr>
        <w:tabs>
          <w:tab w:val="left" w:pos="0"/>
        </w:tabs>
        <w:spacing w:after="0" w:line="240" w:lineRule="auto"/>
        <w:jc w:val="both"/>
        <w:rPr>
          <w:rFonts w:cs="Times New Roman"/>
          <w:bCs/>
          <w:szCs w:val="24"/>
        </w:rPr>
      </w:pPr>
    </w:p>
    <w:p w14:paraId="7F003A7F"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Pennsylvania Public Utility Commission</w:t>
      </w:r>
      <w:r w:rsidRPr="001D053B">
        <w:rPr>
          <w:rFonts w:cs="Times New Roman"/>
          <w:bCs/>
          <w:szCs w:val="24"/>
        </w:rPr>
        <w:tab/>
      </w:r>
      <w:r w:rsidRPr="001D053B">
        <w:rPr>
          <w:rFonts w:cs="Times New Roman"/>
          <w:bCs/>
          <w:szCs w:val="24"/>
        </w:rPr>
        <w:tab/>
        <w:t>:</w:t>
      </w:r>
      <w:r w:rsidRPr="001D053B">
        <w:rPr>
          <w:rFonts w:cs="Times New Roman"/>
          <w:bCs/>
          <w:szCs w:val="24"/>
        </w:rPr>
        <w:tab/>
      </w:r>
      <w:r w:rsidRPr="001D053B">
        <w:rPr>
          <w:rFonts w:cs="Times New Roman"/>
          <w:bCs/>
          <w:szCs w:val="24"/>
        </w:rPr>
        <w:tab/>
        <w:t>R-2022-3035730</w:t>
      </w:r>
    </w:p>
    <w:p w14:paraId="46D11611"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Office of Small Business Advocate</w:t>
      </w:r>
      <w:r w:rsidRPr="001D053B">
        <w:rPr>
          <w:rFonts w:cs="Times New Roman"/>
          <w:bCs/>
          <w:szCs w:val="24"/>
        </w:rPr>
        <w:tab/>
      </w:r>
      <w:r w:rsidRPr="001D053B">
        <w:rPr>
          <w:rFonts w:cs="Times New Roman"/>
          <w:bCs/>
          <w:szCs w:val="24"/>
        </w:rPr>
        <w:tab/>
      </w:r>
      <w:r w:rsidRPr="001D053B">
        <w:rPr>
          <w:rFonts w:cs="Times New Roman"/>
          <w:bCs/>
          <w:szCs w:val="24"/>
        </w:rPr>
        <w:tab/>
        <w:t>:</w:t>
      </w:r>
      <w:r w:rsidRPr="001D053B">
        <w:rPr>
          <w:rFonts w:cs="Times New Roman"/>
          <w:bCs/>
          <w:szCs w:val="24"/>
        </w:rPr>
        <w:tab/>
      </w:r>
      <w:r w:rsidRPr="001D053B">
        <w:rPr>
          <w:rFonts w:cs="Times New Roman"/>
          <w:bCs/>
          <w:szCs w:val="24"/>
        </w:rPr>
        <w:tab/>
        <w:t>C-2022-3036655</w:t>
      </w:r>
    </w:p>
    <w:p w14:paraId="5E4874CC"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Office of Consumer Advocate</w:t>
      </w:r>
      <w:r w:rsidRPr="001D053B">
        <w:rPr>
          <w:rFonts w:cs="Times New Roman"/>
          <w:bCs/>
          <w:szCs w:val="24"/>
        </w:rPr>
        <w:tab/>
      </w:r>
      <w:r w:rsidRPr="001D053B">
        <w:rPr>
          <w:rFonts w:cs="Times New Roman"/>
          <w:bCs/>
          <w:szCs w:val="24"/>
        </w:rPr>
        <w:tab/>
      </w:r>
      <w:r w:rsidRPr="001D053B">
        <w:rPr>
          <w:rFonts w:cs="Times New Roman"/>
          <w:bCs/>
          <w:szCs w:val="24"/>
        </w:rPr>
        <w:tab/>
        <w:t xml:space="preserve">: </w:t>
      </w:r>
      <w:r w:rsidRPr="001D053B">
        <w:rPr>
          <w:rFonts w:cs="Times New Roman"/>
          <w:bCs/>
          <w:szCs w:val="24"/>
        </w:rPr>
        <w:tab/>
      </w:r>
      <w:r w:rsidRPr="001D053B">
        <w:rPr>
          <w:rFonts w:cs="Times New Roman"/>
          <w:bCs/>
          <w:szCs w:val="24"/>
        </w:rPr>
        <w:tab/>
        <w:t>C-2022-3036725</w:t>
      </w:r>
    </w:p>
    <w:p w14:paraId="1CB5A229"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7F1AAF85"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3DCC7D19"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v.</w:t>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68E8049E"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280607C1" w14:textId="77777777"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r>
      <w:r w:rsidRPr="001D053B">
        <w:rPr>
          <w:rFonts w:cs="Times New Roman"/>
          <w:bCs/>
          <w:szCs w:val="24"/>
        </w:rPr>
        <w:tab/>
        <w:t>:</w:t>
      </w:r>
    </w:p>
    <w:p w14:paraId="0A642F3D" w14:textId="1534495E" w:rsidR="00655FAF" w:rsidRPr="001D053B" w:rsidRDefault="00655FAF" w:rsidP="00655FAF">
      <w:pPr>
        <w:tabs>
          <w:tab w:val="left" w:pos="0"/>
        </w:tabs>
        <w:spacing w:after="0" w:line="240" w:lineRule="auto"/>
        <w:jc w:val="both"/>
        <w:rPr>
          <w:rFonts w:cs="Times New Roman"/>
          <w:bCs/>
          <w:szCs w:val="24"/>
        </w:rPr>
      </w:pPr>
      <w:r w:rsidRPr="001D053B">
        <w:rPr>
          <w:rFonts w:cs="Times New Roman"/>
          <w:bCs/>
          <w:szCs w:val="24"/>
        </w:rPr>
        <w:t>National Fuel Gas Distribution Corporation</w:t>
      </w:r>
      <w:r w:rsidRPr="001D053B">
        <w:rPr>
          <w:rFonts w:cs="Times New Roman"/>
          <w:bCs/>
          <w:szCs w:val="24"/>
        </w:rPr>
        <w:tab/>
      </w:r>
      <w:r>
        <w:rPr>
          <w:rFonts w:cs="Times New Roman"/>
          <w:bCs/>
          <w:szCs w:val="24"/>
        </w:rPr>
        <w:tab/>
      </w:r>
      <w:r w:rsidRPr="001D053B">
        <w:rPr>
          <w:rFonts w:cs="Times New Roman"/>
          <w:bCs/>
          <w:szCs w:val="24"/>
        </w:rPr>
        <w:t>:</w:t>
      </w:r>
    </w:p>
    <w:p w14:paraId="4074EC82" w14:textId="77777777" w:rsidR="00655FAF" w:rsidRPr="001D053B" w:rsidRDefault="00655FAF" w:rsidP="00655FAF">
      <w:pPr>
        <w:tabs>
          <w:tab w:val="left" w:pos="0"/>
        </w:tabs>
        <w:spacing w:after="0" w:line="240" w:lineRule="auto"/>
        <w:jc w:val="both"/>
        <w:rPr>
          <w:rFonts w:cs="Times New Roman"/>
          <w:bCs/>
          <w:szCs w:val="24"/>
        </w:rPr>
      </w:pPr>
    </w:p>
    <w:p w14:paraId="60A21DA7" w14:textId="77777777" w:rsidR="00655FAF" w:rsidRPr="001D053B" w:rsidRDefault="00655FAF" w:rsidP="00655FAF">
      <w:pPr>
        <w:tabs>
          <w:tab w:val="left" w:pos="0"/>
        </w:tabs>
        <w:spacing w:after="0" w:line="240" w:lineRule="auto"/>
        <w:jc w:val="both"/>
        <w:rPr>
          <w:rFonts w:cs="Times New Roman"/>
          <w:bCs/>
          <w:szCs w:val="24"/>
        </w:rPr>
      </w:pPr>
    </w:p>
    <w:p w14:paraId="4658751F" w14:textId="77777777" w:rsidR="00655FAF" w:rsidRPr="001D053B" w:rsidRDefault="00655FAF" w:rsidP="00655FAF">
      <w:pPr>
        <w:tabs>
          <w:tab w:val="left" w:pos="0"/>
          <w:tab w:val="left" w:pos="720"/>
          <w:tab w:val="left" w:pos="5040"/>
        </w:tabs>
        <w:spacing w:after="0" w:line="240" w:lineRule="auto"/>
        <w:jc w:val="both"/>
        <w:rPr>
          <w:rFonts w:cs="Times New Roman"/>
          <w:bCs/>
          <w:szCs w:val="24"/>
        </w:rPr>
      </w:pPr>
    </w:p>
    <w:p w14:paraId="4A91FDDA" w14:textId="5CA12CCC" w:rsidR="00655FAF" w:rsidRPr="00655FAF" w:rsidRDefault="00655FAF" w:rsidP="00655FAF">
      <w:pPr>
        <w:tabs>
          <w:tab w:val="left" w:pos="0"/>
          <w:tab w:val="left" w:pos="720"/>
          <w:tab w:val="left" w:pos="5040"/>
        </w:tabs>
        <w:spacing w:after="0" w:line="240" w:lineRule="auto"/>
        <w:jc w:val="center"/>
        <w:rPr>
          <w:rFonts w:cs="Times New Roman"/>
          <w:b/>
          <w:bCs/>
          <w:szCs w:val="24"/>
        </w:rPr>
      </w:pPr>
      <w:r w:rsidRPr="00655FAF">
        <w:rPr>
          <w:rFonts w:cs="Times New Roman"/>
          <w:b/>
          <w:bCs/>
          <w:szCs w:val="24"/>
        </w:rPr>
        <w:t>INTERIM ORDER</w:t>
      </w:r>
    </w:p>
    <w:p w14:paraId="74C08962" w14:textId="083EDBD1" w:rsidR="00234A6D" w:rsidRDefault="00655FAF" w:rsidP="00655FAF">
      <w:pPr>
        <w:tabs>
          <w:tab w:val="left" w:pos="0"/>
          <w:tab w:val="left" w:pos="720"/>
          <w:tab w:val="left" w:pos="5040"/>
        </w:tabs>
        <w:spacing w:after="0" w:line="240" w:lineRule="auto"/>
        <w:jc w:val="center"/>
        <w:rPr>
          <w:rFonts w:cs="Times New Roman"/>
          <w:b/>
          <w:bCs/>
          <w:szCs w:val="24"/>
        </w:rPr>
      </w:pPr>
      <w:r w:rsidRPr="004379A0">
        <w:rPr>
          <w:rFonts w:cs="Times New Roman"/>
          <w:b/>
          <w:bCs/>
          <w:szCs w:val="24"/>
        </w:rPr>
        <w:t xml:space="preserve">SUSPENDING BRIEFING SCHEDULE </w:t>
      </w:r>
      <w:r w:rsidR="00430D7C">
        <w:rPr>
          <w:rFonts w:cs="Times New Roman"/>
          <w:b/>
          <w:bCs/>
          <w:szCs w:val="24"/>
        </w:rPr>
        <w:t>AND</w:t>
      </w:r>
      <w:r w:rsidRPr="004379A0">
        <w:rPr>
          <w:rFonts w:cs="Times New Roman"/>
          <w:b/>
          <w:bCs/>
          <w:szCs w:val="24"/>
        </w:rPr>
        <w:t xml:space="preserve"> </w:t>
      </w:r>
    </w:p>
    <w:p w14:paraId="2E407390" w14:textId="270137A5" w:rsidR="00655FAF" w:rsidRPr="00234A6D" w:rsidRDefault="002135AD" w:rsidP="00655FAF">
      <w:pPr>
        <w:tabs>
          <w:tab w:val="left" w:pos="0"/>
          <w:tab w:val="left" w:pos="720"/>
          <w:tab w:val="left" w:pos="5040"/>
        </w:tabs>
        <w:spacing w:after="0" w:line="240" w:lineRule="auto"/>
        <w:jc w:val="center"/>
        <w:rPr>
          <w:rFonts w:eastAsia="Calibri" w:cs="Times New Roman"/>
          <w:szCs w:val="24"/>
          <w:u w:val="single"/>
        </w:rPr>
      </w:pPr>
      <w:r w:rsidRPr="00234A6D">
        <w:rPr>
          <w:rFonts w:cs="Times New Roman"/>
          <w:b/>
          <w:bCs/>
          <w:szCs w:val="24"/>
          <w:u w:val="single"/>
        </w:rPr>
        <w:t xml:space="preserve">SETTING PROCEDURE FOR </w:t>
      </w:r>
      <w:r w:rsidR="004379A0" w:rsidRPr="00234A6D">
        <w:rPr>
          <w:rFonts w:cs="Times New Roman"/>
          <w:b/>
          <w:bCs/>
          <w:szCs w:val="24"/>
          <w:u w:val="single"/>
        </w:rPr>
        <w:t>SETTLEMENT</w:t>
      </w:r>
    </w:p>
    <w:p w14:paraId="5DC47AFF" w14:textId="77777777" w:rsidR="00655FAF" w:rsidRPr="00FC2C48" w:rsidRDefault="00655FAF" w:rsidP="00FA4495">
      <w:pPr>
        <w:tabs>
          <w:tab w:val="left" w:pos="0"/>
          <w:tab w:val="left" w:pos="720"/>
          <w:tab w:val="left" w:pos="5040"/>
        </w:tabs>
        <w:spacing w:after="0"/>
        <w:rPr>
          <w:rFonts w:eastAsia="Calibri" w:cs="Times New Roman"/>
          <w:szCs w:val="24"/>
        </w:rPr>
      </w:pPr>
    </w:p>
    <w:p w14:paraId="59B50626" w14:textId="4B630CC3" w:rsidR="00655FAF" w:rsidRDefault="00655FAF" w:rsidP="00FA4495">
      <w:pPr>
        <w:spacing w:after="0"/>
      </w:pPr>
      <w:r>
        <w:rPr>
          <w:rFonts w:cs="Times New Roman"/>
          <w:szCs w:val="24"/>
        </w:rPr>
        <w:tab/>
      </w:r>
      <w:r>
        <w:rPr>
          <w:rFonts w:cs="Times New Roman"/>
          <w:szCs w:val="24"/>
        </w:rPr>
        <w:tab/>
        <w:t>O</w:t>
      </w:r>
      <w:r w:rsidRPr="00262757">
        <w:rPr>
          <w:rFonts w:cs="Times New Roman"/>
          <w:szCs w:val="24"/>
        </w:rPr>
        <w:t>n October 28, 2022, National Fuel filed Supplement No. 248 to National Fuel Gas Distribution Corporation Gas Tariff – PA P.U.C. No. 9 with the Pennsylvania Public Utility Commission</w:t>
      </w:r>
      <w:r>
        <w:rPr>
          <w:rFonts w:cs="Times New Roman"/>
          <w:szCs w:val="24"/>
        </w:rPr>
        <w:t xml:space="preserve">. </w:t>
      </w:r>
      <w:r w:rsidRPr="00262757">
        <w:rPr>
          <w:rFonts w:cs="Times New Roman"/>
          <w:szCs w:val="24"/>
        </w:rPr>
        <w:t xml:space="preserve"> Supplement No. 248 was issued to be effective for service rendered on or after December 27, 2022.  It proposed changes to National Fuel’s base retail distribution rates designed to produce an increase in revenues of approximately $28.1 million</w:t>
      </w:r>
      <w:r>
        <w:rPr>
          <w:rFonts w:cs="Times New Roman"/>
          <w:szCs w:val="24"/>
        </w:rPr>
        <w:t xml:space="preserve"> (9.2%).  NFG also proposed an </w:t>
      </w:r>
      <w:r w:rsidRPr="00262757">
        <w:rPr>
          <w:rFonts w:cs="Times New Roman"/>
          <w:szCs w:val="24"/>
        </w:rPr>
        <w:t>Energy Efficiency (EE) pilot program that would recover an additional $1.2 million from residential customers annually in a separate rider, based upon data for a fully projected future test year ending July 31, 2024</w:t>
      </w:r>
      <w:r>
        <w:rPr>
          <w:rFonts w:cs="Times New Roman"/>
          <w:szCs w:val="24"/>
        </w:rPr>
        <w:t xml:space="preserve">. </w:t>
      </w:r>
      <w:r w:rsidRPr="00262757">
        <w:rPr>
          <w:rFonts w:cs="Times New Roman"/>
          <w:szCs w:val="24"/>
        </w:rPr>
        <w:t xml:space="preserve"> </w:t>
      </w:r>
      <w:r w:rsidR="00386A67">
        <w:t>National Fuel’s</w:t>
      </w:r>
      <w:r>
        <w:t xml:space="preserve"> proposals would result in the total bill for a residential customer, using 84 ccf per month, increasing from $99.93 to $109.67 per month or about 9.7%.  The </w:t>
      </w:r>
      <w:r w:rsidR="00386A67">
        <w:t xml:space="preserve">statutory advocates, </w:t>
      </w:r>
      <w:r>
        <w:t>Bureau of Investigation and Enforcement (BIE), the Office of Consumer Advocate (OCA) and the Office of Small Business Advocate (OSBA)</w:t>
      </w:r>
      <w:r w:rsidR="00232764">
        <w:t>,</w:t>
      </w:r>
      <w:r>
        <w:t xml:space="preserve"> joined as parties.  </w:t>
      </w:r>
      <w:r w:rsidRPr="00655FAF">
        <w:t>The Coalition for Affordable Utility Service and Energy Efficiency in Pennsylvania (CAUSE-PA) and the Pennsylvania Weatherization Providers Task Force</w:t>
      </w:r>
      <w:r>
        <w:t xml:space="preserve"> intervened as parties.</w:t>
      </w:r>
    </w:p>
    <w:p w14:paraId="13837D5E" w14:textId="77777777" w:rsidR="00FA4495" w:rsidRDefault="00FA4495" w:rsidP="00FA4495">
      <w:pPr>
        <w:spacing w:after="0"/>
      </w:pPr>
    </w:p>
    <w:p w14:paraId="33257FA7" w14:textId="31ED6A1C" w:rsidR="004E56C1" w:rsidRDefault="00655FAF" w:rsidP="00FA4495">
      <w:pPr>
        <w:spacing w:after="0"/>
      </w:pPr>
      <w:r>
        <w:tab/>
      </w:r>
      <w:r>
        <w:tab/>
        <w:t xml:space="preserve">Following the service of written direct, </w:t>
      </w:r>
      <w:r w:rsidR="004E4BA7">
        <w:t>rebuttal</w:t>
      </w:r>
      <w:r>
        <w:t xml:space="preserve">, surrebuttal and </w:t>
      </w:r>
      <w:r w:rsidR="009809EA">
        <w:t xml:space="preserve">rejoinder </w:t>
      </w:r>
      <w:r>
        <w:t xml:space="preserve">testimony, an evidentiary hearing was held on March 8, 2023.  The parties were directed to file main briefs on March 30, </w:t>
      </w:r>
      <w:r w:rsidR="00FA4495">
        <w:t>2023,</w:t>
      </w:r>
      <w:r>
        <w:t xml:space="preserve"> and reply briefs on April 13, 2023. </w:t>
      </w:r>
      <w:r w:rsidR="00543768">
        <w:t xml:space="preserve"> By email on March 20, </w:t>
      </w:r>
      <w:r w:rsidR="00543768">
        <w:lastRenderedPageBreak/>
        <w:t>2023, the parties</w:t>
      </w:r>
      <w:r w:rsidR="00234A6D">
        <w:t xml:space="preserve"> reported that they had reached a settlement in principle on</w:t>
      </w:r>
      <w:r w:rsidR="004E56C1">
        <w:t xml:space="preserve"> all issues and requested that I suspend the briefing schedule.</w:t>
      </w:r>
    </w:p>
    <w:p w14:paraId="16785315" w14:textId="21181C34" w:rsidR="00FA4495" w:rsidRDefault="00FA4495" w:rsidP="00FA4495">
      <w:pPr>
        <w:spacing w:after="0"/>
      </w:pPr>
    </w:p>
    <w:p w14:paraId="34FECCFC" w14:textId="77777777" w:rsidR="00FA4495" w:rsidRDefault="00FA4495" w:rsidP="00FA4495">
      <w:pPr>
        <w:spacing w:after="0"/>
      </w:pPr>
    </w:p>
    <w:p w14:paraId="391487A9" w14:textId="2E0AAE13" w:rsidR="004E56C1" w:rsidRDefault="009F5D35" w:rsidP="00FA4495">
      <w:pPr>
        <w:spacing w:after="0"/>
      </w:pPr>
      <w:r>
        <w:tab/>
      </w:r>
      <w:r>
        <w:tab/>
      </w:r>
      <w:r w:rsidR="004E56C1">
        <w:t>THEREFORE,</w:t>
      </w:r>
    </w:p>
    <w:p w14:paraId="6AC4D02A" w14:textId="77777777" w:rsidR="00FA4495" w:rsidRDefault="00FA4495" w:rsidP="00FA4495">
      <w:pPr>
        <w:spacing w:after="0"/>
      </w:pPr>
    </w:p>
    <w:p w14:paraId="136DFFC4" w14:textId="1B72BD1E" w:rsidR="004E56C1" w:rsidRDefault="009F5D35" w:rsidP="00FA4495">
      <w:pPr>
        <w:spacing w:after="0"/>
      </w:pPr>
      <w:r>
        <w:tab/>
      </w:r>
      <w:r>
        <w:tab/>
      </w:r>
      <w:r w:rsidR="004E56C1">
        <w:t>IT IS ORDERED:</w:t>
      </w:r>
    </w:p>
    <w:p w14:paraId="1BCDE412" w14:textId="77777777" w:rsidR="00FA4495" w:rsidRDefault="00FA4495" w:rsidP="00FA4495">
      <w:pPr>
        <w:spacing w:after="0"/>
      </w:pPr>
    </w:p>
    <w:p w14:paraId="68BD1438" w14:textId="668338A1" w:rsidR="00F71BF9" w:rsidRDefault="004E56C1" w:rsidP="00FA4495">
      <w:pPr>
        <w:spacing w:after="0"/>
      </w:pPr>
      <w:r>
        <w:tab/>
      </w:r>
      <w:r w:rsidR="00902F45">
        <w:tab/>
      </w:r>
      <w:r>
        <w:t>1.</w:t>
      </w:r>
      <w:r>
        <w:tab/>
        <w:t xml:space="preserve">That the briefing scheduled set forth in the </w:t>
      </w:r>
      <w:r w:rsidR="00F71BF9">
        <w:t xml:space="preserve">December 19, </w:t>
      </w:r>
      <w:r w:rsidR="006360C6">
        <w:t>2022,</w:t>
      </w:r>
      <w:r w:rsidR="00F71BF9">
        <w:t xml:space="preserve"> Prehearing Order is suspended.</w:t>
      </w:r>
    </w:p>
    <w:p w14:paraId="29F3A691" w14:textId="77777777" w:rsidR="00FA4495" w:rsidRDefault="00FA4495" w:rsidP="00FA4495">
      <w:pPr>
        <w:spacing w:after="0"/>
      </w:pPr>
    </w:p>
    <w:p w14:paraId="3C309C64" w14:textId="0349DC00" w:rsidR="00F71BF9" w:rsidRDefault="00F71BF9" w:rsidP="00FA4495">
      <w:pPr>
        <w:spacing w:after="0"/>
      </w:pPr>
      <w:r>
        <w:tab/>
      </w:r>
      <w:r w:rsidR="00902F45">
        <w:tab/>
      </w:r>
      <w:r>
        <w:t>2.</w:t>
      </w:r>
      <w:r>
        <w:tab/>
        <w:t xml:space="preserve">That on or before </w:t>
      </w:r>
      <w:r w:rsidRPr="009F5D35">
        <w:rPr>
          <w:b/>
          <w:bCs/>
        </w:rPr>
        <w:t>April 13, 2023</w:t>
      </w:r>
      <w:r>
        <w:t>, the parties shall file a joint petition for settlement and statements in support.</w:t>
      </w:r>
    </w:p>
    <w:p w14:paraId="43899EE0" w14:textId="77777777" w:rsidR="00FA4495" w:rsidRDefault="00FA4495" w:rsidP="00FA4495">
      <w:pPr>
        <w:spacing w:after="0"/>
      </w:pPr>
    </w:p>
    <w:p w14:paraId="2D00B19D" w14:textId="11A0DE08" w:rsidR="00F71BF9" w:rsidRDefault="00F71BF9" w:rsidP="00FA4495">
      <w:pPr>
        <w:spacing w:after="0"/>
      </w:pPr>
      <w:r>
        <w:tab/>
      </w:r>
      <w:r w:rsidR="00902F45">
        <w:tab/>
      </w:r>
      <w:r>
        <w:t>3.</w:t>
      </w:r>
      <w:r>
        <w:tab/>
        <w:t>That the joint petition for settlement shall include the following:</w:t>
      </w:r>
    </w:p>
    <w:p w14:paraId="63729D8A" w14:textId="77777777" w:rsidR="00FA4495" w:rsidRDefault="00FA4495" w:rsidP="00FA4495">
      <w:pPr>
        <w:spacing w:after="0"/>
      </w:pPr>
    </w:p>
    <w:p w14:paraId="3A928AB2" w14:textId="51F81B80" w:rsidR="00E0219B" w:rsidRDefault="00F71BF9" w:rsidP="00FA4495">
      <w:pPr>
        <w:spacing w:after="0" w:line="240" w:lineRule="auto"/>
        <w:ind w:left="1440"/>
      </w:pPr>
      <w:r>
        <w:t>a.</w:t>
      </w:r>
      <w:r>
        <w:tab/>
      </w:r>
      <w:r w:rsidR="00E0219B">
        <w:t>A stipulation of any facts that are necessary to support the terms of the settlement.</w:t>
      </w:r>
    </w:p>
    <w:p w14:paraId="3643DE88" w14:textId="77777777" w:rsidR="00FA4495" w:rsidRDefault="00FA4495" w:rsidP="00FA4495">
      <w:pPr>
        <w:spacing w:after="0" w:line="240" w:lineRule="auto"/>
        <w:ind w:left="1440"/>
      </w:pPr>
    </w:p>
    <w:p w14:paraId="54F4B053" w14:textId="64BCE9DC" w:rsidR="000B6EAB" w:rsidRDefault="000B6EAB" w:rsidP="00FA4495">
      <w:pPr>
        <w:spacing w:after="0" w:line="240" w:lineRule="auto"/>
        <w:ind w:left="1440"/>
      </w:pPr>
      <w:r>
        <w:t>b.</w:t>
      </w:r>
      <w:r>
        <w:tab/>
      </w:r>
      <w:r w:rsidR="00F959BF">
        <w:t>Proposed conclusions of law and ordering paragraphs.</w:t>
      </w:r>
    </w:p>
    <w:p w14:paraId="3E6490B0" w14:textId="77777777" w:rsidR="00FA4495" w:rsidRDefault="00FA4495" w:rsidP="00FA4495">
      <w:pPr>
        <w:spacing w:after="0" w:line="240" w:lineRule="auto"/>
        <w:ind w:left="1440"/>
      </w:pPr>
    </w:p>
    <w:p w14:paraId="621EC516" w14:textId="53205B3E" w:rsidR="00B53D50" w:rsidRDefault="00F959BF" w:rsidP="00FA4495">
      <w:pPr>
        <w:spacing w:after="0" w:line="240" w:lineRule="auto"/>
        <w:ind w:left="1440"/>
      </w:pPr>
      <w:r>
        <w:t>c</w:t>
      </w:r>
      <w:r w:rsidR="00E0219B">
        <w:t>.</w:t>
      </w:r>
      <w:r w:rsidR="00E0219B">
        <w:tab/>
      </w:r>
      <w:r w:rsidR="00B53D50">
        <w:t>An appendix table which sets for</w:t>
      </w:r>
      <w:r w:rsidR="00430D7C">
        <w:t>th</w:t>
      </w:r>
      <w:r w:rsidR="00B53D50">
        <w:t xml:space="preserve"> the following information:  the current rates for each customer class, the rate increase proposed in the initial filing for each customer class and the rates proposed for each customer class in the petition for settlement.  </w:t>
      </w:r>
      <w:proofErr w:type="gramStart"/>
      <w:r w:rsidR="00B53D50">
        <w:t>All of</w:t>
      </w:r>
      <w:proofErr w:type="gramEnd"/>
      <w:r w:rsidR="00B53D50">
        <w:t xml:space="preserve"> these costs and comparisons shall be stated in dollar/cents amounts and in percentages.  </w:t>
      </w:r>
      <w:r w:rsidR="003E17D7">
        <w:t xml:space="preserve">Your presentation must be </w:t>
      </w:r>
      <w:r w:rsidR="00B53D50">
        <w:t xml:space="preserve">very </w:t>
      </w:r>
      <w:r w:rsidR="003E17D7">
        <w:t>clear</w:t>
      </w:r>
      <w:r w:rsidR="00B53D50">
        <w:t xml:space="preserve"> whether the rates as presented include or exclude supply charges</w:t>
      </w:r>
      <w:r w:rsidR="00FA4F16">
        <w:t xml:space="preserve"> or are solely distribution charges</w:t>
      </w:r>
      <w:r w:rsidR="00B53D50">
        <w:t>. </w:t>
      </w:r>
      <w:r w:rsidR="00322CC8">
        <w:t xml:space="preserve"> </w:t>
      </w:r>
      <w:r w:rsidR="00F36158">
        <w:t>Current, proposed and settlement rates must be</w:t>
      </w:r>
      <w:r w:rsidR="00322CC8">
        <w:t xml:space="preserve"> presented consistently</w:t>
      </w:r>
      <w:r w:rsidR="00FF16CA">
        <w:t xml:space="preserve"> for all rate classes.</w:t>
      </w:r>
      <w:r w:rsidR="00B53D50">
        <w:t xml:space="preserve"> </w:t>
      </w:r>
      <w:r w:rsidR="006360C6">
        <w:t xml:space="preserve"> </w:t>
      </w:r>
      <w:r w:rsidR="00B53D50">
        <w:t>The effect of the riders and adjustment charges should be set out separately.</w:t>
      </w:r>
    </w:p>
    <w:p w14:paraId="4883D8C8" w14:textId="77777777" w:rsidR="00FA4495" w:rsidRDefault="00FA4495" w:rsidP="00FA4495">
      <w:pPr>
        <w:spacing w:after="0"/>
      </w:pPr>
    </w:p>
    <w:p w14:paraId="73F55202" w14:textId="75DBCF17" w:rsidR="000B6EAB" w:rsidRDefault="006450DC" w:rsidP="00FA4495">
      <w:pPr>
        <w:spacing w:after="0"/>
      </w:pPr>
      <w:r>
        <w:tab/>
      </w:r>
      <w:r w:rsidR="00902F45">
        <w:tab/>
      </w:r>
      <w:r>
        <w:t>4.</w:t>
      </w:r>
      <w:r>
        <w:tab/>
      </w:r>
      <w:r w:rsidR="00CE4949" w:rsidRPr="00CE4949">
        <w:rPr>
          <w:bCs/>
        </w:rPr>
        <w:t xml:space="preserve">Statements in Support should be specific about how the settlement benefits your client, particularly as it relates to any elements of the rate calculation that are in a black box.  </w:t>
      </w:r>
      <w:r w:rsidR="000B6EAB" w:rsidRPr="00CE4949">
        <w:rPr>
          <w:bCs/>
        </w:rPr>
        <w:t xml:space="preserve">It is recommended that the parties address the testimony from the </w:t>
      </w:r>
      <w:r w:rsidR="000B6EAB">
        <w:rPr>
          <w:bCs/>
        </w:rPr>
        <w:t xml:space="preserve">January 19, </w:t>
      </w:r>
      <w:r w:rsidR="006360C6">
        <w:rPr>
          <w:bCs/>
        </w:rPr>
        <w:t>2023,</w:t>
      </w:r>
      <w:r w:rsidR="000B6EAB">
        <w:rPr>
          <w:bCs/>
        </w:rPr>
        <w:t xml:space="preserve"> </w:t>
      </w:r>
      <w:r w:rsidR="000B6EAB" w:rsidRPr="00CE4949">
        <w:rPr>
          <w:bCs/>
        </w:rPr>
        <w:t>public input hearings.</w:t>
      </w:r>
      <w:r w:rsidR="000B6EAB">
        <w:t xml:space="preserve"> </w:t>
      </w:r>
    </w:p>
    <w:p w14:paraId="1BFB5B6B" w14:textId="15D170F7" w:rsidR="00A94110" w:rsidRDefault="00BF39F3" w:rsidP="00FA4495">
      <w:pPr>
        <w:spacing w:after="0" w:line="240" w:lineRule="auto"/>
        <w:ind w:left="2160" w:hanging="720"/>
        <w:rPr>
          <w:bCs/>
        </w:rPr>
      </w:pPr>
      <w:r>
        <w:rPr>
          <w:bCs/>
        </w:rPr>
        <w:lastRenderedPageBreak/>
        <w:t>a.</w:t>
      </w:r>
      <w:r>
        <w:rPr>
          <w:bCs/>
        </w:rPr>
        <w:tab/>
      </w:r>
      <w:r w:rsidR="00CE4949" w:rsidRPr="00CE4949">
        <w:rPr>
          <w:bCs/>
        </w:rPr>
        <w:t xml:space="preserve">Boilerplate language regarding the general utility of settlements is not a substitute for an explanation a party’s support for the settlement.  </w:t>
      </w:r>
    </w:p>
    <w:p w14:paraId="1EE764BC" w14:textId="77777777" w:rsidR="00FA4495" w:rsidRDefault="00FA4495" w:rsidP="00FA4495">
      <w:pPr>
        <w:spacing w:after="0" w:line="240" w:lineRule="auto"/>
        <w:ind w:left="2160" w:hanging="720"/>
      </w:pPr>
    </w:p>
    <w:p w14:paraId="3D6EDAE2" w14:textId="6C32D245" w:rsidR="00370044" w:rsidRDefault="000B6EAB" w:rsidP="00FA4495">
      <w:pPr>
        <w:spacing w:after="0" w:line="240" w:lineRule="auto"/>
        <w:ind w:left="2160" w:hanging="720"/>
        <w:rPr>
          <w:bCs/>
        </w:rPr>
      </w:pPr>
      <w:r>
        <w:t>b</w:t>
      </w:r>
      <w:r w:rsidR="00A94110">
        <w:t>.</w:t>
      </w:r>
      <w:r w:rsidR="00A94110">
        <w:tab/>
      </w:r>
      <w:r w:rsidR="00891B31">
        <w:t xml:space="preserve">Statements in support shall utilize </w:t>
      </w:r>
      <w:r w:rsidR="00A455D5">
        <w:t>a</w:t>
      </w:r>
      <w:r w:rsidR="00891B31">
        <w:t xml:space="preserve"> common outline</w:t>
      </w:r>
      <w:r w:rsidR="00CF1A97">
        <w:t xml:space="preserve">, including headings and subheadings.  </w:t>
      </w:r>
      <w:r w:rsidR="00370044" w:rsidRPr="00370044">
        <w:rPr>
          <w:bCs/>
        </w:rPr>
        <w:t xml:space="preserve">Every party need not address every </w:t>
      </w:r>
      <w:r w:rsidR="006360C6" w:rsidRPr="00370044">
        <w:rPr>
          <w:bCs/>
        </w:rPr>
        <w:t>issue but</w:t>
      </w:r>
      <w:r w:rsidR="00370044" w:rsidRPr="00370044">
        <w:rPr>
          <w:bCs/>
        </w:rPr>
        <w:t xml:space="preserve"> should use the same headings.</w:t>
      </w:r>
    </w:p>
    <w:p w14:paraId="432E1018" w14:textId="77777777" w:rsidR="00FA4495" w:rsidRDefault="00FA4495" w:rsidP="00FA4495">
      <w:pPr>
        <w:spacing w:after="0" w:line="240" w:lineRule="auto"/>
        <w:ind w:left="2160" w:hanging="720"/>
        <w:rPr>
          <w:bCs/>
        </w:rPr>
      </w:pPr>
    </w:p>
    <w:p w14:paraId="1D9861A9" w14:textId="600F067D" w:rsidR="00A94110" w:rsidRDefault="000B6EAB" w:rsidP="00FA4495">
      <w:pPr>
        <w:spacing w:after="0" w:line="240" w:lineRule="auto"/>
        <w:ind w:left="2160" w:hanging="720"/>
        <w:rPr>
          <w:bCs/>
        </w:rPr>
      </w:pPr>
      <w:r>
        <w:rPr>
          <w:bCs/>
        </w:rPr>
        <w:t>c</w:t>
      </w:r>
      <w:r w:rsidR="00A94110">
        <w:rPr>
          <w:bCs/>
        </w:rPr>
        <w:t>.</w:t>
      </w:r>
      <w:r w:rsidR="00A94110">
        <w:rPr>
          <w:bCs/>
        </w:rPr>
        <w:tab/>
        <w:t xml:space="preserve">Statements in support which fail to conform with </w:t>
      </w:r>
      <w:r w:rsidR="009F5D35">
        <w:rPr>
          <w:bCs/>
        </w:rPr>
        <w:t>these instructions will be disregarded.</w:t>
      </w:r>
    </w:p>
    <w:p w14:paraId="42750035" w14:textId="77777777" w:rsidR="00FA4495" w:rsidRPr="00370044" w:rsidRDefault="00FA4495" w:rsidP="00FA4495">
      <w:pPr>
        <w:spacing w:after="0"/>
      </w:pPr>
    </w:p>
    <w:p w14:paraId="5F414996" w14:textId="1D95BD4F" w:rsidR="00A513C6" w:rsidRDefault="00A513C6" w:rsidP="00FA4495">
      <w:pPr>
        <w:spacing w:after="0"/>
      </w:pPr>
      <w:r>
        <w:tab/>
      </w:r>
      <w:r w:rsidR="00501B97">
        <w:tab/>
        <w:t>5</w:t>
      </w:r>
      <w:r>
        <w:t>.</w:t>
      </w:r>
      <w:r>
        <w:tab/>
        <w:t>That National Fuel shall serve a copy of the settlement along with statements in support</w:t>
      </w:r>
      <w:r w:rsidR="003E6984">
        <w:t xml:space="preserve"> on each consumer complainant.</w:t>
      </w:r>
    </w:p>
    <w:p w14:paraId="148C4131" w14:textId="77777777" w:rsidR="00FA4495" w:rsidRDefault="00FA4495" w:rsidP="00FA4495">
      <w:pPr>
        <w:spacing w:after="0"/>
      </w:pPr>
    </w:p>
    <w:p w14:paraId="32FA11F7" w14:textId="63AD9ED5" w:rsidR="00501B97" w:rsidRDefault="00E36F3E" w:rsidP="00FA4495">
      <w:pPr>
        <w:spacing w:after="0"/>
        <w:ind w:firstLine="720"/>
      </w:pPr>
      <w:r>
        <w:tab/>
      </w:r>
      <w:r w:rsidR="00501B97">
        <w:t>6</w:t>
      </w:r>
      <w:r>
        <w:t>.</w:t>
      </w:r>
      <w:r>
        <w:tab/>
      </w:r>
      <w:r w:rsidR="00E02809">
        <w:t xml:space="preserve">That any party wishing to object to the proposed settlement must file their objections in writing with the Commission’s Secretary’s Bureau and provide a copy to me as well as the parties named on the enclosed service list so that they are </w:t>
      </w:r>
      <w:r w:rsidR="00E02809" w:rsidRPr="00A60DD8">
        <w:rPr>
          <w:b/>
          <w:bCs/>
        </w:rPr>
        <w:t>received</w:t>
      </w:r>
      <w:r w:rsidR="00E02809">
        <w:t xml:space="preserve"> on or before 4:00 p.m. on </w:t>
      </w:r>
      <w:r w:rsidR="00E02809" w:rsidRPr="00A60DD8">
        <w:rPr>
          <w:b/>
          <w:bCs/>
        </w:rPr>
        <w:t>Monday</w:t>
      </w:r>
      <w:r w:rsidR="00E02809">
        <w:rPr>
          <w:b/>
          <w:bCs/>
        </w:rPr>
        <w:t>,</w:t>
      </w:r>
      <w:r w:rsidR="00E02809" w:rsidRPr="00A60DD8">
        <w:rPr>
          <w:b/>
          <w:bCs/>
        </w:rPr>
        <w:t xml:space="preserve"> </w:t>
      </w:r>
      <w:r w:rsidR="00E02809">
        <w:rPr>
          <w:b/>
          <w:bCs/>
        </w:rPr>
        <w:t>April 24, 2023</w:t>
      </w:r>
      <w:r w:rsidR="00E02809">
        <w:t xml:space="preserve">.  Service on me and the other parties to this proceeding may be by email.  </w:t>
      </w:r>
      <w:r w:rsidR="00E02809" w:rsidRPr="00A60DD8">
        <w:t>Late-filed objections will not be considered in the decision of this case.</w:t>
      </w:r>
    </w:p>
    <w:p w14:paraId="16B34DC3" w14:textId="77777777" w:rsidR="00FA4495" w:rsidRDefault="00FA4495" w:rsidP="006360C6">
      <w:pPr>
        <w:spacing w:after="0"/>
      </w:pPr>
    </w:p>
    <w:p w14:paraId="24E3FE2D" w14:textId="7928A4D3" w:rsidR="00792796" w:rsidRDefault="00501B97" w:rsidP="00FA4495">
      <w:pPr>
        <w:spacing w:after="0"/>
        <w:rPr>
          <w:rFonts w:cs="Times New Roman"/>
          <w:szCs w:val="24"/>
        </w:rPr>
      </w:pPr>
      <w:r>
        <w:tab/>
      </w:r>
      <w:r w:rsidR="006360C6">
        <w:tab/>
      </w:r>
      <w:r>
        <w:t>7.</w:t>
      </w:r>
      <w:r>
        <w:tab/>
        <w:t xml:space="preserve">That unless ordered otherwise, the record shall close on </w:t>
      </w:r>
      <w:r w:rsidR="005F39EF">
        <w:t>April 25, 2023.</w:t>
      </w:r>
    </w:p>
    <w:p w14:paraId="7F5EF6A2" w14:textId="77777777" w:rsidR="006360C6" w:rsidRDefault="006360C6" w:rsidP="00FA4495">
      <w:pPr>
        <w:spacing w:after="0"/>
      </w:pPr>
    </w:p>
    <w:p w14:paraId="5144119D" w14:textId="1FA7F4A1" w:rsidR="00FA4495" w:rsidRDefault="00FA4495" w:rsidP="00FA4495">
      <w:pPr>
        <w:spacing w:after="0"/>
      </w:pPr>
    </w:p>
    <w:p w14:paraId="171BD238" w14:textId="59BFF47D" w:rsidR="00FA4495" w:rsidRDefault="00FA4495" w:rsidP="00FA4495">
      <w:pPr>
        <w:spacing w:after="0" w:line="240" w:lineRule="auto"/>
      </w:pPr>
      <w:r>
        <w:t xml:space="preserve">Date:  </w:t>
      </w:r>
      <w:r w:rsidRPr="00836771">
        <w:rPr>
          <w:u w:val="single"/>
        </w:rPr>
        <w:t xml:space="preserve">March </w:t>
      </w:r>
      <w:r>
        <w:rPr>
          <w:u w:val="single"/>
        </w:rPr>
        <w:t>20</w:t>
      </w:r>
      <w:r w:rsidRPr="00836771">
        <w:rPr>
          <w:u w:val="single"/>
        </w:rPr>
        <w:t>, 2023</w:t>
      </w:r>
      <w:r>
        <w:tab/>
      </w:r>
      <w:r>
        <w:tab/>
      </w:r>
      <w:r>
        <w:tab/>
      </w:r>
      <w:r>
        <w:tab/>
        <w:t>___________/s/___________</w:t>
      </w:r>
    </w:p>
    <w:p w14:paraId="215C68B5" w14:textId="77777777" w:rsidR="00FA4495" w:rsidRDefault="00FA4495" w:rsidP="00FA4495">
      <w:pPr>
        <w:spacing w:after="0" w:line="240" w:lineRule="auto"/>
      </w:pPr>
      <w:r>
        <w:tab/>
      </w:r>
      <w:r>
        <w:tab/>
      </w:r>
      <w:r>
        <w:tab/>
      </w:r>
      <w:r>
        <w:tab/>
      </w:r>
      <w:r>
        <w:tab/>
      </w:r>
      <w:r>
        <w:tab/>
      </w:r>
      <w:r>
        <w:tab/>
      </w:r>
      <w:r w:rsidRPr="00836771">
        <w:t xml:space="preserve">Mary D. Long </w:t>
      </w:r>
    </w:p>
    <w:p w14:paraId="71299F16" w14:textId="77777777" w:rsidR="00FA4495" w:rsidRDefault="00FA4495" w:rsidP="00FA4495">
      <w:pPr>
        <w:spacing w:after="0" w:line="240" w:lineRule="auto"/>
        <w:ind w:left="4320" w:firstLine="720"/>
      </w:pPr>
      <w:r>
        <w:t xml:space="preserve">Administrative Law Judge </w:t>
      </w:r>
    </w:p>
    <w:p w14:paraId="09609950" w14:textId="59E636DA" w:rsidR="00FA4495" w:rsidRDefault="00FA4495" w:rsidP="00FA4495">
      <w:pPr>
        <w:spacing w:after="0"/>
      </w:pPr>
    </w:p>
    <w:p w14:paraId="6FD32A26" w14:textId="1304F5A9" w:rsidR="00FA4495" w:rsidRDefault="00FA4495" w:rsidP="00FA4495">
      <w:pPr>
        <w:spacing w:after="0"/>
      </w:pPr>
    </w:p>
    <w:p w14:paraId="4050FFA1" w14:textId="77777777" w:rsidR="00FA4495" w:rsidRDefault="00FA4495" w:rsidP="00FA4495">
      <w:pPr>
        <w:spacing w:after="0"/>
      </w:pPr>
    </w:p>
    <w:p w14:paraId="4A3DDCFE" w14:textId="12AF84BD" w:rsidR="00FA4495" w:rsidRDefault="00FA4495" w:rsidP="00FA4495">
      <w:pPr>
        <w:spacing w:after="0"/>
      </w:pPr>
    </w:p>
    <w:p w14:paraId="08BE877C" w14:textId="77777777" w:rsidR="00FA4495" w:rsidRDefault="00FA4495" w:rsidP="00FA4495">
      <w:pPr>
        <w:spacing w:after="0"/>
        <w:sectPr w:rsidR="00FA4495" w:rsidSect="0077128C">
          <w:footerReference w:type="default" r:id="rId7"/>
          <w:pgSz w:w="12240" w:h="15840"/>
          <w:pgMar w:top="1440" w:right="1440" w:bottom="1440" w:left="1440" w:header="720" w:footer="720" w:gutter="0"/>
          <w:cols w:space="720"/>
          <w:titlePg/>
          <w:docGrid w:linePitch="360"/>
        </w:sectPr>
      </w:pPr>
    </w:p>
    <w:p w14:paraId="10605AA5" w14:textId="77777777" w:rsidR="00FA4495" w:rsidRPr="00FA4495" w:rsidRDefault="00FA4495" w:rsidP="00FA4495">
      <w:pPr>
        <w:spacing w:line="259" w:lineRule="auto"/>
        <w:rPr>
          <w:rFonts w:ascii="Microsoft Sans Serif" w:eastAsia="Microsoft Sans Serif" w:hAnsi="Microsoft Sans Serif" w:cs="Microsoft Sans Serif"/>
          <w:b/>
          <w:u w:val="single"/>
        </w:rPr>
        <w:sectPr w:rsidR="00FA4495" w:rsidRPr="00FA4495">
          <w:footerReference w:type="default" r:id="rId8"/>
          <w:pgSz w:w="12240" w:h="15840"/>
          <w:pgMar w:top="1440" w:right="1440" w:bottom="1440" w:left="1440" w:header="720" w:footer="720" w:gutter="0"/>
          <w:cols w:space="720"/>
          <w:docGrid w:linePitch="360"/>
        </w:sectPr>
      </w:pPr>
      <w:r w:rsidRPr="00FA4495">
        <w:rPr>
          <w:rFonts w:ascii="Microsoft Sans Serif" w:eastAsia="Microsoft Sans Serif" w:hAnsi="Microsoft Sans Serif" w:cs="Microsoft Sans Serif"/>
          <w:b/>
          <w:u w:val="single"/>
        </w:rPr>
        <w:lastRenderedPageBreak/>
        <w:t>R-2022-3035730 - PA PUBLIC UTILITY COMMISSION et al v. NATIONAL FUEL GAS DISTRIBUTION CORPORATION</w:t>
      </w:r>
      <w:r w:rsidRPr="00FA4495">
        <w:rPr>
          <w:rFonts w:ascii="Microsoft Sans Serif" w:eastAsia="Microsoft Sans Serif" w:hAnsi="Microsoft Sans Serif" w:cs="Microsoft Sans Serif"/>
          <w:b/>
          <w:u w:val="single"/>
        </w:rPr>
        <w:br/>
      </w:r>
      <w:r w:rsidRPr="00FA4495">
        <w:rPr>
          <w:rFonts w:ascii="Microsoft Sans Serif" w:eastAsia="Microsoft Sans Serif" w:hAnsi="Microsoft Sans Serif" w:cs="Microsoft Sans Serif"/>
          <w:b/>
          <w:u w:val="single"/>
        </w:rPr>
        <w:cr/>
      </w:r>
    </w:p>
    <w:p w14:paraId="5B822110" w14:textId="77777777" w:rsidR="00FA4495" w:rsidRPr="00FA4495" w:rsidRDefault="00FA4495" w:rsidP="00FA4495">
      <w:pPr>
        <w:spacing w:line="259" w:lineRule="auto"/>
        <w:rPr>
          <w:rFonts w:ascii="Microsoft Sans Serif" w:eastAsia="Microsoft Sans Serif" w:hAnsi="Microsoft Sans Serif" w:cs="Microsoft Sans Serif"/>
        </w:rPr>
      </w:pPr>
    </w:p>
    <w:p w14:paraId="2A3B5AB3" w14:textId="77777777" w:rsidR="00FA4495" w:rsidRPr="00FA4495" w:rsidRDefault="00FA4495" w:rsidP="00FA4495">
      <w:pPr>
        <w:spacing w:line="259"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ANTHONY D KANAGY ESQUIRE</w:t>
      </w:r>
      <w:r w:rsidRPr="00FA4495">
        <w:rPr>
          <w:rFonts w:ascii="Microsoft Sans Serif" w:eastAsia="Microsoft Sans Serif" w:hAnsi="Microsoft Sans Serif" w:cs="Microsoft Sans Serif"/>
        </w:rPr>
        <w:br/>
        <w:t>GARRETT P LENT ESQUIRE</w:t>
      </w:r>
      <w:r w:rsidRPr="00FA4495">
        <w:rPr>
          <w:rFonts w:ascii="Microsoft Sans Serif" w:eastAsia="Microsoft Sans Serif" w:hAnsi="Microsoft Sans Serif" w:cs="Microsoft Sans Serif"/>
        </w:rPr>
        <w:br/>
        <w:t xml:space="preserve">POST AND SCHELL </w:t>
      </w:r>
      <w:r w:rsidRPr="00FA4495">
        <w:rPr>
          <w:rFonts w:ascii="Microsoft Sans Serif" w:eastAsia="Microsoft Sans Serif" w:hAnsi="Microsoft Sans Serif" w:cs="Microsoft Sans Serif"/>
        </w:rPr>
        <w:br/>
        <w:t>17 NORTH SECOND STREET 12TH FLOOR</w:t>
      </w:r>
      <w:r w:rsidRPr="00FA4495">
        <w:rPr>
          <w:rFonts w:ascii="Microsoft Sans Serif" w:eastAsia="Microsoft Sans Serif" w:hAnsi="Microsoft Sans Serif" w:cs="Microsoft Sans Serif"/>
        </w:rPr>
        <w:cr/>
        <w:t>HARRISBURG PA  17101-1601</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b/>
          <w:bCs/>
        </w:rPr>
        <w:t>717.612.6034</w:t>
      </w:r>
      <w:r w:rsidRPr="00FA4495">
        <w:rPr>
          <w:rFonts w:ascii="Microsoft Sans Serif" w:eastAsia="Microsoft Sans Serif" w:hAnsi="Microsoft Sans Serif" w:cs="Microsoft Sans Serif"/>
          <w:b/>
          <w:bCs/>
        </w:rPr>
        <w:cr/>
        <w:t>717.612.6032</w:t>
      </w:r>
      <w:r w:rsidRPr="00FA4495">
        <w:rPr>
          <w:rFonts w:ascii="Microsoft Sans Serif" w:eastAsia="Microsoft Sans Serif" w:hAnsi="Microsoft Sans Serif" w:cs="Microsoft Sans Serif"/>
        </w:rPr>
        <w:cr/>
        <w:t>akanagy@postschell.com</w:t>
      </w:r>
      <w:r w:rsidRPr="00FA4495">
        <w:rPr>
          <w:rFonts w:ascii="Microsoft Sans Serif" w:eastAsia="Microsoft Sans Serif" w:hAnsi="Microsoft Sans Serif" w:cs="Microsoft Sans Serif"/>
        </w:rPr>
        <w:cr/>
        <w:t>glent@postschell.com</w:t>
      </w:r>
      <w:r w:rsidRPr="00FA4495">
        <w:rPr>
          <w:rFonts w:ascii="Microsoft Sans Serif" w:eastAsia="Microsoft Sans Serif" w:hAnsi="Microsoft Sans Serif" w:cs="Microsoft Sans Serif"/>
        </w:rPr>
        <w:cr/>
        <w:t>Accepts eService</w:t>
      </w:r>
      <w:r w:rsidRPr="00FA4495">
        <w:rPr>
          <w:rFonts w:ascii="Microsoft Sans Serif" w:eastAsia="Microsoft Sans Serif" w:hAnsi="Microsoft Sans Serif" w:cs="Microsoft Sans Serif"/>
        </w:rPr>
        <w:br/>
      </w:r>
      <w:r w:rsidRPr="00FA4495">
        <w:rPr>
          <w:rFonts w:ascii="Microsoft Sans Serif" w:eastAsia="Microsoft Sans Serif" w:hAnsi="Microsoft Sans Serif" w:cs="Microsoft Sans Serif"/>
          <w:i/>
          <w:iCs/>
        </w:rPr>
        <w:t>Representing National Fuel Gas Distribution Corporation</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rPr>
        <w:cr/>
        <w:t>ARON J BEATTY ESQUIRE</w:t>
      </w:r>
      <w:r w:rsidRPr="00FA4495">
        <w:rPr>
          <w:rFonts w:ascii="Microsoft Sans Serif" w:eastAsia="Microsoft Sans Serif" w:hAnsi="Microsoft Sans Serif" w:cs="Microsoft Sans Serif"/>
        </w:rPr>
        <w:br/>
        <w:t>LAUREN E GUERRA ESQUIRE</w:t>
      </w:r>
      <w:r w:rsidRPr="00FA4495">
        <w:rPr>
          <w:rFonts w:ascii="Microsoft Sans Serif" w:eastAsia="Microsoft Sans Serif" w:hAnsi="Microsoft Sans Serif" w:cs="Microsoft Sans Serif"/>
        </w:rPr>
        <w:br/>
        <w:t>MACKENZIE BATTLE ESQUIRE</w:t>
      </w:r>
      <w:r w:rsidRPr="00FA4495">
        <w:rPr>
          <w:rFonts w:ascii="Microsoft Sans Serif" w:eastAsia="Microsoft Sans Serif" w:hAnsi="Microsoft Sans Serif" w:cs="Microsoft Sans Serif"/>
        </w:rPr>
        <w:br/>
        <w:t>ANDREW J ZERBY ESQUIRE</w:t>
      </w:r>
      <w:r w:rsidRPr="00FA4495">
        <w:rPr>
          <w:rFonts w:ascii="Microsoft Sans Serif" w:eastAsia="Microsoft Sans Serif" w:hAnsi="Microsoft Sans Serif" w:cs="Microsoft Sans Serif"/>
        </w:rPr>
        <w:br/>
        <w:t>OFFICE OF CONSUMER ADVOCATE</w:t>
      </w:r>
      <w:r w:rsidRPr="00FA4495">
        <w:rPr>
          <w:rFonts w:ascii="Microsoft Sans Serif" w:eastAsia="Microsoft Sans Serif" w:hAnsi="Microsoft Sans Serif" w:cs="Microsoft Sans Serif"/>
        </w:rPr>
        <w:cr/>
        <w:t>555 WALNUT STREET 5TH FLOOR</w:t>
      </w:r>
      <w:r w:rsidRPr="00FA4495">
        <w:rPr>
          <w:rFonts w:ascii="Microsoft Sans Serif" w:eastAsia="Microsoft Sans Serif" w:hAnsi="Microsoft Sans Serif" w:cs="Microsoft Sans Serif"/>
        </w:rPr>
        <w:cr/>
        <w:t>FORUM PLACE</w:t>
      </w:r>
      <w:r w:rsidRPr="00FA4495">
        <w:rPr>
          <w:rFonts w:ascii="Microsoft Sans Serif" w:eastAsia="Microsoft Sans Serif" w:hAnsi="Microsoft Sans Serif" w:cs="Microsoft Sans Serif"/>
        </w:rPr>
        <w:cr/>
        <w:t>HARRISBURG PA  17101</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b/>
          <w:bCs/>
        </w:rPr>
        <w:t>717.783.5048</w:t>
      </w:r>
      <w:r w:rsidRPr="00FA4495">
        <w:rPr>
          <w:rFonts w:ascii="Microsoft Sans Serif" w:eastAsia="Microsoft Sans Serif" w:hAnsi="Microsoft Sans Serif" w:cs="Microsoft Sans Serif"/>
          <w:b/>
          <w:bCs/>
        </w:rPr>
        <w:br/>
      </w:r>
      <w:r w:rsidRPr="00FA4495">
        <w:rPr>
          <w:rFonts w:ascii="Microsoft Sans Serif" w:eastAsia="Microsoft Sans Serif" w:hAnsi="Microsoft Sans Serif" w:cs="Microsoft Sans Serif"/>
        </w:rPr>
        <w:t>abeatty@paoca.org</w:t>
      </w:r>
      <w:r w:rsidRPr="00FA4495">
        <w:rPr>
          <w:rFonts w:ascii="Microsoft Sans Serif" w:eastAsia="Microsoft Sans Serif" w:hAnsi="Microsoft Sans Serif" w:cs="Microsoft Sans Serif"/>
        </w:rPr>
        <w:cr/>
        <w:t>lguerra@paoca.org</w:t>
      </w:r>
      <w:r w:rsidRPr="00FA4495">
        <w:rPr>
          <w:rFonts w:ascii="Microsoft Sans Serif" w:eastAsia="Microsoft Sans Serif" w:hAnsi="Microsoft Sans Serif" w:cs="Microsoft Sans Serif"/>
        </w:rPr>
        <w:cr/>
        <w:t>mbattle@paoca.org</w:t>
      </w:r>
      <w:r w:rsidRPr="00FA4495">
        <w:rPr>
          <w:rFonts w:ascii="Microsoft Sans Serif" w:eastAsia="Microsoft Sans Serif" w:hAnsi="Microsoft Sans Serif" w:cs="Microsoft Sans Serif"/>
        </w:rPr>
        <w:cr/>
        <w:t>azerby@paoca.org</w:t>
      </w:r>
      <w:r w:rsidRPr="00FA4495">
        <w:rPr>
          <w:rFonts w:ascii="Microsoft Sans Serif" w:eastAsia="Microsoft Sans Serif" w:hAnsi="Microsoft Sans Serif" w:cs="Microsoft Sans Serif"/>
        </w:rPr>
        <w:cr/>
        <w:t xml:space="preserve">Accepts </w:t>
      </w:r>
      <w:proofErr w:type="gramStart"/>
      <w:r w:rsidRPr="00FA4495">
        <w:rPr>
          <w:rFonts w:ascii="Microsoft Sans Serif" w:eastAsia="Microsoft Sans Serif" w:hAnsi="Microsoft Sans Serif" w:cs="Microsoft Sans Serif"/>
        </w:rPr>
        <w:t>eService</w:t>
      </w:r>
      <w:proofErr w:type="gramEnd"/>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rPr>
        <w:cr/>
        <w:t>SCOTT B GRANGER ESQUIRE</w:t>
      </w:r>
      <w:r w:rsidRPr="00FA4495">
        <w:rPr>
          <w:rFonts w:ascii="Microsoft Sans Serif" w:eastAsia="Microsoft Sans Serif" w:hAnsi="Microsoft Sans Serif" w:cs="Microsoft Sans Serif"/>
        </w:rPr>
        <w:cr/>
        <w:t>PA PUC BUREAU OF INVESTIGATION &amp; ENFORCEMENT</w:t>
      </w:r>
      <w:r w:rsidRPr="00FA4495">
        <w:rPr>
          <w:rFonts w:ascii="Microsoft Sans Serif" w:eastAsia="Microsoft Sans Serif" w:hAnsi="Microsoft Sans Serif" w:cs="Microsoft Sans Serif"/>
        </w:rPr>
        <w:cr/>
        <w:t>SECOND FLOOR WEST</w:t>
      </w:r>
      <w:r w:rsidRPr="00FA4495">
        <w:rPr>
          <w:rFonts w:ascii="Microsoft Sans Serif" w:eastAsia="Microsoft Sans Serif" w:hAnsi="Microsoft Sans Serif" w:cs="Microsoft Sans Serif"/>
        </w:rPr>
        <w:cr/>
        <w:t>400 NORTH STREET</w:t>
      </w:r>
      <w:r w:rsidRPr="00FA4495">
        <w:rPr>
          <w:rFonts w:ascii="Microsoft Sans Serif" w:eastAsia="Microsoft Sans Serif" w:hAnsi="Microsoft Sans Serif" w:cs="Microsoft Sans Serif"/>
        </w:rPr>
        <w:cr/>
        <w:t>HARRISBURG PA  17120</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b/>
          <w:bCs/>
        </w:rPr>
        <w:t>717.425.7593</w:t>
      </w:r>
      <w:r w:rsidRPr="00FA4495">
        <w:rPr>
          <w:rFonts w:ascii="Microsoft Sans Serif" w:eastAsia="Microsoft Sans Serif" w:hAnsi="Microsoft Sans Serif" w:cs="Microsoft Sans Serif"/>
        </w:rPr>
        <w:cr/>
        <w:t>sgranger@pa.gov</w:t>
      </w:r>
      <w:r w:rsidRPr="00FA4495">
        <w:rPr>
          <w:rFonts w:ascii="Microsoft Sans Serif" w:eastAsia="Microsoft Sans Serif" w:hAnsi="Microsoft Sans Serif" w:cs="Microsoft Sans Serif"/>
        </w:rPr>
        <w:cr/>
        <w:t>Accepts eService</w:t>
      </w:r>
      <w:r w:rsidRPr="00FA4495">
        <w:rPr>
          <w:rFonts w:ascii="Microsoft Sans Serif" w:eastAsia="Microsoft Sans Serif" w:hAnsi="Microsoft Sans Serif" w:cs="Microsoft Sans Serif"/>
        </w:rPr>
        <w:br/>
      </w:r>
      <w:r w:rsidRPr="00FA4495">
        <w:rPr>
          <w:rFonts w:ascii="Microsoft Sans Serif" w:eastAsia="Microsoft Sans Serif" w:hAnsi="Microsoft Sans Serif" w:cs="Microsoft Sans Serif"/>
        </w:rPr>
        <w:br/>
      </w:r>
    </w:p>
    <w:p w14:paraId="4213507B" w14:textId="77777777" w:rsidR="00FA4495" w:rsidRPr="00FA4495" w:rsidRDefault="00FA4495" w:rsidP="00FA4495">
      <w:pPr>
        <w:spacing w:line="259"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ELIZABETH R MARX ESQUIRE</w:t>
      </w:r>
      <w:r w:rsidRPr="00FA4495">
        <w:rPr>
          <w:rFonts w:ascii="Microsoft Sans Serif" w:eastAsia="Microsoft Sans Serif" w:hAnsi="Microsoft Sans Serif" w:cs="Microsoft Sans Serif"/>
        </w:rPr>
        <w:br/>
        <w:t>LAUREN BERMAN ESQUIRE</w:t>
      </w:r>
      <w:r w:rsidRPr="00FA4495">
        <w:rPr>
          <w:rFonts w:ascii="Microsoft Sans Serif" w:eastAsia="Microsoft Sans Serif" w:hAnsi="Microsoft Sans Serif" w:cs="Microsoft Sans Serif"/>
        </w:rPr>
        <w:br/>
        <w:t>JOHN SWEET ESQUIRE</w:t>
      </w:r>
      <w:r w:rsidRPr="00FA4495">
        <w:rPr>
          <w:rFonts w:ascii="Microsoft Sans Serif" w:eastAsia="Microsoft Sans Serif" w:hAnsi="Microsoft Sans Serif" w:cs="Microsoft Sans Serif"/>
        </w:rPr>
        <w:br/>
        <w:t>RIA PEREIRA ESQUIRE</w:t>
      </w:r>
      <w:r w:rsidRPr="00FA4495">
        <w:rPr>
          <w:rFonts w:ascii="Microsoft Sans Serif" w:eastAsia="Microsoft Sans Serif" w:hAnsi="Microsoft Sans Serif" w:cs="Microsoft Sans Serif"/>
        </w:rPr>
        <w:br/>
        <w:t>PA UTILITY LAW PROJECT</w:t>
      </w:r>
      <w:r w:rsidRPr="00FA4495">
        <w:rPr>
          <w:rFonts w:ascii="Microsoft Sans Serif" w:eastAsia="Microsoft Sans Serif" w:hAnsi="Microsoft Sans Serif" w:cs="Microsoft Sans Serif"/>
        </w:rPr>
        <w:cr/>
        <w:t>118 LOCUST STREET</w:t>
      </w:r>
      <w:r w:rsidRPr="00FA4495">
        <w:rPr>
          <w:rFonts w:ascii="Microsoft Sans Serif" w:eastAsia="Microsoft Sans Serif" w:hAnsi="Microsoft Sans Serif" w:cs="Microsoft Sans Serif"/>
        </w:rPr>
        <w:cr/>
        <w:t>HARRISBURG PA  17101</w:t>
      </w:r>
      <w:r w:rsidRPr="00FA4495">
        <w:rPr>
          <w:rFonts w:ascii="Microsoft Sans Serif" w:eastAsia="Microsoft Sans Serif" w:hAnsi="Microsoft Sans Serif" w:cs="Microsoft Sans Serif"/>
        </w:rPr>
        <w:br/>
      </w:r>
      <w:r w:rsidRPr="00FA4495">
        <w:rPr>
          <w:rFonts w:ascii="Microsoft Sans Serif" w:eastAsia="Microsoft Sans Serif" w:hAnsi="Microsoft Sans Serif" w:cs="Microsoft Sans Serif"/>
          <w:b/>
          <w:bCs/>
        </w:rPr>
        <w:t>717.236.9486</w:t>
      </w:r>
      <w:r w:rsidRPr="00FA4495">
        <w:rPr>
          <w:rFonts w:ascii="Microsoft Sans Serif" w:eastAsia="Microsoft Sans Serif" w:hAnsi="Microsoft Sans Serif" w:cs="Microsoft Sans Serif"/>
          <w:b/>
          <w:bCs/>
        </w:rPr>
        <w:cr/>
        <w:t>717.710.3825</w:t>
      </w:r>
      <w:r w:rsidRPr="00FA4495">
        <w:rPr>
          <w:rFonts w:ascii="Microsoft Sans Serif" w:eastAsia="Microsoft Sans Serif" w:hAnsi="Microsoft Sans Serif" w:cs="Microsoft Sans Serif"/>
        </w:rPr>
        <w:br/>
        <w:t>emarx@pautilitylawproject.org</w:t>
      </w:r>
      <w:r w:rsidRPr="00FA4495">
        <w:rPr>
          <w:rFonts w:ascii="Microsoft Sans Serif" w:eastAsia="Microsoft Sans Serif" w:hAnsi="Microsoft Sans Serif" w:cs="Microsoft Sans Serif"/>
        </w:rPr>
        <w:cr/>
        <w:t>lberman@pautilitylawproject.org</w:t>
      </w:r>
      <w:r w:rsidRPr="00FA4495">
        <w:rPr>
          <w:rFonts w:ascii="Microsoft Sans Serif" w:eastAsia="Microsoft Sans Serif" w:hAnsi="Microsoft Sans Serif" w:cs="Microsoft Sans Serif"/>
        </w:rPr>
        <w:cr/>
        <w:t>jsweet@pautilitylawproject.org</w:t>
      </w:r>
      <w:r w:rsidRPr="00FA4495">
        <w:rPr>
          <w:rFonts w:ascii="Microsoft Sans Serif" w:eastAsia="Microsoft Sans Serif" w:hAnsi="Microsoft Sans Serif" w:cs="Microsoft Sans Serif"/>
        </w:rPr>
        <w:cr/>
        <w:t>rpereira@pautilitylawproject.org</w:t>
      </w:r>
      <w:r w:rsidRPr="00FA4495">
        <w:rPr>
          <w:rFonts w:ascii="Microsoft Sans Serif" w:eastAsia="Microsoft Sans Serif" w:hAnsi="Microsoft Sans Serif" w:cs="Microsoft Sans Serif"/>
        </w:rPr>
        <w:br/>
        <w:t xml:space="preserve">Accepts </w:t>
      </w:r>
      <w:proofErr w:type="gramStart"/>
      <w:r w:rsidRPr="00FA4495">
        <w:rPr>
          <w:rFonts w:ascii="Microsoft Sans Serif" w:eastAsia="Microsoft Sans Serif" w:hAnsi="Microsoft Sans Serif" w:cs="Microsoft Sans Serif"/>
        </w:rPr>
        <w:t>eService</w:t>
      </w:r>
      <w:proofErr w:type="gramEnd"/>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i/>
          <w:iCs/>
        </w:rPr>
        <w:t>Representing CAUSE-PA</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rPr>
        <w:cr/>
        <w:t>STEVEN C GRAY ESQUIRE</w:t>
      </w:r>
      <w:r w:rsidRPr="00FA4495">
        <w:rPr>
          <w:rFonts w:ascii="Microsoft Sans Serif" w:eastAsia="Microsoft Sans Serif" w:hAnsi="Microsoft Sans Serif" w:cs="Microsoft Sans Serif"/>
        </w:rPr>
        <w:cr/>
        <w:t>OFFICE OF SMALL BUSINESS ADVOCATE</w:t>
      </w:r>
      <w:r w:rsidRPr="00FA4495">
        <w:rPr>
          <w:rFonts w:ascii="Microsoft Sans Serif" w:eastAsia="Microsoft Sans Serif" w:hAnsi="Microsoft Sans Serif" w:cs="Microsoft Sans Serif"/>
        </w:rPr>
        <w:cr/>
        <w:t>FORUM PLACE</w:t>
      </w:r>
      <w:r w:rsidRPr="00FA4495">
        <w:rPr>
          <w:rFonts w:ascii="Microsoft Sans Serif" w:eastAsia="Microsoft Sans Serif" w:hAnsi="Microsoft Sans Serif" w:cs="Microsoft Sans Serif"/>
        </w:rPr>
        <w:cr/>
        <w:t>555 WALNUT STREET 1ST FLOOR</w:t>
      </w:r>
      <w:r w:rsidRPr="00FA4495">
        <w:rPr>
          <w:rFonts w:ascii="Microsoft Sans Serif" w:eastAsia="Microsoft Sans Serif" w:hAnsi="Microsoft Sans Serif" w:cs="Microsoft Sans Serif"/>
        </w:rPr>
        <w:cr/>
        <w:t>HARRISBURG PA  17101</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b/>
          <w:bCs/>
        </w:rPr>
        <w:t>717.783.2525</w:t>
      </w:r>
      <w:r w:rsidRPr="00FA4495">
        <w:rPr>
          <w:rFonts w:ascii="Microsoft Sans Serif" w:eastAsia="Microsoft Sans Serif" w:hAnsi="Microsoft Sans Serif" w:cs="Microsoft Sans Serif"/>
          <w:b/>
          <w:bCs/>
        </w:rPr>
        <w:cr/>
        <w:t>717.783.2831</w:t>
      </w:r>
      <w:r w:rsidRPr="00FA4495">
        <w:rPr>
          <w:rFonts w:ascii="Microsoft Sans Serif" w:eastAsia="Microsoft Sans Serif" w:hAnsi="Microsoft Sans Serif" w:cs="Microsoft Sans Serif"/>
          <w:b/>
          <w:bCs/>
        </w:rPr>
        <w:cr/>
      </w:r>
      <w:hyperlink r:id="rId9" w:history="1">
        <w:r w:rsidRPr="00FA4495">
          <w:rPr>
            <w:rFonts w:ascii="Microsoft Sans Serif" w:eastAsia="Microsoft Sans Serif" w:hAnsi="Microsoft Sans Serif" w:cs="Microsoft Sans Serif"/>
            <w:color w:val="0563C1"/>
            <w:u w:val="single"/>
          </w:rPr>
          <w:t>sgray@pa.gov</w:t>
        </w:r>
      </w:hyperlink>
    </w:p>
    <w:p w14:paraId="7A035526" w14:textId="77777777" w:rsidR="00FA4495" w:rsidRPr="00FA4495" w:rsidRDefault="00FA4495" w:rsidP="00FA4495">
      <w:pPr>
        <w:spacing w:after="0" w:line="240"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JOSEPH L VULLO ESQUIRE</w:t>
      </w:r>
      <w:r w:rsidRPr="00FA4495">
        <w:rPr>
          <w:rFonts w:ascii="Microsoft Sans Serif" w:eastAsia="Microsoft Sans Serif" w:hAnsi="Microsoft Sans Serif" w:cs="Microsoft Sans Serif"/>
        </w:rPr>
        <w:cr/>
        <w:t>BURKE VULLO REILLY ROBERTS</w:t>
      </w:r>
      <w:r w:rsidRPr="00FA4495">
        <w:rPr>
          <w:rFonts w:ascii="Microsoft Sans Serif" w:eastAsia="Microsoft Sans Serif" w:hAnsi="Microsoft Sans Serif" w:cs="Microsoft Sans Serif"/>
        </w:rPr>
        <w:cr/>
        <w:t>1460 WYOMING AVENUE</w:t>
      </w:r>
      <w:r w:rsidRPr="00FA4495">
        <w:rPr>
          <w:rFonts w:ascii="Microsoft Sans Serif" w:eastAsia="Microsoft Sans Serif" w:hAnsi="Microsoft Sans Serif" w:cs="Microsoft Sans Serif"/>
        </w:rPr>
        <w:cr/>
        <w:t>FORTY FORT PA  18704</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b/>
          <w:bCs/>
        </w:rPr>
        <w:t>570.288.6441</w:t>
      </w:r>
      <w:r w:rsidRPr="00FA4495">
        <w:rPr>
          <w:rFonts w:ascii="Microsoft Sans Serif" w:eastAsia="Microsoft Sans Serif" w:hAnsi="Microsoft Sans Serif" w:cs="Microsoft Sans Serif"/>
        </w:rPr>
        <w:cr/>
        <w:t>jlvullo@bvrrlaw.com</w:t>
      </w:r>
      <w:r w:rsidRPr="00FA4495">
        <w:rPr>
          <w:rFonts w:ascii="Microsoft Sans Serif" w:eastAsia="Microsoft Sans Serif" w:hAnsi="Microsoft Sans Serif" w:cs="Microsoft Sans Serif"/>
        </w:rPr>
        <w:cr/>
        <w:t>Accepts eService</w:t>
      </w:r>
      <w:r w:rsidRPr="00FA4495">
        <w:rPr>
          <w:rFonts w:ascii="Microsoft Sans Serif" w:eastAsia="Microsoft Sans Serif" w:hAnsi="Microsoft Sans Serif" w:cs="Microsoft Sans Serif"/>
        </w:rPr>
        <w:br/>
      </w:r>
      <w:r w:rsidRPr="00FA4495">
        <w:rPr>
          <w:rFonts w:ascii="Microsoft Sans Serif" w:eastAsia="Microsoft Sans Serif" w:hAnsi="Microsoft Sans Serif" w:cs="Microsoft Sans Serif"/>
          <w:i/>
          <w:iCs/>
        </w:rPr>
        <w:t>Representing PA Weatherization Providers Task Force, Inc</w:t>
      </w:r>
      <w:r w:rsidRPr="00FA4495">
        <w:rPr>
          <w:rFonts w:ascii="Microsoft Sans Serif" w:eastAsia="Microsoft Sans Serif" w:hAnsi="Microsoft Sans Serif" w:cs="Microsoft Sans Serif"/>
        </w:rPr>
        <w:cr/>
      </w:r>
      <w:r w:rsidRPr="00FA4495">
        <w:rPr>
          <w:rFonts w:ascii="Microsoft Sans Serif" w:eastAsia="Microsoft Sans Serif" w:hAnsi="Microsoft Sans Serif" w:cs="Microsoft Sans Serif"/>
        </w:rPr>
        <w:cr/>
      </w:r>
    </w:p>
    <w:p w14:paraId="6CE6842B" w14:textId="77777777" w:rsidR="00FA4495" w:rsidRPr="00FA4495" w:rsidRDefault="00FA4495" w:rsidP="00FA4495">
      <w:pPr>
        <w:spacing w:after="0" w:line="240" w:lineRule="auto"/>
        <w:rPr>
          <w:rFonts w:ascii="Microsoft Sans Serif" w:eastAsia="Microsoft Sans Serif" w:hAnsi="Microsoft Sans Serif" w:cs="Microsoft Sans Serif"/>
        </w:rPr>
      </w:pPr>
    </w:p>
    <w:p w14:paraId="62695F14" w14:textId="77777777" w:rsidR="00FA4495" w:rsidRPr="00FA4495" w:rsidRDefault="00FA4495" w:rsidP="00FA4495">
      <w:pPr>
        <w:spacing w:after="0" w:line="240" w:lineRule="auto"/>
        <w:rPr>
          <w:rFonts w:ascii="Microsoft Sans Serif" w:eastAsia="Microsoft Sans Serif" w:hAnsi="Microsoft Sans Serif" w:cs="Microsoft Sans Serif"/>
        </w:rPr>
      </w:pPr>
    </w:p>
    <w:p w14:paraId="7F716D09" w14:textId="77777777" w:rsidR="00FA4495" w:rsidRPr="00FA4495" w:rsidRDefault="00FA4495" w:rsidP="00FA4495">
      <w:pPr>
        <w:spacing w:after="0" w:line="240"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lastRenderedPageBreak/>
        <w:t>DEOKEY BALRAJ</w:t>
      </w:r>
    </w:p>
    <w:p w14:paraId="3D70EC41" w14:textId="77777777" w:rsidR="00FA4495" w:rsidRPr="00FA4495" w:rsidRDefault="00FA4495" w:rsidP="00FA4495">
      <w:pPr>
        <w:spacing w:after="0" w:line="240"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1655 KIMBERLY STREET</w:t>
      </w:r>
    </w:p>
    <w:p w14:paraId="3024485D" w14:textId="77777777" w:rsidR="00FA4495" w:rsidRPr="00FA4495" w:rsidRDefault="00FA4495" w:rsidP="00FA4495">
      <w:pPr>
        <w:spacing w:after="0" w:line="240"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APT 1</w:t>
      </w:r>
    </w:p>
    <w:p w14:paraId="7AF8EDF3" w14:textId="77777777" w:rsidR="00FA4495" w:rsidRPr="00FA4495" w:rsidRDefault="00FA4495" w:rsidP="00FA4495">
      <w:pPr>
        <w:spacing w:after="0" w:line="240" w:lineRule="auto"/>
        <w:rPr>
          <w:rFonts w:ascii="Microsoft Sans Serif" w:eastAsia="Microsoft Sans Serif" w:hAnsi="Microsoft Sans Serif" w:cs="Microsoft Sans Serif"/>
        </w:rPr>
      </w:pPr>
      <w:r w:rsidRPr="00FA4495">
        <w:rPr>
          <w:rFonts w:ascii="Microsoft Sans Serif" w:eastAsia="Microsoft Sans Serif" w:hAnsi="Microsoft Sans Serif" w:cs="Microsoft Sans Serif"/>
        </w:rPr>
        <w:t>HERMITAGE, PA 16148</w:t>
      </w:r>
    </w:p>
    <w:p w14:paraId="3ACD7F22" w14:textId="77777777" w:rsidR="00FA4495" w:rsidRPr="00FA4495" w:rsidRDefault="00FA4495" w:rsidP="00FA4495">
      <w:pPr>
        <w:spacing w:after="0" w:line="240" w:lineRule="auto"/>
        <w:rPr>
          <w:rFonts w:ascii="Microsoft Sans Serif" w:eastAsia="Microsoft Sans Serif" w:hAnsi="Microsoft Sans Serif" w:cs="Microsoft Sans Serif"/>
          <w:b/>
          <w:bCs/>
        </w:rPr>
      </w:pPr>
      <w:r w:rsidRPr="00FA4495">
        <w:rPr>
          <w:rFonts w:ascii="Microsoft Sans Serif" w:eastAsia="Microsoft Sans Serif" w:hAnsi="Microsoft Sans Serif" w:cs="Microsoft Sans Serif"/>
          <w:b/>
          <w:bCs/>
        </w:rPr>
        <w:t>469.235.2332</w:t>
      </w:r>
    </w:p>
    <w:p w14:paraId="78931EEE" w14:textId="77777777" w:rsidR="00FA4495" w:rsidRPr="00FA4495" w:rsidRDefault="00FA4495" w:rsidP="00FA4495">
      <w:pPr>
        <w:spacing w:after="0" w:line="240" w:lineRule="auto"/>
        <w:rPr>
          <w:rFonts w:ascii="Calibri" w:eastAsia="Times New Roman" w:hAnsi="Calibri" w:cs="Times New Roman"/>
          <w:sz w:val="22"/>
        </w:rPr>
      </w:pPr>
      <w:r w:rsidRPr="00FA4495">
        <w:rPr>
          <w:rFonts w:ascii="Microsoft Sans Serif" w:eastAsia="Microsoft Sans Serif" w:hAnsi="Microsoft Sans Serif" w:cs="Microsoft Sans Serif"/>
        </w:rPr>
        <w:t xml:space="preserve">deokeybalraj@gmail.com </w:t>
      </w:r>
      <w:r w:rsidRPr="00FA4495">
        <w:rPr>
          <w:rFonts w:ascii="Microsoft Sans Serif" w:eastAsia="Microsoft Sans Serif" w:hAnsi="Microsoft Sans Serif" w:cs="Microsoft Sans Serif"/>
        </w:rPr>
        <w:cr/>
        <w:t xml:space="preserve">Accepts </w:t>
      </w:r>
      <w:proofErr w:type="gramStart"/>
      <w:r w:rsidRPr="00FA4495">
        <w:rPr>
          <w:rFonts w:ascii="Microsoft Sans Serif" w:eastAsia="Microsoft Sans Serif" w:hAnsi="Microsoft Sans Serif" w:cs="Microsoft Sans Serif"/>
        </w:rPr>
        <w:t>eService</w:t>
      </w:r>
      <w:proofErr w:type="gramEnd"/>
    </w:p>
    <w:p w14:paraId="3F1679A9" w14:textId="77777777" w:rsidR="00FA4495" w:rsidRPr="00FA4495" w:rsidRDefault="00FA4495" w:rsidP="00FA4495">
      <w:pPr>
        <w:spacing w:after="0" w:line="240" w:lineRule="auto"/>
        <w:rPr>
          <w:rFonts w:eastAsia="Times New Roman" w:cs="Times New Roman"/>
          <w:szCs w:val="24"/>
        </w:rPr>
      </w:pPr>
    </w:p>
    <w:p w14:paraId="5C462322" w14:textId="77777777" w:rsidR="00FA4495" w:rsidRPr="00FA4495" w:rsidRDefault="00FA4495" w:rsidP="00FA4495">
      <w:pPr>
        <w:spacing w:after="0" w:line="240" w:lineRule="auto"/>
        <w:jc w:val="both"/>
        <w:rPr>
          <w:rFonts w:ascii="Microsoft Sans Serif" w:eastAsia="Times New Roman" w:hAnsi="Microsoft Sans Serif" w:cs="Microsoft Sans Serif"/>
          <w:szCs w:val="24"/>
        </w:rPr>
      </w:pPr>
      <w:r w:rsidRPr="00FA4495">
        <w:rPr>
          <w:rFonts w:ascii="Microsoft Sans Serif" w:eastAsia="Times New Roman" w:hAnsi="Microsoft Sans Serif" w:cs="Microsoft Sans Serif"/>
          <w:szCs w:val="24"/>
        </w:rPr>
        <w:t>ELIZABETH WOOLSLARE</w:t>
      </w:r>
    </w:p>
    <w:p w14:paraId="09BEA7EC" w14:textId="77777777" w:rsidR="00FA4495" w:rsidRPr="00FA4495" w:rsidRDefault="00FA4495" w:rsidP="00FA4495">
      <w:pPr>
        <w:spacing w:after="0" w:line="240" w:lineRule="auto"/>
        <w:jc w:val="both"/>
        <w:rPr>
          <w:rFonts w:ascii="Microsoft Sans Serif" w:eastAsia="Times New Roman" w:hAnsi="Microsoft Sans Serif" w:cs="Microsoft Sans Serif"/>
          <w:szCs w:val="24"/>
        </w:rPr>
      </w:pPr>
      <w:r w:rsidRPr="00FA4495">
        <w:rPr>
          <w:rFonts w:ascii="Microsoft Sans Serif" w:eastAsia="Times New Roman" w:hAnsi="Microsoft Sans Serif" w:cs="Microsoft Sans Serif"/>
          <w:szCs w:val="24"/>
        </w:rPr>
        <w:t>6436 HEARTHSTONE LANE</w:t>
      </w:r>
    </w:p>
    <w:p w14:paraId="723CB0AB" w14:textId="77777777" w:rsidR="00FA4495" w:rsidRPr="00FA4495" w:rsidRDefault="00FA4495" w:rsidP="00FA4495">
      <w:pPr>
        <w:spacing w:after="0" w:line="240" w:lineRule="auto"/>
        <w:jc w:val="both"/>
        <w:rPr>
          <w:rFonts w:ascii="Microsoft Sans Serif" w:eastAsia="Times New Roman" w:hAnsi="Microsoft Sans Serif" w:cs="Microsoft Sans Serif"/>
          <w:szCs w:val="24"/>
        </w:rPr>
      </w:pPr>
      <w:r w:rsidRPr="00FA4495">
        <w:rPr>
          <w:rFonts w:ascii="Microsoft Sans Serif" w:eastAsia="Times New Roman" w:hAnsi="Microsoft Sans Serif" w:cs="Microsoft Sans Serif"/>
          <w:szCs w:val="24"/>
        </w:rPr>
        <w:t>ERIE, PA 16505</w:t>
      </w:r>
    </w:p>
    <w:p w14:paraId="1D528935" w14:textId="77777777" w:rsidR="00FA4495" w:rsidRPr="00FA4495" w:rsidRDefault="00FA4495" w:rsidP="00FA4495">
      <w:pPr>
        <w:spacing w:after="0" w:line="240" w:lineRule="auto"/>
        <w:jc w:val="both"/>
        <w:rPr>
          <w:rFonts w:ascii="Microsoft Sans Serif" w:eastAsia="Times New Roman" w:hAnsi="Microsoft Sans Serif" w:cs="Microsoft Sans Serif"/>
          <w:b/>
          <w:bCs/>
          <w:szCs w:val="24"/>
        </w:rPr>
      </w:pPr>
      <w:r w:rsidRPr="00FA4495">
        <w:rPr>
          <w:rFonts w:ascii="Microsoft Sans Serif" w:eastAsia="Times New Roman" w:hAnsi="Microsoft Sans Serif" w:cs="Microsoft Sans Serif"/>
          <w:b/>
          <w:bCs/>
          <w:szCs w:val="24"/>
        </w:rPr>
        <w:t>610.505.4956</w:t>
      </w:r>
    </w:p>
    <w:p w14:paraId="02667E1D" w14:textId="77777777" w:rsidR="00FA4495" w:rsidRPr="00FA4495" w:rsidRDefault="00A455D5" w:rsidP="00FA4495">
      <w:pPr>
        <w:spacing w:after="0" w:line="240" w:lineRule="auto"/>
        <w:jc w:val="both"/>
        <w:rPr>
          <w:rFonts w:ascii="Microsoft Sans Serif" w:eastAsia="Times New Roman" w:hAnsi="Microsoft Sans Serif" w:cs="Microsoft Sans Serif"/>
          <w:szCs w:val="24"/>
          <w:u w:val="single"/>
        </w:rPr>
      </w:pPr>
      <w:hyperlink r:id="rId10" w:history="1">
        <w:r w:rsidR="00FA4495" w:rsidRPr="00FA4495">
          <w:rPr>
            <w:rFonts w:ascii="Microsoft Sans Serif" w:eastAsia="Times New Roman" w:hAnsi="Microsoft Sans Serif" w:cs="Microsoft Sans Serif"/>
            <w:color w:val="0000FF"/>
            <w:szCs w:val="24"/>
            <w:u w:val="single"/>
          </w:rPr>
          <w:t>elizabeth.surdo@gmail.com</w:t>
        </w:r>
      </w:hyperlink>
    </w:p>
    <w:p w14:paraId="3100D96E" w14:textId="77777777" w:rsidR="00FA4495" w:rsidRPr="00FA4495" w:rsidRDefault="00FA4495" w:rsidP="00FA4495">
      <w:pPr>
        <w:spacing w:after="0" w:line="240" w:lineRule="auto"/>
        <w:rPr>
          <w:rFonts w:ascii="Microsoft Sans Serif" w:eastAsia="Times New Roman" w:hAnsi="Microsoft Sans Serif" w:cs="Microsoft Sans Serif"/>
          <w:szCs w:val="24"/>
        </w:rPr>
      </w:pPr>
    </w:p>
    <w:p w14:paraId="08A221F7" w14:textId="77777777" w:rsidR="00FA4495" w:rsidRPr="00FA4495" w:rsidRDefault="00FA4495" w:rsidP="00FA4495">
      <w:pPr>
        <w:spacing w:line="259" w:lineRule="auto"/>
        <w:rPr>
          <w:rFonts w:ascii="Calibri" w:eastAsia="Times New Roman" w:hAnsi="Calibri" w:cs="Times New Roman"/>
          <w:sz w:val="22"/>
        </w:rPr>
      </w:pPr>
    </w:p>
    <w:p w14:paraId="72840C91" w14:textId="77777777" w:rsidR="00FA4495" w:rsidRDefault="00FA4495" w:rsidP="00FA4495">
      <w:pPr>
        <w:spacing w:after="0"/>
      </w:pPr>
    </w:p>
    <w:sectPr w:rsidR="00FA4495" w:rsidSect="00E96AA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95D5" w14:textId="77777777" w:rsidR="00A75842" w:rsidRDefault="00A75842" w:rsidP="0077128C">
      <w:pPr>
        <w:spacing w:after="0" w:line="240" w:lineRule="auto"/>
      </w:pPr>
      <w:r>
        <w:separator/>
      </w:r>
    </w:p>
  </w:endnote>
  <w:endnote w:type="continuationSeparator" w:id="0">
    <w:p w14:paraId="556E6086" w14:textId="77777777" w:rsidR="00A75842" w:rsidRDefault="00A75842" w:rsidP="0077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2731482"/>
      <w:docPartObj>
        <w:docPartGallery w:val="Page Numbers (Bottom of Page)"/>
        <w:docPartUnique/>
      </w:docPartObj>
    </w:sdtPr>
    <w:sdtEndPr>
      <w:rPr>
        <w:noProof/>
      </w:rPr>
    </w:sdtEndPr>
    <w:sdtContent>
      <w:p w14:paraId="28DA0F94" w14:textId="12928FB7" w:rsidR="0077128C" w:rsidRPr="006360C6" w:rsidRDefault="0077128C" w:rsidP="006360C6">
        <w:pPr>
          <w:pStyle w:val="Footer"/>
          <w:jc w:val="center"/>
          <w:rPr>
            <w:sz w:val="20"/>
            <w:szCs w:val="20"/>
          </w:rPr>
        </w:pPr>
        <w:r w:rsidRPr="006360C6">
          <w:rPr>
            <w:sz w:val="20"/>
            <w:szCs w:val="20"/>
          </w:rPr>
          <w:fldChar w:fldCharType="begin"/>
        </w:r>
        <w:r w:rsidRPr="006360C6">
          <w:rPr>
            <w:sz w:val="20"/>
            <w:szCs w:val="20"/>
          </w:rPr>
          <w:instrText xml:space="preserve"> PAGE   \* MERGEFORMAT </w:instrText>
        </w:r>
        <w:r w:rsidRPr="006360C6">
          <w:rPr>
            <w:sz w:val="20"/>
            <w:szCs w:val="20"/>
          </w:rPr>
          <w:fldChar w:fldCharType="separate"/>
        </w:r>
        <w:r w:rsidRPr="006360C6">
          <w:rPr>
            <w:noProof/>
            <w:sz w:val="20"/>
            <w:szCs w:val="20"/>
          </w:rPr>
          <w:t>2</w:t>
        </w:r>
        <w:r w:rsidRPr="006360C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4269727"/>
      <w:docPartObj>
        <w:docPartGallery w:val="Page Numbers (Bottom of Page)"/>
        <w:docPartUnique/>
      </w:docPartObj>
    </w:sdtPr>
    <w:sdtEndPr>
      <w:rPr>
        <w:noProof/>
      </w:rPr>
    </w:sdtEndPr>
    <w:sdtContent>
      <w:p w14:paraId="1723A8D4" w14:textId="4E108EE1" w:rsidR="006360C6" w:rsidRPr="006360C6" w:rsidRDefault="00A455D5" w:rsidP="006360C6">
        <w:pPr>
          <w:pStyle w:val="Footer"/>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F21" w14:textId="77777777" w:rsidR="00A75842" w:rsidRDefault="00A75842" w:rsidP="0077128C">
      <w:pPr>
        <w:spacing w:after="0" w:line="240" w:lineRule="auto"/>
      </w:pPr>
      <w:r>
        <w:separator/>
      </w:r>
    </w:p>
  </w:footnote>
  <w:footnote w:type="continuationSeparator" w:id="0">
    <w:p w14:paraId="6D8EA9DB" w14:textId="77777777" w:rsidR="00A75842" w:rsidRDefault="00A75842" w:rsidP="00771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96D"/>
    <w:multiLevelType w:val="hybridMultilevel"/>
    <w:tmpl w:val="FF10AD44"/>
    <w:lvl w:ilvl="0" w:tplc="88B044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90625"/>
    <w:multiLevelType w:val="hybridMultilevel"/>
    <w:tmpl w:val="0776960C"/>
    <w:lvl w:ilvl="0" w:tplc="EA0EC3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5169208">
    <w:abstractNumId w:val="31"/>
  </w:num>
  <w:num w:numId="2" w16cid:durableId="434331319">
    <w:abstractNumId w:val="21"/>
  </w:num>
  <w:num w:numId="3" w16cid:durableId="700204405">
    <w:abstractNumId w:val="29"/>
  </w:num>
  <w:num w:numId="4" w16cid:durableId="1443763581">
    <w:abstractNumId w:val="33"/>
  </w:num>
  <w:num w:numId="5" w16cid:durableId="1888641000">
    <w:abstractNumId w:val="11"/>
  </w:num>
  <w:num w:numId="6" w16cid:durableId="771897392">
    <w:abstractNumId w:val="8"/>
  </w:num>
  <w:num w:numId="7" w16cid:durableId="401686284">
    <w:abstractNumId w:val="6"/>
  </w:num>
  <w:num w:numId="8" w16cid:durableId="905720563">
    <w:abstractNumId w:val="32"/>
  </w:num>
  <w:num w:numId="9" w16cid:durableId="76749609">
    <w:abstractNumId w:val="3"/>
  </w:num>
  <w:num w:numId="10" w16cid:durableId="1172405981">
    <w:abstractNumId w:val="23"/>
  </w:num>
  <w:num w:numId="11" w16cid:durableId="1312253715">
    <w:abstractNumId w:val="28"/>
  </w:num>
  <w:num w:numId="12" w16cid:durableId="10184379">
    <w:abstractNumId w:val="17"/>
  </w:num>
  <w:num w:numId="13" w16cid:durableId="529227091">
    <w:abstractNumId w:val="25"/>
  </w:num>
  <w:num w:numId="14" w16cid:durableId="2083213294">
    <w:abstractNumId w:val="30"/>
  </w:num>
  <w:num w:numId="15" w16cid:durableId="103304739">
    <w:abstractNumId w:val="0"/>
  </w:num>
  <w:num w:numId="16" w16cid:durableId="1268391741">
    <w:abstractNumId w:val="22"/>
  </w:num>
  <w:num w:numId="17" w16cid:durableId="1737705955">
    <w:abstractNumId w:val="22"/>
  </w:num>
  <w:num w:numId="18" w16cid:durableId="2065447608">
    <w:abstractNumId w:val="10"/>
  </w:num>
  <w:num w:numId="19" w16cid:durableId="240335003">
    <w:abstractNumId w:val="18"/>
  </w:num>
  <w:num w:numId="20" w16cid:durableId="1699697877">
    <w:abstractNumId w:val="34"/>
  </w:num>
  <w:num w:numId="21" w16cid:durableId="1433433638">
    <w:abstractNumId w:val="15"/>
  </w:num>
  <w:num w:numId="22" w16cid:durableId="1235362085">
    <w:abstractNumId w:val="5"/>
  </w:num>
  <w:num w:numId="23" w16cid:durableId="1143349798">
    <w:abstractNumId w:val="16"/>
  </w:num>
  <w:num w:numId="24" w16cid:durableId="638923867">
    <w:abstractNumId w:val="37"/>
  </w:num>
  <w:num w:numId="25" w16cid:durableId="1407266254">
    <w:abstractNumId w:val="1"/>
  </w:num>
  <w:num w:numId="26" w16cid:durableId="1634946696">
    <w:abstractNumId w:val="7"/>
  </w:num>
  <w:num w:numId="27" w16cid:durableId="1395852139">
    <w:abstractNumId w:val="27"/>
  </w:num>
  <w:num w:numId="28" w16cid:durableId="1694070323">
    <w:abstractNumId w:val="14"/>
  </w:num>
  <w:num w:numId="29" w16cid:durableId="722409651">
    <w:abstractNumId w:val="9"/>
  </w:num>
  <w:num w:numId="30" w16cid:durableId="1882018023">
    <w:abstractNumId w:val="20"/>
  </w:num>
  <w:num w:numId="31" w16cid:durableId="1653749281">
    <w:abstractNumId w:val="35"/>
  </w:num>
  <w:num w:numId="32" w16cid:durableId="1057171494">
    <w:abstractNumId w:val="36"/>
  </w:num>
  <w:num w:numId="33" w16cid:durableId="1563904577">
    <w:abstractNumId w:val="26"/>
  </w:num>
  <w:num w:numId="34" w16cid:durableId="1325668127">
    <w:abstractNumId w:val="4"/>
  </w:num>
  <w:num w:numId="35" w16cid:durableId="1633827708">
    <w:abstractNumId w:val="19"/>
  </w:num>
  <w:num w:numId="36" w16cid:durableId="722096734">
    <w:abstractNumId w:val="2"/>
  </w:num>
  <w:num w:numId="37" w16cid:durableId="50353854">
    <w:abstractNumId w:val="12"/>
  </w:num>
  <w:num w:numId="38" w16cid:durableId="1740320400">
    <w:abstractNumId w:val="24"/>
  </w:num>
  <w:num w:numId="39" w16cid:durableId="1583250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AF"/>
    <w:rsid w:val="00004C37"/>
    <w:rsid w:val="000066B3"/>
    <w:rsid w:val="00066D87"/>
    <w:rsid w:val="00083973"/>
    <w:rsid w:val="000B6EAB"/>
    <w:rsid w:val="000E3EDE"/>
    <w:rsid w:val="00107E82"/>
    <w:rsid w:val="001A21B6"/>
    <w:rsid w:val="001B1CBA"/>
    <w:rsid w:val="001D2AF7"/>
    <w:rsid w:val="0020247C"/>
    <w:rsid w:val="00207743"/>
    <w:rsid w:val="00213167"/>
    <w:rsid w:val="002135AD"/>
    <w:rsid w:val="00232764"/>
    <w:rsid w:val="00234A6D"/>
    <w:rsid w:val="002512F9"/>
    <w:rsid w:val="00267405"/>
    <w:rsid w:val="002C697B"/>
    <w:rsid w:val="003145FA"/>
    <w:rsid w:val="00322CC8"/>
    <w:rsid w:val="00367A41"/>
    <w:rsid w:val="00370044"/>
    <w:rsid w:val="00386A67"/>
    <w:rsid w:val="00393C92"/>
    <w:rsid w:val="003A0A4B"/>
    <w:rsid w:val="003A1A41"/>
    <w:rsid w:val="003A3E09"/>
    <w:rsid w:val="003E17D7"/>
    <w:rsid w:val="003E6984"/>
    <w:rsid w:val="00417566"/>
    <w:rsid w:val="00430D7C"/>
    <w:rsid w:val="004379A0"/>
    <w:rsid w:val="0047372E"/>
    <w:rsid w:val="004D523C"/>
    <w:rsid w:val="004E4BA7"/>
    <w:rsid w:val="004E56C1"/>
    <w:rsid w:val="00501B97"/>
    <w:rsid w:val="00543768"/>
    <w:rsid w:val="005A1C17"/>
    <w:rsid w:val="005A20B8"/>
    <w:rsid w:val="005A2ABA"/>
    <w:rsid w:val="005C26F6"/>
    <w:rsid w:val="005D180A"/>
    <w:rsid w:val="005E7B69"/>
    <w:rsid w:val="005F39EF"/>
    <w:rsid w:val="006068A5"/>
    <w:rsid w:val="00613EA9"/>
    <w:rsid w:val="0061775F"/>
    <w:rsid w:val="006360C6"/>
    <w:rsid w:val="006450DC"/>
    <w:rsid w:val="00655FAF"/>
    <w:rsid w:val="00696C0D"/>
    <w:rsid w:val="006C6A0D"/>
    <w:rsid w:val="006F0329"/>
    <w:rsid w:val="006F3C2B"/>
    <w:rsid w:val="00700807"/>
    <w:rsid w:val="00712E58"/>
    <w:rsid w:val="00724D6B"/>
    <w:rsid w:val="007407AC"/>
    <w:rsid w:val="00755D72"/>
    <w:rsid w:val="0077128C"/>
    <w:rsid w:val="00792796"/>
    <w:rsid w:val="00796B64"/>
    <w:rsid w:val="007E6779"/>
    <w:rsid w:val="00820B4C"/>
    <w:rsid w:val="0083239D"/>
    <w:rsid w:val="008529D2"/>
    <w:rsid w:val="0088105E"/>
    <w:rsid w:val="00891B31"/>
    <w:rsid w:val="00902F45"/>
    <w:rsid w:val="00917DCA"/>
    <w:rsid w:val="00926DE3"/>
    <w:rsid w:val="009809EA"/>
    <w:rsid w:val="009B2BDB"/>
    <w:rsid w:val="009C7C72"/>
    <w:rsid w:val="009F5D35"/>
    <w:rsid w:val="00A0203F"/>
    <w:rsid w:val="00A455D5"/>
    <w:rsid w:val="00A47096"/>
    <w:rsid w:val="00A513C6"/>
    <w:rsid w:val="00A75842"/>
    <w:rsid w:val="00A94110"/>
    <w:rsid w:val="00AA2EC5"/>
    <w:rsid w:val="00AB4C73"/>
    <w:rsid w:val="00AD27C0"/>
    <w:rsid w:val="00AE6F47"/>
    <w:rsid w:val="00B53D50"/>
    <w:rsid w:val="00B91E47"/>
    <w:rsid w:val="00BA487C"/>
    <w:rsid w:val="00BC6B21"/>
    <w:rsid w:val="00BF39F3"/>
    <w:rsid w:val="00C04D8A"/>
    <w:rsid w:val="00C6528D"/>
    <w:rsid w:val="00C65884"/>
    <w:rsid w:val="00C87E57"/>
    <w:rsid w:val="00CE4949"/>
    <w:rsid w:val="00CF1A97"/>
    <w:rsid w:val="00CF6143"/>
    <w:rsid w:val="00D14843"/>
    <w:rsid w:val="00DD5C37"/>
    <w:rsid w:val="00DF35D9"/>
    <w:rsid w:val="00E0219B"/>
    <w:rsid w:val="00E02809"/>
    <w:rsid w:val="00E22516"/>
    <w:rsid w:val="00E36F3E"/>
    <w:rsid w:val="00E4239A"/>
    <w:rsid w:val="00E445B2"/>
    <w:rsid w:val="00E7578E"/>
    <w:rsid w:val="00E8290A"/>
    <w:rsid w:val="00EB027A"/>
    <w:rsid w:val="00EC1CBA"/>
    <w:rsid w:val="00EE7801"/>
    <w:rsid w:val="00F11A19"/>
    <w:rsid w:val="00F16554"/>
    <w:rsid w:val="00F36158"/>
    <w:rsid w:val="00F544E1"/>
    <w:rsid w:val="00F71BF9"/>
    <w:rsid w:val="00F959BF"/>
    <w:rsid w:val="00FA4495"/>
    <w:rsid w:val="00FA4F16"/>
    <w:rsid w:val="00FD5C10"/>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F52"/>
  <w15:chartTrackingRefBased/>
  <w15:docId w15:val="{E396B9EC-D8E2-4DE7-AA3D-0D92C338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AF"/>
    <w:pPr>
      <w:spacing w:after="160"/>
    </w:pPr>
    <w:rPr>
      <w:rFonts w:cstheme="minorBid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link w:val="ListParagraphChar"/>
    <w:uiPriority w:val="34"/>
    <w:qFormat/>
    <w:rsid w:val="002C697B"/>
    <w:pPr>
      <w:numPr>
        <w:numId w:val="39"/>
      </w:numPr>
      <w:spacing w:after="100" w:afterAutospacing="1"/>
      <w:ind w:left="0" w:firstLine="1152"/>
    </w:pPr>
    <w:rPr>
      <w:rFonts w:eastAsia="Times New Roman" w:cs="Times New Roman"/>
      <w:szCs w:val="24"/>
    </w:r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ListParagraphChar">
    <w:name w:val="List Paragraph Char"/>
    <w:aliases w:val="List Paragraph - PUC Char"/>
    <w:basedOn w:val="DefaultParagraphFont"/>
    <w:link w:val="ListParagraph"/>
    <w:uiPriority w:val="34"/>
    <w:rsid w:val="002C697B"/>
    <w:rPr>
      <w:rFonts w:eastAsia="Times New Roman"/>
      <w:szCs w:val="24"/>
    </w:rPr>
  </w:style>
  <w:style w:type="paragraph" w:styleId="Header">
    <w:name w:val="header"/>
    <w:basedOn w:val="Normal"/>
    <w:link w:val="HeaderChar"/>
    <w:uiPriority w:val="99"/>
    <w:unhideWhenUsed/>
    <w:rsid w:val="0077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28C"/>
    <w:rPr>
      <w:rFonts w:cstheme="minorBidi"/>
      <w:kern w:val="0"/>
      <w:szCs w:val="22"/>
      <w14:ligatures w14:val="none"/>
    </w:rPr>
  </w:style>
  <w:style w:type="paragraph" w:styleId="Footer">
    <w:name w:val="footer"/>
    <w:basedOn w:val="Normal"/>
    <w:link w:val="FooterChar"/>
    <w:uiPriority w:val="99"/>
    <w:unhideWhenUsed/>
    <w:rsid w:val="0077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28C"/>
    <w:rPr>
      <w:rFonts w:cstheme="minorBidi"/>
      <w:kern w:val="0"/>
      <w:szCs w:val="22"/>
      <w14:ligatures w14:val="none"/>
    </w:rPr>
  </w:style>
  <w:style w:type="paragraph" w:styleId="Revision">
    <w:name w:val="Revision"/>
    <w:hidden/>
    <w:uiPriority w:val="99"/>
    <w:semiHidden/>
    <w:rsid w:val="005C26F6"/>
    <w:pPr>
      <w:spacing w:line="240" w:lineRule="auto"/>
    </w:pPr>
    <w:rPr>
      <w:rFonts w:cstheme="minorBid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gov-my.sharepoint.com/personal/dalban_pa_gov/Documents/Documents/MDL/Base%20Rates/NFG/elizabeth.surdo@gmail.com" TargetMode="External"/><Relationship Id="rId4" Type="http://schemas.openxmlformats.org/officeDocument/2006/relationships/webSettings" Target="webSettings.xml"/><Relationship Id="rId9" Type="http://schemas.openxmlformats.org/officeDocument/2006/relationships/hyperlink" Target="mailto:sgra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6</cp:revision>
  <dcterms:created xsi:type="dcterms:W3CDTF">2023-03-20T15:20:00Z</dcterms:created>
  <dcterms:modified xsi:type="dcterms:W3CDTF">2023-03-20T15:49:00Z</dcterms:modified>
</cp:coreProperties>
</file>