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4F5E" w14:textId="77777777" w:rsidR="00A2306E" w:rsidRPr="00D451AD" w:rsidRDefault="00A2306E" w:rsidP="00A2306E">
      <w:pPr>
        <w:spacing w:after="0" w:line="240" w:lineRule="auto"/>
        <w:jc w:val="center"/>
        <w:rPr>
          <w:b/>
        </w:rPr>
      </w:pPr>
      <w:bookmarkStart w:id="0" w:name="_Hlk6482673"/>
      <w:r w:rsidRPr="00D451AD">
        <w:rPr>
          <w:b/>
        </w:rPr>
        <w:t>BEFORE</w:t>
      </w:r>
    </w:p>
    <w:p w14:paraId="12739042" w14:textId="77777777" w:rsidR="00A2306E" w:rsidRDefault="00A2306E" w:rsidP="00A2306E">
      <w:pPr>
        <w:spacing w:after="0" w:line="240" w:lineRule="auto"/>
        <w:jc w:val="center"/>
        <w:rPr>
          <w:b/>
        </w:rPr>
      </w:pPr>
      <w:r w:rsidRPr="00D451AD">
        <w:rPr>
          <w:b/>
        </w:rPr>
        <w:t>THE PENNSYLVANIA PUBLIC UTILITY COMMISSION</w:t>
      </w:r>
    </w:p>
    <w:p w14:paraId="7671F5E9" w14:textId="77777777" w:rsidR="00A2306E" w:rsidRDefault="00A2306E" w:rsidP="00A2306E">
      <w:pPr>
        <w:spacing w:after="0" w:line="240" w:lineRule="auto"/>
        <w:rPr>
          <w:b/>
        </w:rPr>
      </w:pPr>
    </w:p>
    <w:p w14:paraId="0CF3E5DB" w14:textId="77777777" w:rsidR="00A2306E" w:rsidRDefault="00A2306E" w:rsidP="00A2306E">
      <w:pPr>
        <w:spacing w:after="0" w:line="240" w:lineRule="auto"/>
        <w:rPr>
          <w:b/>
        </w:rPr>
      </w:pPr>
    </w:p>
    <w:p w14:paraId="03C5BFEE" w14:textId="77777777" w:rsidR="00A2306E" w:rsidRDefault="00A2306E" w:rsidP="00A2306E">
      <w:pPr>
        <w:spacing w:after="0" w:line="240" w:lineRule="auto"/>
        <w:rPr>
          <w:b/>
        </w:rPr>
      </w:pPr>
    </w:p>
    <w:p w14:paraId="227E661C"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Letter of Notification of PPL Electric Utilities </w:t>
      </w:r>
      <w:r w:rsidRPr="004E2584">
        <w:rPr>
          <w:rFonts w:eastAsia="Times New Roman" w:cs="Times New Roman"/>
          <w:bCs/>
          <w:color w:val="333333"/>
          <w:szCs w:val="24"/>
        </w:rPr>
        <w:tab/>
        <w:t>:</w:t>
      </w:r>
    </w:p>
    <w:p w14:paraId="662014D7"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Corporation Filed under 52 Pa. Code Chapter 57, </w:t>
      </w:r>
      <w:r w:rsidRPr="004E2584">
        <w:rPr>
          <w:rFonts w:eastAsia="Times New Roman" w:cs="Times New Roman"/>
          <w:bCs/>
          <w:color w:val="333333"/>
          <w:szCs w:val="24"/>
        </w:rPr>
        <w:tab/>
        <w:t>:</w:t>
      </w:r>
    </w:p>
    <w:p w14:paraId="77CC5FAF"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Subchapter G, for approval to rebuild the existing </w:t>
      </w:r>
      <w:r w:rsidRPr="004E2584">
        <w:rPr>
          <w:rFonts w:eastAsia="Times New Roman" w:cs="Times New Roman"/>
          <w:bCs/>
          <w:color w:val="333333"/>
          <w:szCs w:val="24"/>
        </w:rPr>
        <w:tab/>
        <w:t>:</w:t>
      </w:r>
    </w:p>
    <w:p w14:paraId="767FA5C5"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double-circuit Stanton-Summit # 3 and </w:t>
      </w:r>
      <w:r w:rsidRPr="004E2584">
        <w:rPr>
          <w:rFonts w:eastAsia="Times New Roman" w:cs="Times New Roman"/>
          <w:bCs/>
          <w:color w:val="333333"/>
          <w:szCs w:val="24"/>
        </w:rPr>
        <w:tab/>
      </w:r>
      <w:r w:rsidRPr="004E2584">
        <w:rPr>
          <w:rFonts w:eastAsia="Times New Roman" w:cs="Times New Roman"/>
          <w:bCs/>
          <w:color w:val="333333"/>
          <w:szCs w:val="24"/>
        </w:rPr>
        <w:tab/>
        <w:t>:</w:t>
      </w:r>
      <w:r w:rsidRPr="004E2584">
        <w:rPr>
          <w:rFonts w:eastAsia="Times New Roman" w:cs="Times New Roman"/>
          <w:bCs/>
          <w:color w:val="333333"/>
          <w:szCs w:val="24"/>
        </w:rPr>
        <w:tab/>
      </w:r>
      <w:r w:rsidRPr="004E2584">
        <w:rPr>
          <w:rFonts w:eastAsia="Times New Roman" w:cs="Times New Roman"/>
          <w:bCs/>
          <w:color w:val="333333"/>
          <w:szCs w:val="24"/>
        </w:rPr>
        <w:tab/>
        <w:t>A-2022-3037374</w:t>
      </w:r>
    </w:p>
    <w:p w14:paraId="1A0777AC"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 4 230 kV transmission lines connecting the </w:t>
      </w:r>
      <w:r w:rsidRPr="004E2584">
        <w:rPr>
          <w:rFonts w:eastAsia="Times New Roman" w:cs="Times New Roman"/>
          <w:bCs/>
          <w:color w:val="333333"/>
          <w:szCs w:val="24"/>
        </w:rPr>
        <w:tab/>
        <w:t>:</w:t>
      </w:r>
    </w:p>
    <w:p w14:paraId="2B86B3C3"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Stanton 230-69 kV substation and a two-pole</w:t>
      </w:r>
      <w:r w:rsidRPr="004E2584">
        <w:rPr>
          <w:rFonts w:eastAsia="Times New Roman" w:cs="Times New Roman"/>
          <w:bCs/>
          <w:color w:val="333333"/>
          <w:szCs w:val="24"/>
        </w:rPr>
        <w:tab/>
        <w:t>:</w:t>
      </w:r>
    </w:p>
    <w:p w14:paraId="69AB151B" w14:textId="77777777" w:rsidR="006C4A2C" w:rsidRPr="004E2584" w:rsidRDefault="006C4A2C" w:rsidP="006C4A2C">
      <w:pPr>
        <w:spacing w:after="0" w:line="240" w:lineRule="auto"/>
        <w:rPr>
          <w:rFonts w:eastAsia="Times New Roman" w:cs="Times New Roman"/>
          <w:bCs/>
          <w:color w:val="333333"/>
          <w:szCs w:val="24"/>
        </w:rPr>
      </w:pPr>
      <w:r w:rsidRPr="004E2584">
        <w:rPr>
          <w:rFonts w:eastAsia="Times New Roman" w:cs="Times New Roman"/>
          <w:bCs/>
          <w:color w:val="333333"/>
          <w:szCs w:val="24"/>
        </w:rPr>
        <w:t xml:space="preserve">turn structure that are respectively located in </w:t>
      </w:r>
      <w:r w:rsidRPr="004E2584">
        <w:rPr>
          <w:rFonts w:eastAsia="Times New Roman" w:cs="Times New Roman"/>
          <w:bCs/>
          <w:color w:val="333333"/>
          <w:szCs w:val="24"/>
        </w:rPr>
        <w:tab/>
        <w:t>:</w:t>
      </w:r>
    </w:p>
    <w:p w14:paraId="6355A1C5" w14:textId="77777777" w:rsidR="006C4A2C" w:rsidRPr="004E2584" w:rsidRDefault="006C4A2C" w:rsidP="006C4A2C">
      <w:pPr>
        <w:spacing w:after="0" w:line="240" w:lineRule="auto"/>
        <w:rPr>
          <w:rFonts w:eastAsia="Times New Roman" w:cs="Times New Roman"/>
          <w:b/>
          <w:bCs/>
          <w:color w:val="333333"/>
          <w:szCs w:val="24"/>
        </w:rPr>
      </w:pPr>
      <w:r w:rsidRPr="004E2584">
        <w:rPr>
          <w:rFonts w:eastAsia="Times New Roman" w:cs="Times New Roman"/>
          <w:color w:val="333333"/>
          <w:szCs w:val="24"/>
        </w:rPr>
        <w:t>Luzerne and Lackawanna Counties, Pennsylvania.</w:t>
      </w:r>
      <w:r w:rsidRPr="004E2584">
        <w:rPr>
          <w:rFonts w:eastAsia="Times New Roman" w:cs="Times New Roman"/>
          <w:color w:val="333333"/>
          <w:szCs w:val="24"/>
        </w:rPr>
        <w:tab/>
        <w:t>:</w:t>
      </w:r>
    </w:p>
    <w:p w14:paraId="1BCF8FA2" w14:textId="77777777" w:rsidR="006C4A2C" w:rsidRPr="004E2584" w:rsidRDefault="006C4A2C" w:rsidP="006C4A2C">
      <w:pPr>
        <w:tabs>
          <w:tab w:val="left" w:pos="0"/>
        </w:tabs>
        <w:spacing w:after="0" w:line="240" w:lineRule="auto"/>
        <w:jc w:val="both"/>
        <w:rPr>
          <w:rFonts w:eastAsia="Times New Roman" w:cs="Times New Roman"/>
          <w:szCs w:val="24"/>
        </w:rPr>
      </w:pPr>
    </w:p>
    <w:p w14:paraId="04C5F63F" w14:textId="77777777" w:rsidR="006C4A2C" w:rsidRPr="004E2584" w:rsidRDefault="006C4A2C" w:rsidP="006C4A2C">
      <w:pPr>
        <w:tabs>
          <w:tab w:val="left" w:pos="0"/>
        </w:tabs>
        <w:spacing w:after="0" w:line="240" w:lineRule="auto"/>
        <w:jc w:val="both"/>
        <w:rPr>
          <w:rFonts w:eastAsia="Times New Roman" w:cs="Times New Roman"/>
          <w:szCs w:val="24"/>
        </w:rPr>
      </w:pPr>
    </w:p>
    <w:p w14:paraId="39CCD8FD" w14:textId="77777777" w:rsidR="00B04270" w:rsidRDefault="00B04270" w:rsidP="00A2306E">
      <w:pPr>
        <w:spacing w:after="0" w:line="240" w:lineRule="auto"/>
      </w:pPr>
    </w:p>
    <w:p w14:paraId="526D8303" w14:textId="38A18C3D" w:rsidR="009108FA" w:rsidRPr="009108FA" w:rsidRDefault="009108FA" w:rsidP="009108FA">
      <w:pPr>
        <w:spacing w:after="0" w:line="240" w:lineRule="auto"/>
        <w:jc w:val="center"/>
        <w:rPr>
          <w:b/>
          <w:bCs/>
          <w:u w:val="single"/>
        </w:rPr>
      </w:pPr>
      <w:r w:rsidRPr="009108FA">
        <w:rPr>
          <w:b/>
          <w:bCs/>
          <w:u w:val="single"/>
        </w:rPr>
        <w:t>PREHEARING ORDER</w:t>
      </w:r>
    </w:p>
    <w:bookmarkEnd w:id="0"/>
    <w:p w14:paraId="50B6331F" w14:textId="77777777" w:rsidR="00A2306E" w:rsidRDefault="00A2306E" w:rsidP="00640076">
      <w:pPr>
        <w:tabs>
          <w:tab w:val="left" w:pos="0"/>
        </w:tabs>
        <w:spacing w:after="0"/>
        <w:jc w:val="both"/>
        <w:rPr>
          <w:rFonts w:eastAsia="Times New Roman" w:cs="Times New Roman"/>
          <w:szCs w:val="24"/>
        </w:rPr>
      </w:pPr>
    </w:p>
    <w:p w14:paraId="0B95F669" w14:textId="23BBC89B" w:rsidR="008F6121" w:rsidRDefault="00A2306E" w:rsidP="00640076">
      <w:pPr>
        <w:spacing w:after="0"/>
        <w:rPr>
          <w:rFonts w:cs="Times New Roman"/>
          <w:szCs w:val="24"/>
        </w:rPr>
      </w:pPr>
      <w:r>
        <w:tab/>
      </w:r>
      <w:r>
        <w:tab/>
      </w:r>
      <w:r w:rsidR="008F6121" w:rsidRPr="004E2584">
        <w:rPr>
          <w:rFonts w:cs="Times New Roman"/>
          <w:szCs w:val="24"/>
        </w:rPr>
        <w:t>On December 27,2022,  PPL Electric Utilities Corporation (</w:t>
      </w:r>
      <w:r w:rsidR="000956C3">
        <w:rPr>
          <w:rFonts w:cs="Times New Roman"/>
          <w:szCs w:val="24"/>
        </w:rPr>
        <w:t>“</w:t>
      </w:r>
      <w:r w:rsidR="008F6121" w:rsidRPr="004E2584">
        <w:rPr>
          <w:rFonts w:cs="Times New Roman"/>
          <w:szCs w:val="24"/>
        </w:rPr>
        <w:t>PPL</w:t>
      </w:r>
      <w:r w:rsidR="000956C3">
        <w:rPr>
          <w:rFonts w:cs="Times New Roman"/>
          <w:szCs w:val="24"/>
        </w:rPr>
        <w:t>”</w:t>
      </w:r>
      <w:r w:rsidR="008F6121" w:rsidRPr="004E2584">
        <w:rPr>
          <w:rFonts w:cs="Times New Roman"/>
          <w:szCs w:val="24"/>
        </w:rPr>
        <w:t xml:space="preserve"> or </w:t>
      </w:r>
      <w:r w:rsidR="000956C3">
        <w:rPr>
          <w:rFonts w:cs="Times New Roman"/>
          <w:szCs w:val="24"/>
        </w:rPr>
        <w:t>“</w:t>
      </w:r>
      <w:r w:rsidR="008F6121" w:rsidRPr="004E2584">
        <w:rPr>
          <w:rFonts w:cs="Times New Roman"/>
          <w:szCs w:val="24"/>
        </w:rPr>
        <w:t>Applicant</w:t>
      </w:r>
      <w:r w:rsidR="000956C3">
        <w:rPr>
          <w:rFonts w:cs="Times New Roman"/>
          <w:szCs w:val="24"/>
        </w:rPr>
        <w:t>”</w:t>
      </w:r>
      <w:r w:rsidR="008F6121" w:rsidRPr="004E2584">
        <w:rPr>
          <w:rFonts w:cs="Times New Roman"/>
          <w:szCs w:val="24"/>
        </w:rPr>
        <w:t>) filed a Letter of Notification (LON) with the Pennsylvania Public Utility Commission (</w:t>
      </w:r>
      <w:r w:rsidR="000956C3">
        <w:rPr>
          <w:rFonts w:cs="Times New Roman"/>
          <w:szCs w:val="24"/>
        </w:rPr>
        <w:t>“</w:t>
      </w:r>
      <w:r w:rsidR="008F6121" w:rsidRPr="004E2584">
        <w:rPr>
          <w:rFonts w:cs="Times New Roman"/>
          <w:szCs w:val="24"/>
        </w:rPr>
        <w:t>Commission</w:t>
      </w:r>
      <w:r w:rsidR="000956C3">
        <w:rPr>
          <w:rFonts w:cs="Times New Roman"/>
          <w:szCs w:val="24"/>
        </w:rPr>
        <w:t>”</w:t>
      </w:r>
      <w:r w:rsidR="008F6121" w:rsidRPr="004E2584">
        <w:rPr>
          <w:rFonts w:cs="Times New Roman"/>
          <w:szCs w:val="24"/>
        </w:rPr>
        <w:t xml:space="preserve">), pursuant to 52 Pa. Code Section 57.72(d)(1)(i), to rebuild the existing double-circuit Stanton-Summit #3 and #4 230 </w:t>
      </w:r>
      <w:r w:rsidR="008F6121">
        <w:rPr>
          <w:rFonts w:cs="Times New Roman"/>
          <w:szCs w:val="24"/>
        </w:rPr>
        <w:t>k</w:t>
      </w:r>
      <w:r w:rsidR="008F6121" w:rsidRPr="004E2584">
        <w:rPr>
          <w:rFonts w:cs="Times New Roman"/>
          <w:szCs w:val="24"/>
        </w:rPr>
        <w:t>V Transmission Lines connecting the Stanton 230 kV Substation (</w:t>
      </w:r>
      <w:r w:rsidR="000956C3">
        <w:rPr>
          <w:rFonts w:cs="Times New Roman"/>
          <w:szCs w:val="24"/>
        </w:rPr>
        <w:t>“</w:t>
      </w:r>
      <w:r w:rsidR="008F6121" w:rsidRPr="004E2584">
        <w:rPr>
          <w:rFonts w:cs="Times New Roman"/>
          <w:szCs w:val="24"/>
        </w:rPr>
        <w:t>Stanton Substation</w:t>
      </w:r>
      <w:r w:rsidR="000956C3">
        <w:rPr>
          <w:rFonts w:cs="Times New Roman"/>
          <w:szCs w:val="24"/>
        </w:rPr>
        <w:t>”</w:t>
      </w:r>
      <w:r w:rsidR="008F6121" w:rsidRPr="004E2584">
        <w:rPr>
          <w:rFonts w:cs="Times New Roman"/>
          <w:szCs w:val="24"/>
        </w:rPr>
        <w:t>) and a two-pole turn structure located approximately 1.4 miles north of the Summit 230-69 kV Substation (</w:t>
      </w:r>
      <w:r w:rsidR="000956C3">
        <w:rPr>
          <w:rFonts w:cs="Times New Roman"/>
          <w:szCs w:val="24"/>
        </w:rPr>
        <w:t>“</w:t>
      </w:r>
      <w:r w:rsidR="008F6121" w:rsidRPr="004E2584">
        <w:rPr>
          <w:rFonts w:cs="Times New Roman"/>
          <w:szCs w:val="24"/>
        </w:rPr>
        <w:t>Summit Substation</w:t>
      </w:r>
      <w:r w:rsidR="000956C3">
        <w:rPr>
          <w:rFonts w:cs="Times New Roman"/>
          <w:szCs w:val="24"/>
        </w:rPr>
        <w:t>”</w:t>
      </w:r>
      <w:r w:rsidR="008F6121" w:rsidRPr="004E2584">
        <w:rPr>
          <w:rFonts w:cs="Times New Roman"/>
          <w:szCs w:val="24"/>
        </w:rPr>
        <w:t>), which are located in Luzerne and Lackawanna Counties, Pennsylvania.</w:t>
      </w:r>
    </w:p>
    <w:p w14:paraId="2183FEED" w14:textId="77777777" w:rsidR="00EE69E2" w:rsidRDefault="00EE69E2" w:rsidP="00640076">
      <w:pPr>
        <w:spacing w:after="0"/>
        <w:rPr>
          <w:rFonts w:cs="Times New Roman"/>
          <w:szCs w:val="24"/>
        </w:rPr>
      </w:pPr>
    </w:p>
    <w:p w14:paraId="6C7A19B9" w14:textId="315DDAB3" w:rsidR="00EE69E2" w:rsidRPr="004E2584" w:rsidRDefault="00EE69E2" w:rsidP="00640076">
      <w:pPr>
        <w:spacing w:after="0"/>
        <w:ind w:firstLine="1440"/>
        <w:rPr>
          <w:rFonts w:cs="Times New Roman"/>
          <w:szCs w:val="24"/>
        </w:rPr>
      </w:pPr>
      <w:r>
        <w:rPr>
          <w:rFonts w:cs="Times New Roman"/>
          <w:szCs w:val="24"/>
        </w:rPr>
        <w:t xml:space="preserve">On January 25, 2023, the Office of Consumer Advocate </w:t>
      </w:r>
      <w:r w:rsidR="000956C3">
        <w:rPr>
          <w:rFonts w:cs="Times New Roman"/>
          <w:szCs w:val="24"/>
        </w:rPr>
        <w:t xml:space="preserve">(“OCA”) </w:t>
      </w:r>
      <w:r>
        <w:rPr>
          <w:rFonts w:cs="Times New Roman"/>
          <w:szCs w:val="24"/>
        </w:rPr>
        <w:t>filed a Notice of Intervention.</w:t>
      </w:r>
      <w:r w:rsidR="00640076">
        <w:rPr>
          <w:rFonts w:cs="Times New Roman"/>
          <w:szCs w:val="24"/>
        </w:rPr>
        <w:t xml:space="preserve"> </w:t>
      </w:r>
      <w:r>
        <w:rPr>
          <w:rFonts w:cs="Times New Roman"/>
          <w:szCs w:val="24"/>
        </w:rPr>
        <w:t xml:space="preserve"> On February 8, 2023, OCA filed an official Protest. </w:t>
      </w:r>
    </w:p>
    <w:p w14:paraId="312BA704" w14:textId="77777777" w:rsidR="008F6121" w:rsidRDefault="008F6121" w:rsidP="00640076">
      <w:pPr>
        <w:spacing w:after="0"/>
      </w:pPr>
    </w:p>
    <w:p w14:paraId="705EEBDA" w14:textId="789BE35C" w:rsidR="00EE69E2" w:rsidRDefault="00295B15" w:rsidP="00640076">
      <w:pPr>
        <w:spacing w:after="0"/>
      </w:pPr>
      <w:r>
        <w:tab/>
      </w:r>
      <w:r w:rsidR="009F0C9B">
        <w:tab/>
      </w:r>
      <w:r>
        <w:t xml:space="preserve">By </w:t>
      </w:r>
      <w:r w:rsidR="00EE69E2">
        <w:t xml:space="preserve">prehearing conference </w:t>
      </w:r>
      <w:r>
        <w:t>hearing notice dated February 2</w:t>
      </w:r>
      <w:r w:rsidR="00EE69E2">
        <w:t>4</w:t>
      </w:r>
      <w:r>
        <w:t>, 202</w:t>
      </w:r>
      <w:r w:rsidR="00EE69E2">
        <w:t>3</w:t>
      </w:r>
      <w:r>
        <w:t xml:space="preserve">, a prehearing conference was scheduled to take place on </w:t>
      </w:r>
      <w:r w:rsidR="00D97A41">
        <w:t xml:space="preserve">April </w:t>
      </w:r>
      <w:r w:rsidR="00EE69E2">
        <w:t>13</w:t>
      </w:r>
      <w:r w:rsidR="00D97A41">
        <w:t>, 202</w:t>
      </w:r>
      <w:r w:rsidR="00EE69E2">
        <w:t>3</w:t>
      </w:r>
      <w:r w:rsidR="00D97A41">
        <w:t xml:space="preserve">.  </w:t>
      </w:r>
      <w:r w:rsidR="00EE69E2">
        <w:t xml:space="preserve">Notice of the prehearing conference and the Letter of Notification were published in </w:t>
      </w:r>
      <w:r w:rsidR="00EE69E2" w:rsidRPr="00EE69E2">
        <w:rPr>
          <w:i/>
          <w:iCs/>
        </w:rPr>
        <w:t>The Scranton Times Tribune</w:t>
      </w:r>
      <w:r w:rsidR="00EE69E2">
        <w:t xml:space="preserve"> on February 24, 2023 and March 3, 2023, and in </w:t>
      </w:r>
      <w:r w:rsidR="00EE69E2" w:rsidRPr="00EE69E2">
        <w:rPr>
          <w:i/>
          <w:iCs/>
        </w:rPr>
        <w:t>The Reading Eagle</w:t>
      </w:r>
      <w:r w:rsidR="00EE69E2">
        <w:t xml:space="preserve"> on February 26, 2023 and March 5, 2023. </w:t>
      </w:r>
      <w:r w:rsidR="00640076">
        <w:t xml:space="preserve"> </w:t>
      </w:r>
    </w:p>
    <w:p w14:paraId="085EAD27" w14:textId="77777777" w:rsidR="00EE69E2" w:rsidRDefault="00EE69E2" w:rsidP="00640076">
      <w:pPr>
        <w:spacing w:after="0"/>
      </w:pPr>
      <w:r>
        <w:t xml:space="preserve">The publications advised that </w:t>
      </w:r>
      <w:r w:rsidR="00D97A41">
        <w:t xml:space="preserve">formal protests </w:t>
      </w:r>
      <w:r>
        <w:t xml:space="preserve">and motions to intervene must be filed on or before April 10, 2023. </w:t>
      </w:r>
    </w:p>
    <w:p w14:paraId="11E340C5" w14:textId="77777777" w:rsidR="00640076" w:rsidRDefault="00640076" w:rsidP="00640076">
      <w:pPr>
        <w:spacing w:after="0"/>
      </w:pPr>
    </w:p>
    <w:p w14:paraId="52E59E96" w14:textId="3B2C0179" w:rsidR="00841A31" w:rsidRDefault="00CC6ED2" w:rsidP="00640076">
      <w:pPr>
        <w:spacing w:after="0"/>
        <w:ind w:firstLine="1440"/>
      </w:pPr>
      <w:r>
        <w:lastRenderedPageBreak/>
        <w:t>A prehearing conference order</w:t>
      </w:r>
      <w:r w:rsidR="00FE5B02">
        <w:t>,</w:t>
      </w:r>
      <w:r>
        <w:t xml:space="preserve"> dated </w:t>
      </w:r>
      <w:r w:rsidR="005A0D5E">
        <w:t>February</w:t>
      </w:r>
      <w:r>
        <w:t xml:space="preserve"> </w:t>
      </w:r>
      <w:r w:rsidR="00EE69E2">
        <w:t>24</w:t>
      </w:r>
      <w:r>
        <w:t xml:space="preserve">, </w:t>
      </w:r>
      <w:r w:rsidR="00EE69E2">
        <w:t>2023</w:t>
      </w:r>
      <w:r w:rsidR="00125A12">
        <w:t xml:space="preserve">, </w:t>
      </w:r>
      <w:r w:rsidR="00D97A41">
        <w:t xml:space="preserve">was served on the entities identified by PPL as potentially affected by the project or required to be </w:t>
      </w:r>
      <w:r>
        <w:t>notified</w:t>
      </w:r>
      <w:r w:rsidR="00D97A41">
        <w:t xml:space="preserve"> by the Commission’s regulations.  In addition to providing the time and date of the prehearing conference and the deadline for filing protests, the prehearing conference order informed these entities that if they did not attend the prehearing conference or notify the administrative law judge of their intent to participate, their</w:t>
      </w:r>
      <w:r w:rsidR="00841A31">
        <w:t xml:space="preserve"> name would be removed from the service list </w:t>
      </w:r>
      <w:r w:rsidR="00ED5019">
        <w:t>and</w:t>
      </w:r>
      <w:r w:rsidR="00841A31">
        <w:t xml:space="preserve"> they would not receive any </w:t>
      </w:r>
      <w:r w:rsidR="00841A31" w:rsidRPr="00841A31">
        <w:t xml:space="preserve">pleadings, filings, discovery requests, written testimony or orders and decisions in this matter. </w:t>
      </w:r>
    </w:p>
    <w:p w14:paraId="2108B4D9" w14:textId="77777777" w:rsidR="00AB183F" w:rsidRDefault="00AB183F" w:rsidP="00640076">
      <w:pPr>
        <w:spacing w:after="0"/>
      </w:pPr>
    </w:p>
    <w:p w14:paraId="4321101B" w14:textId="533FE1DC" w:rsidR="00782A28" w:rsidRDefault="00841A31" w:rsidP="00640076">
      <w:pPr>
        <w:spacing w:after="0"/>
      </w:pPr>
      <w:r>
        <w:tab/>
      </w:r>
      <w:r>
        <w:tab/>
      </w:r>
      <w:r w:rsidR="00782A28">
        <w:t xml:space="preserve">The prehearing conference convened as scheduled.  Counsel for PPL and </w:t>
      </w:r>
      <w:r w:rsidR="00FE5B02">
        <w:t>counsel for OCA appeared</w:t>
      </w:r>
      <w:r w:rsidR="00782A28">
        <w:t xml:space="preserve"> and participated in the discussion.  The prehearing order memorializes the matters decided and agreed upon by the parties attending the conference. </w:t>
      </w:r>
    </w:p>
    <w:p w14:paraId="6B82E809" w14:textId="77777777" w:rsidR="00AB183F" w:rsidRDefault="00AB183F" w:rsidP="00640076">
      <w:pPr>
        <w:spacing w:after="0"/>
      </w:pPr>
    </w:p>
    <w:p w14:paraId="56ED866E" w14:textId="180C8CA5" w:rsidR="00530F9D" w:rsidRDefault="00530F9D" w:rsidP="00640076">
      <w:pPr>
        <w:spacing w:after="0"/>
        <w:jc w:val="center"/>
        <w:rPr>
          <w:u w:val="single"/>
        </w:rPr>
      </w:pPr>
      <w:r w:rsidRPr="004210DA">
        <w:rPr>
          <w:u w:val="single"/>
        </w:rPr>
        <w:t>Service List</w:t>
      </w:r>
    </w:p>
    <w:p w14:paraId="347C54A8" w14:textId="77777777" w:rsidR="00AB183F" w:rsidRPr="004210DA" w:rsidRDefault="00AB183F" w:rsidP="00640076">
      <w:pPr>
        <w:spacing w:after="0"/>
        <w:jc w:val="center"/>
        <w:rPr>
          <w:u w:val="single"/>
        </w:rPr>
      </w:pPr>
    </w:p>
    <w:p w14:paraId="0502F641" w14:textId="20C88C25" w:rsidR="00530F9D" w:rsidRDefault="00530F9D" w:rsidP="00640076">
      <w:pPr>
        <w:spacing w:after="0"/>
      </w:pPr>
      <w:r>
        <w:tab/>
      </w:r>
      <w:r>
        <w:tab/>
        <w:t xml:space="preserve">The </w:t>
      </w:r>
      <w:r w:rsidR="004210DA">
        <w:t xml:space="preserve">current </w:t>
      </w:r>
      <w:r>
        <w:t xml:space="preserve">service list </w:t>
      </w:r>
      <w:r w:rsidR="00BE7881">
        <w:t xml:space="preserve">is attached to this order.  </w:t>
      </w:r>
    </w:p>
    <w:p w14:paraId="13152E99" w14:textId="77777777" w:rsidR="00AB183F" w:rsidRDefault="00AB183F" w:rsidP="00640076">
      <w:pPr>
        <w:spacing w:after="0"/>
      </w:pPr>
    </w:p>
    <w:p w14:paraId="05E84C7D" w14:textId="34B665D3" w:rsidR="00782A28" w:rsidRPr="00295B15" w:rsidRDefault="00782A28" w:rsidP="00640076">
      <w:pPr>
        <w:spacing w:after="0"/>
        <w:jc w:val="center"/>
        <w:rPr>
          <w:u w:val="single"/>
        </w:rPr>
      </w:pPr>
      <w:r w:rsidRPr="00295B15">
        <w:rPr>
          <w:u w:val="single"/>
        </w:rPr>
        <w:t>Litigation Schedule</w:t>
      </w:r>
      <w:r w:rsidR="000A7B65">
        <w:rPr>
          <w:u w:val="single"/>
        </w:rPr>
        <w:br/>
      </w: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782A28" w:rsidRPr="00782A28" w14:paraId="0B8599A0" w14:textId="77777777" w:rsidTr="00F42030">
        <w:trPr>
          <w:trHeight w:val="401"/>
        </w:trPr>
        <w:tc>
          <w:tcPr>
            <w:tcW w:w="2890" w:type="dxa"/>
            <w:tcBorders>
              <w:top w:val="thinThickSmallGap" w:sz="24" w:space="0" w:color="auto"/>
              <w:bottom w:val="single" w:sz="4" w:space="0" w:color="auto"/>
              <w:right w:val="single" w:sz="4" w:space="0" w:color="auto"/>
            </w:tcBorders>
          </w:tcPr>
          <w:p w14:paraId="0F1BA57F" w14:textId="77777777" w:rsidR="00782A28" w:rsidRPr="00782A28" w:rsidRDefault="00782A28" w:rsidP="00782A28">
            <w:pPr>
              <w:keepNext/>
              <w:spacing w:after="0" w:line="240" w:lineRule="auto"/>
              <w:jc w:val="both"/>
              <w:outlineLvl w:val="1"/>
              <w:rPr>
                <w:rFonts w:eastAsia="Times New Roman" w:cs="Times New Roman"/>
                <w:b/>
                <w:szCs w:val="24"/>
              </w:rPr>
            </w:pPr>
            <w:r w:rsidRPr="00782A28">
              <w:rPr>
                <w:rFonts w:eastAsia="Times New Roman" w:cs="Times New Roman"/>
                <w:b/>
                <w:szCs w:val="24"/>
                <w:u w:val="single"/>
              </w:rPr>
              <w:t>Date</w:t>
            </w:r>
          </w:p>
        </w:tc>
        <w:tc>
          <w:tcPr>
            <w:tcW w:w="6661" w:type="dxa"/>
            <w:tcBorders>
              <w:top w:val="thinThickSmallGap" w:sz="24" w:space="0" w:color="auto"/>
              <w:left w:val="single" w:sz="4" w:space="0" w:color="auto"/>
              <w:bottom w:val="single" w:sz="4" w:space="0" w:color="auto"/>
            </w:tcBorders>
          </w:tcPr>
          <w:p w14:paraId="32A8A9C4" w14:textId="77777777" w:rsidR="00782A28" w:rsidRPr="00782A28" w:rsidRDefault="00782A28" w:rsidP="00782A28">
            <w:pPr>
              <w:keepNext/>
              <w:spacing w:after="0" w:line="240" w:lineRule="auto"/>
              <w:jc w:val="both"/>
              <w:outlineLvl w:val="1"/>
              <w:rPr>
                <w:rFonts w:eastAsia="Times New Roman" w:cs="Times New Roman"/>
                <w:b/>
                <w:szCs w:val="24"/>
              </w:rPr>
            </w:pPr>
            <w:r w:rsidRPr="00782A28">
              <w:rPr>
                <w:rFonts w:eastAsia="Times New Roman" w:cs="Times New Roman"/>
                <w:b/>
                <w:szCs w:val="24"/>
                <w:u w:val="single"/>
              </w:rPr>
              <w:t>Event</w:t>
            </w:r>
          </w:p>
        </w:tc>
      </w:tr>
      <w:tr w:rsidR="00782A28" w:rsidRPr="00782A28" w14:paraId="5E371E35" w14:textId="77777777" w:rsidTr="00F42030">
        <w:trPr>
          <w:trHeight w:val="271"/>
        </w:trPr>
        <w:tc>
          <w:tcPr>
            <w:tcW w:w="2890" w:type="dxa"/>
            <w:tcBorders>
              <w:top w:val="single" w:sz="4" w:space="0" w:color="auto"/>
              <w:bottom w:val="single" w:sz="4" w:space="0" w:color="auto"/>
              <w:right w:val="single" w:sz="4" w:space="0" w:color="auto"/>
            </w:tcBorders>
            <w:vAlign w:val="center"/>
          </w:tcPr>
          <w:p w14:paraId="12CF1FE9" w14:textId="6EEEE904" w:rsidR="00782A28" w:rsidRPr="00782A28" w:rsidRDefault="00DD19B7" w:rsidP="00782A28">
            <w:pPr>
              <w:spacing w:line="240" w:lineRule="auto"/>
              <w:rPr>
                <w:rFonts w:cs="Times New Roman"/>
                <w:szCs w:val="24"/>
              </w:rPr>
            </w:pPr>
            <w:r>
              <w:rPr>
                <w:rFonts w:cs="Times New Roman"/>
                <w:szCs w:val="24"/>
              </w:rPr>
              <w:t>May 24, 2023</w:t>
            </w:r>
          </w:p>
        </w:tc>
        <w:tc>
          <w:tcPr>
            <w:tcW w:w="6661" w:type="dxa"/>
            <w:tcBorders>
              <w:top w:val="single" w:sz="4" w:space="0" w:color="auto"/>
              <w:left w:val="single" w:sz="4" w:space="0" w:color="auto"/>
              <w:bottom w:val="single" w:sz="4" w:space="0" w:color="auto"/>
            </w:tcBorders>
          </w:tcPr>
          <w:p w14:paraId="2F07EDB6" w14:textId="33BA045A" w:rsidR="00782A28" w:rsidRPr="00782A28" w:rsidRDefault="00A24A19" w:rsidP="00782A28">
            <w:pPr>
              <w:spacing w:line="240" w:lineRule="auto"/>
              <w:rPr>
                <w:rFonts w:cs="Times New Roman"/>
                <w:szCs w:val="24"/>
              </w:rPr>
            </w:pPr>
            <w:r>
              <w:rPr>
                <w:rFonts w:cs="Times New Roman"/>
                <w:szCs w:val="24"/>
              </w:rPr>
              <w:t xml:space="preserve">Service of </w:t>
            </w:r>
            <w:r w:rsidR="00FE5B02">
              <w:rPr>
                <w:rFonts w:cs="Times New Roman"/>
                <w:szCs w:val="24"/>
              </w:rPr>
              <w:t>PPL</w:t>
            </w:r>
            <w:r>
              <w:rPr>
                <w:rFonts w:cs="Times New Roman"/>
                <w:szCs w:val="24"/>
              </w:rPr>
              <w:t xml:space="preserve"> </w:t>
            </w:r>
            <w:r w:rsidR="00FE5B02">
              <w:rPr>
                <w:rFonts w:cs="Times New Roman"/>
                <w:szCs w:val="24"/>
              </w:rPr>
              <w:t>D</w:t>
            </w:r>
            <w:r>
              <w:rPr>
                <w:rFonts w:cs="Times New Roman"/>
                <w:szCs w:val="24"/>
              </w:rPr>
              <w:t xml:space="preserve">irect </w:t>
            </w:r>
            <w:r w:rsidR="00FE5B02">
              <w:rPr>
                <w:rFonts w:cs="Times New Roman"/>
                <w:szCs w:val="24"/>
              </w:rPr>
              <w:t>T</w:t>
            </w:r>
            <w:r>
              <w:rPr>
                <w:rFonts w:cs="Times New Roman"/>
                <w:szCs w:val="24"/>
              </w:rPr>
              <w:t xml:space="preserve">estimony </w:t>
            </w:r>
          </w:p>
        </w:tc>
      </w:tr>
      <w:tr w:rsidR="00782A28" w:rsidRPr="00782A28" w14:paraId="2EAC5675" w14:textId="77777777" w:rsidTr="00F42030">
        <w:trPr>
          <w:trHeight w:val="259"/>
        </w:trPr>
        <w:tc>
          <w:tcPr>
            <w:tcW w:w="2890" w:type="dxa"/>
            <w:tcBorders>
              <w:top w:val="single" w:sz="4" w:space="0" w:color="auto"/>
              <w:bottom w:val="single" w:sz="4" w:space="0" w:color="auto"/>
              <w:right w:val="single" w:sz="4" w:space="0" w:color="auto"/>
            </w:tcBorders>
            <w:vAlign w:val="center"/>
          </w:tcPr>
          <w:p w14:paraId="29AF4EF5" w14:textId="5E6E3D88" w:rsidR="00782A28" w:rsidRPr="00782A28" w:rsidRDefault="00FE5B02" w:rsidP="00782A28">
            <w:pPr>
              <w:spacing w:line="240" w:lineRule="auto"/>
              <w:rPr>
                <w:rFonts w:cs="Times New Roman"/>
                <w:szCs w:val="24"/>
              </w:rPr>
            </w:pPr>
            <w:r>
              <w:rPr>
                <w:rFonts w:cs="Times New Roman"/>
                <w:szCs w:val="24"/>
              </w:rPr>
              <w:t xml:space="preserve">July </w:t>
            </w:r>
            <w:r w:rsidR="00545667">
              <w:rPr>
                <w:rFonts w:cs="Times New Roman"/>
                <w:szCs w:val="24"/>
              </w:rPr>
              <w:t>7</w:t>
            </w:r>
            <w:r>
              <w:rPr>
                <w:rFonts w:cs="Times New Roman"/>
                <w:szCs w:val="24"/>
              </w:rPr>
              <w:t>, 2023</w:t>
            </w:r>
          </w:p>
        </w:tc>
        <w:tc>
          <w:tcPr>
            <w:tcW w:w="6661" w:type="dxa"/>
            <w:tcBorders>
              <w:top w:val="single" w:sz="4" w:space="0" w:color="auto"/>
              <w:left w:val="single" w:sz="4" w:space="0" w:color="auto"/>
              <w:bottom w:val="single" w:sz="4" w:space="0" w:color="auto"/>
            </w:tcBorders>
          </w:tcPr>
          <w:p w14:paraId="4574D8C2" w14:textId="463B66A5" w:rsidR="00782A28" w:rsidRPr="00782A28" w:rsidRDefault="000773C4" w:rsidP="00782A28">
            <w:pPr>
              <w:spacing w:line="240" w:lineRule="auto"/>
              <w:rPr>
                <w:rFonts w:cs="Times New Roman"/>
                <w:szCs w:val="24"/>
              </w:rPr>
            </w:pPr>
            <w:r>
              <w:rPr>
                <w:rFonts w:cs="Times New Roman"/>
                <w:szCs w:val="24"/>
              </w:rPr>
              <w:t xml:space="preserve">Service of </w:t>
            </w:r>
            <w:r w:rsidR="00FE5B02">
              <w:rPr>
                <w:rFonts w:cs="Times New Roman"/>
                <w:szCs w:val="24"/>
              </w:rPr>
              <w:t xml:space="preserve">OCA </w:t>
            </w:r>
            <w:r>
              <w:rPr>
                <w:rFonts w:cs="Times New Roman"/>
                <w:szCs w:val="24"/>
              </w:rPr>
              <w:t>Direct</w:t>
            </w:r>
            <w:r w:rsidR="00FE5B02">
              <w:rPr>
                <w:rFonts w:cs="Times New Roman"/>
                <w:szCs w:val="24"/>
              </w:rPr>
              <w:t xml:space="preserve"> Testimony</w:t>
            </w:r>
            <w:r w:rsidR="00782A28" w:rsidRPr="00782A28">
              <w:rPr>
                <w:rFonts w:cs="Times New Roman"/>
                <w:szCs w:val="24"/>
              </w:rPr>
              <w:t xml:space="preserve">  </w:t>
            </w:r>
          </w:p>
        </w:tc>
      </w:tr>
      <w:tr w:rsidR="00A2306E" w:rsidRPr="00782A28" w14:paraId="5ACCBFCD" w14:textId="77777777" w:rsidTr="00F42030">
        <w:trPr>
          <w:trHeight w:val="259"/>
        </w:trPr>
        <w:tc>
          <w:tcPr>
            <w:tcW w:w="2890" w:type="dxa"/>
            <w:tcBorders>
              <w:top w:val="single" w:sz="4" w:space="0" w:color="auto"/>
              <w:bottom w:val="single" w:sz="4" w:space="0" w:color="auto"/>
              <w:right w:val="single" w:sz="4" w:space="0" w:color="auto"/>
            </w:tcBorders>
            <w:vAlign w:val="center"/>
          </w:tcPr>
          <w:p w14:paraId="18371099" w14:textId="29B1315A" w:rsidR="00A2306E" w:rsidRPr="00782A28" w:rsidRDefault="00FE5B02" w:rsidP="00782A28">
            <w:pPr>
              <w:spacing w:line="240" w:lineRule="auto"/>
              <w:rPr>
                <w:rFonts w:cs="Times New Roman"/>
                <w:szCs w:val="24"/>
              </w:rPr>
            </w:pPr>
            <w:r>
              <w:rPr>
                <w:rFonts w:cs="Times New Roman"/>
                <w:szCs w:val="24"/>
              </w:rPr>
              <w:t>August 3, 2023</w:t>
            </w:r>
          </w:p>
        </w:tc>
        <w:tc>
          <w:tcPr>
            <w:tcW w:w="6661" w:type="dxa"/>
            <w:tcBorders>
              <w:top w:val="single" w:sz="4" w:space="0" w:color="auto"/>
              <w:left w:val="single" w:sz="4" w:space="0" w:color="auto"/>
              <w:bottom w:val="single" w:sz="4" w:space="0" w:color="auto"/>
            </w:tcBorders>
          </w:tcPr>
          <w:p w14:paraId="13847016" w14:textId="6FDD926B" w:rsidR="00A2306E" w:rsidRPr="00782A28" w:rsidRDefault="001154DC" w:rsidP="00782A28">
            <w:pPr>
              <w:spacing w:line="240" w:lineRule="auto"/>
              <w:rPr>
                <w:rFonts w:cs="Times New Roman"/>
                <w:szCs w:val="24"/>
              </w:rPr>
            </w:pPr>
            <w:r>
              <w:rPr>
                <w:rFonts w:cs="Times New Roman"/>
                <w:szCs w:val="24"/>
              </w:rPr>
              <w:t xml:space="preserve">Service of </w:t>
            </w:r>
            <w:r w:rsidR="00FE5B02">
              <w:rPr>
                <w:rFonts w:cs="Times New Roman"/>
                <w:szCs w:val="24"/>
              </w:rPr>
              <w:t xml:space="preserve">Company </w:t>
            </w:r>
            <w:r w:rsidR="000773C4">
              <w:rPr>
                <w:rFonts w:cs="Times New Roman"/>
                <w:szCs w:val="24"/>
              </w:rPr>
              <w:t>Rebuttal</w:t>
            </w:r>
            <w:r w:rsidR="00FE5B02">
              <w:rPr>
                <w:rFonts w:cs="Times New Roman"/>
                <w:szCs w:val="24"/>
              </w:rPr>
              <w:t xml:space="preserve"> Testimony </w:t>
            </w:r>
          </w:p>
        </w:tc>
      </w:tr>
      <w:tr w:rsidR="00782A28" w:rsidRPr="00782A28" w14:paraId="47A5E72F" w14:textId="77777777" w:rsidTr="00F42030">
        <w:trPr>
          <w:trHeight w:val="359"/>
        </w:trPr>
        <w:tc>
          <w:tcPr>
            <w:tcW w:w="2890" w:type="dxa"/>
            <w:tcBorders>
              <w:top w:val="single" w:sz="4" w:space="0" w:color="auto"/>
              <w:bottom w:val="single" w:sz="4" w:space="0" w:color="auto"/>
              <w:right w:val="single" w:sz="4" w:space="0" w:color="auto"/>
            </w:tcBorders>
            <w:shd w:val="clear" w:color="auto" w:fill="auto"/>
            <w:vAlign w:val="center"/>
          </w:tcPr>
          <w:p w14:paraId="4781C07B" w14:textId="2F94E3EF" w:rsidR="00782A28" w:rsidRPr="00782A28" w:rsidRDefault="00A24A19" w:rsidP="00782A28">
            <w:pPr>
              <w:spacing w:line="240" w:lineRule="auto"/>
              <w:rPr>
                <w:rFonts w:cs="Times New Roman"/>
                <w:szCs w:val="24"/>
              </w:rPr>
            </w:pPr>
            <w:r>
              <w:rPr>
                <w:rFonts w:cs="Times New Roman"/>
                <w:szCs w:val="24"/>
              </w:rPr>
              <w:t xml:space="preserve">August </w:t>
            </w:r>
            <w:r w:rsidR="00FE5B02">
              <w:rPr>
                <w:rFonts w:cs="Times New Roman"/>
                <w:szCs w:val="24"/>
              </w:rPr>
              <w:t>14-15</w:t>
            </w:r>
            <w:r>
              <w:rPr>
                <w:rFonts w:cs="Times New Roman"/>
                <w:szCs w:val="24"/>
              </w:rPr>
              <w:t>, 202</w:t>
            </w:r>
            <w:r w:rsidR="00640076">
              <w:rPr>
                <w:rFonts w:cs="Times New Roman"/>
                <w:szCs w:val="24"/>
              </w:rPr>
              <w:t>3</w:t>
            </w:r>
            <w:r w:rsidR="007D6190">
              <w:rPr>
                <w:rFonts w:cs="Times New Roman"/>
                <w:szCs w:val="24"/>
              </w:rPr>
              <w:t>, at 10:00 a.m. each day</w:t>
            </w:r>
          </w:p>
        </w:tc>
        <w:tc>
          <w:tcPr>
            <w:tcW w:w="6661" w:type="dxa"/>
            <w:tcBorders>
              <w:top w:val="single" w:sz="4" w:space="0" w:color="auto"/>
              <w:left w:val="single" w:sz="4" w:space="0" w:color="auto"/>
              <w:bottom w:val="single" w:sz="4" w:space="0" w:color="auto"/>
            </w:tcBorders>
            <w:shd w:val="clear" w:color="auto" w:fill="auto"/>
          </w:tcPr>
          <w:p w14:paraId="57C1FA23" w14:textId="5CA62446" w:rsidR="00782A28" w:rsidRPr="00782A28" w:rsidRDefault="000D3C97" w:rsidP="00782A28">
            <w:pPr>
              <w:spacing w:line="240" w:lineRule="auto"/>
              <w:rPr>
                <w:rFonts w:cs="Times New Roman"/>
                <w:szCs w:val="24"/>
              </w:rPr>
            </w:pPr>
            <w:r>
              <w:rPr>
                <w:rFonts w:cs="Times New Roman"/>
                <w:szCs w:val="24"/>
              </w:rPr>
              <w:t>Evidentiary</w:t>
            </w:r>
            <w:r w:rsidR="00782A28" w:rsidRPr="00782A28">
              <w:rPr>
                <w:rFonts w:cs="Times New Roman"/>
                <w:szCs w:val="24"/>
              </w:rPr>
              <w:t xml:space="preserve"> hearings </w:t>
            </w:r>
            <w:r>
              <w:rPr>
                <w:rFonts w:cs="Times New Roman"/>
                <w:szCs w:val="24"/>
              </w:rPr>
              <w:t>in-person, Harrisburg</w:t>
            </w:r>
            <w:r>
              <w:rPr>
                <w:rStyle w:val="FootnoteReference"/>
                <w:rFonts w:cs="Times New Roman"/>
                <w:szCs w:val="24"/>
              </w:rPr>
              <w:footnoteReference w:id="1"/>
            </w:r>
            <w:r w:rsidR="00545667">
              <w:rPr>
                <w:rFonts w:cs="Times New Roman"/>
                <w:szCs w:val="24"/>
              </w:rPr>
              <w:t xml:space="preserve"> </w:t>
            </w:r>
          </w:p>
        </w:tc>
      </w:tr>
      <w:tr w:rsidR="00782A28" w:rsidRPr="00782A28" w14:paraId="4249A740" w14:textId="77777777" w:rsidTr="00F42030">
        <w:trPr>
          <w:trHeight w:val="401"/>
        </w:trPr>
        <w:tc>
          <w:tcPr>
            <w:tcW w:w="2890" w:type="dxa"/>
            <w:tcBorders>
              <w:top w:val="single" w:sz="4" w:space="0" w:color="auto"/>
              <w:bottom w:val="single" w:sz="4" w:space="0" w:color="auto"/>
              <w:right w:val="single" w:sz="4" w:space="0" w:color="auto"/>
            </w:tcBorders>
            <w:vAlign w:val="center"/>
          </w:tcPr>
          <w:p w14:paraId="42A2C114" w14:textId="333F2250" w:rsidR="00782A28" w:rsidRPr="00782A28" w:rsidRDefault="00A24A19" w:rsidP="00782A28">
            <w:pPr>
              <w:spacing w:line="240" w:lineRule="auto"/>
              <w:rPr>
                <w:rFonts w:cs="Times New Roman"/>
                <w:szCs w:val="24"/>
              </w:rPr>
            </w:pPr>
            <w:r>
              <w:rPr>
                <w:rFonts w:cs="Times New Roman"/>
                <w:szCs w:val="24"/>
              </w:rPr>
              <w:t xml:space="preserve">September </w:t>
            </w:r>
            <w:r w:rsidR="003F7C0F">
              <w:rPr>
                <w:rFonts w:cs="Times New Roman"/>
                <w:szCs w:val="24"/>
              </w:rPr>
              <w:t>15</w:t>
            </w:r>
            <w:r>
              <w:rPr>
                <w:rFonts w:cs="Times New Roman"/>
                <w:szCs w:val="24"/>
              </w:rPr>
              <w:t>, 202</w:t>
            </w:r>
            <w:r w:rsidR="00FE5B02">
              <w:rPr>
                <w:rFonts w:cs="Times New Roman"/>
                <w:szCs w:val="24"/>
              </w:rPr>
              <w:t>3</w:t>
            </w:r>
          </w:p>
        </w:tc>
        <w:tc>
          <w:tcPr>
            <w:tcW w:w="6661" w:type="dxa"/>
            <w:tcBorders>
              <w:top w:val="single" w:sz="4" w:space="0" w:color="auto"/>
              <w:left w:val="single" w:sz="4" w:space="0" w:color="auto"/>
              <w:bottom w:val="single" w:sz="4" w:space="0" w:color="auto"/>
            </w:tcBorders>
          </w:tcPr>
          <w:p w14:paraId="78D5EF48" w14:textId="77777777" w:rsidR="00782A28" w:rsidRPr="00782A28" w:rsidRDefault="00782A28" w:rsidP="00782A28">
            <w:pPr>
              <w:spacing w:line="240" w:lineRule="auto"/>
              <w:rPr>
                <w:rFonts w:cs="Times New Roman"/>
                <w:szCs w:val="24"/>
              </w:rPr>
            </w:pPr>
            <w:r w:rsidRPr="00782A28">
              <w:rPr>
                <w:rFonts w:cs="Times New Roman"/>
                <w:szCs w:val="24"/>
              </w:rPr>
              <w:t xml:space="preserve">Filing and service of main briefs </w:t>
            </w:r>
          </w:p>
        </w:tc>
      </w:tr>
      <w:tr w:rsidR="00782A28" w:rsidRPr="00782A28" w14:paraId="4900F30D" w14:textId="77777777" w:rsidTr="00A24A19">
        <w:trPr>
          <w:trHeight w:val="440"/>
        </w:trPr>
        <w:tc>
          <w:tcPr>
            <w:tcW w:w="2890" w:type="dxa"/>
            <w:tcBorders>
              <w:top w:val="single" w:sz="4" w:space="0" w:color="auto"/>
              <w:right w:val="single" w:sz="4" w:space="0" w:color="auto"/>
            </w:tcBorders>
            <w:vAlign w:val="center"/>
          </w:tcPr>
          <w:p w14:paraId="1EA2131A" w14:textId="181426DD" w:rsidR="00782A28" w:rsidRPr="00782A28" w:rsidRDefault="00A24A19" w:rsidP="00782A28">
            <w:pPr>
              <w:spacing w:line="240" w:lineRule="auto"/>
              <w:rPr>
                <w:rFonts w:cs="Times New Roman"/>
                <w:szCs w:val="24"/>
              </w:rPr>
            </w:pPr>
            <w:r>
              <w:rPr>
                <w:rFonts w:cs="Times New Roman"/>
                <w:szCs w:val="24"/>
              </w:rPr>
              <w:t xml:space="preserve">September </w:t>
            </w:r>
            <w:r w:rsidR="003F7C0F">
              <w:rPr>
                <w:rFonts w:cs="Times New Roman"/>
                <w:szCs w:val="24"/>
              </w:rPr>
              <w:t>29</w:t>
            </w:r>
            <w:r>
              <w:rPr>
                <w:rFonts w:cs="Times New Roman"/>
                <w:szCs w:val="24"/>
              </w:rPr>
              <w:t>, 202</w:t>
            </w:r>
            <w:r w:rsidR="00FE5B02">
              <w:rPr>
                <w:rFonts w:cs="Times New Roman"/>
                <w:szCs w:val="24"/>
              </w:rPr>
              <w:t>3</w:t>
            </w:r>
          </w:p>
        </w:tc>
        <w:tc>
          <w:tcPr>
            <w:tcW w:w="6661" w:type="dxa"/>
            <w:tcBorders>
              <w:top w:val="single" w:sz="4" w:space="0" w:color="auto"/>
              <w:left w:val="single" w:sz="4" w:space="0" w:color="auto"/>
              <w:bottom w:val="thickThinSmallGap" w:sz="24" w:space="0" w:color="auto"/>
            </w:tcBorders>
          </w:tcPr>
          <w:p w14:paraId="4AC37F8C" w14:textId="5823B0EB" w:rsidR="00782A28" w:rsidRPr="00782A28" w:rsidRDefault="00782A28" w:rsidP="00782A28">
            <w:pPr>
              <w:spacing w:line="240" w:lineRule="auto"/>
              <w:rPr>
                <w:rFonts w:cs="Times New Roman"/>
                <w:szCs w:val="24"/>
              </w:rPr>
            </w:pPr>
            <w:r w:rsidRPr="00782A28">
              <w:rPr>
                <w:rFonts w:cs="Times New Roman"/>
                <w:szCs w:val="24"/>
              </w:rPr>
              <w:t>Filing and service of reply briefs</w:t>
            </w:r>
            <w:r w:rsidR="00C553F6">
              <w:rPr>
                <w:rFonts w:cs="Times New Roman"/>
                <w:szCs w:val="24"/>
              </w:rPr>
              <w:t xml:space="preserve"> or joint petiti</w:t>
            </w:r>
            <w:r w:rsidR="00BC029A">
              <w:rPr>
                <w:rFonts w:cs="Times New Roman"/>
                <w:szCs w:val="24"/>
              </w:rPr>
              <w:t>on for settlement</w:t>
            </w:r>
          </w:p>
        </w:tc>
      </w:tr>
    </w:tbl>
    <w:p w14:paraId="61E6F9F8" w14:textId="6D9318A0" w:rsidR="00A2306E" w:rsidRPr="00D228F0" w:rsidRDefault="00A2306E" w:rsidP="00B04270">
      <w:pPr>
        <w:spacing w:after="0"/>
        <w:ind w:firstLine="1440"/>
        <w:rPr>
          <w:rFonts w:cs="Times New Roman"/>
          <w:bCs/>
          <w:szCs w:val="24"/>
        </w:rPr>
      </w:pPr>
      <w:r w:rsidRPr="00FC2C48">
        <w:rPr>
          <w:rFonts w:cs="Times New Roman"/>
          <w:szCs w:val="24"/>
        </w:rPr>
        <w:lastRenderedPageBreak/>
        <w:t xml:space="preserve">The parties are reminded of the Commission’s requirements for the preparation and filing of written testimony.  52 Pa.Code § 5.412.  Written testimony must be accompanied by all exhibits to which it relates.  Technical terms and concepts are to be clearly defined and explained in the testimonies and briefs.  </w:t>
      </w:r>
      <w:r w:rsidRPr="00D228F0">
        <w:rPr>
          <w:rFonts w:cs="Times New Roman"/>
          <w:bCs/>
          <w:szCs w:val="24"/>
        </w:rPr>
        <w:t xml:space="preserve">The parties are to agree on a list of common acronyms and use them consistently in all written testimony and briefs.  </w:t>
      </w:r>
    </w:p>
    <w:p w14:paraId="75109AA6" w14:textId="77777777" w:rsidR="00A2306E" w:rsidRPr="00FC2C48" w:rsidRDefault="00A2306E" w:rsidP="00B04270">
      <w:pPr>
        <w:spacing w:after="0"/>
        <w:rPr>
          <w:rFonts w:cs="Times New Roman"/>
          <w:bCs/>
          <w:szCs w:val="24"/>
        </w:rPr>
      </w:pPr>
    </w:p>
    <w:p w14:paraId="1909C04D" w14:textId="7DF904D0" w:rsidR="00A2306E" w:rsidRDefault="00A2306E" w:rsidP="00B04270">
      <w:pPr>
        <w:spacing w:after="0"/>
        <w:rPr>
          <w:rFonts w:cs="Times New Roman"/>
          <w:szCs w:val="24"/>
        </w:rPr>
      </w:pPr>
      <w:r w:rsidRPr="00FC2C48">
        <w:rPr>
          <w:rFonts w:cs="Times New Roman"/>
          <w:bCs/>
          <w:szCs w:val="24"/>
        </w:rPr>
        <w:tab/>
      </w:r>
      <w:r w:rsidRPr="00FC2C48">
        <w:rPr>
          <w:rFonts w:cs="Times New Roman"/>
          <w:bCs/>
          <w:szCs w:val="24"/>
        </w:rPr>
        <w:tab/>
      </w:r>
      <w:r w:rsidRPr="00FC2C48">
        <w:rPr>
          <w:rFonts w:cs="Times New Roman"/>
          <w:szCs w:val="24"/>
        </w:rPr>
        <w:t xml:space="preserve">The above-stated dates are </w:t>
      </w:r>
      <w:r w:rsidRPr="00FC2C48">
        <w:rPr>
          <w:rFonts w:cs="Times New Roman"/>
          <w:szCs w:val="24"/>
          <w:u w:val="single"/>
        </w:rPr>
        <w:t>in-hand</w:t>
      </w:r>
      <w:r w:rsidRPr="00FC2C48">
        <w:rPr>
          <w:rFonts w:cs="Times New Roman"/>
          <w:szCs w:val="24"/>
        </w:rPr>
        <w:t xml:space="preserve"> dates for service on the parties and the presiding Administrative Law Judge</w:t>
      </w:r>
      <w:r w:rsidR="00FE5B02">
        <w:rPr>
          <w:rFonts w:cs="Times New Roman"/>
          <w:szCs w:val="24"/>
        </w:rPr>
        <w:t>s</w:t>
      </w:r>
      <w:r w:rsidRPr="00FC2C48">
        <w:rPr>
          <w:rFonts w:cs="Times New Roman"/>
          <w:szCs w:val="24"/>
        </w:rPr>
        <w:t xml:space="preserve"> (ALJ</w:t>
      </w:r>
      <w:r w:rsidR="00FE5B02">
        <w:rPr>
          <w:rFonts w:cs="Times New Roman"/>
          <w:szCs w:val="24"/>
        </w:rPr>
        <w:t>s</w:t>
      </w:r>
      <w:r w:rsidRPr="00FC2C48">
        <w:rPr>
          <w:rFonts w:cs="Times New Roman"/>
          <w:szCs w:val="24"/>
        </w:rPr>
        <w:t>).  The parties at the prehearing conference and the presiding ALJ</w:t>
      </w:r>
      <w:r w:rsidR="00FE5B02">
        <w:rPr>
          <w:rFonts w:cs="Times New Roman"/>
          <w:szCs w:val="24"/>
        </w:rPr>
        <w:t>s</w:t>
      </w:r>
      <w:r w:rsidRPr="00FC2C48">
        <w:rPr>
          <w:rFonts w:cs="Times New Roman"/>
          <w:szCs w:val="24"/>
        </w:rPr>
        <w:t xml:space="preserve"> agree to accept electronic service of such material,</w:t>
      </w:r>
      <w:r w:rsidRPr="00AD7BF9">
        <w:rPr>
          <w:rStyle w:val="FootnoteReference"/>
          <w:rFonts w:cs="Times New Roman"/>
          <w:szCs w:val="24"/>
        </w:rPr>
        <w:footnoteReference w:id="2"/>
      </w:r>
      <w:r w:rsidRPr="00AD7BF9">
        <w:rPr>
          <w:rFonts w:cs="Times New Roman"/>
          <w:szCs w:val="24"/>
        </w:rPr>
        <w:t xml:space="preserve"> so long as the subject email is received by the </w:t>
      </w:r>
      <w:r w:rsidR="00ED5019">
        <w:rPr>
          <w:rFonts w:cs="Times New Roman"/>
          <w:szCs w:val="24"/>
        </w:rPr>
        <w:t>due date</w:t>
      </w:r>
      <w:r w:rsidRPr="00AD7BF9">
        <w:rPr>
          <w:rFonts w:cs="Times New Roman"/>
          <w:szCs w:val="24"/>
        </w:rPr>
        <w:t xml:space="preserve">.  </w:t>
      </w:r>
      <w:r w:rsidR="00CB3E6D">
        <w:rPr>
          <w:rFonts w:cs="Times New Roman"/>
          <w:szCs w:val="24"/>
        </w:rPr>
        <w:t>Copies of all documents filed with the Secretary’s Bureau must be provided to the presiding ALJ</w:t>
      </w:r>
      <w:r w:rsidR="000956C3">
        <w:rPr>
          <w:rFonts w:cs="Times New Roman"/>
          <w:szCs w:val="24"/>
        </w:rPr>
        <w:t>s</w:t>
      </w:r>
      <w:r w:rsidR="00CB3E6D">
        <w:rPr>
          <w:rFonts w:cs="Times New Roman"/>
          <w:szCs w:val="24"/>
        </w:rPr>
        <w:t xml:space="preserve"> by email</w:t>
      </w:r>
      <w:r w:rsidR="00ED5019">
        <w:rPr>
          <w:rFonts w:cs="Times New Roman"/>
          <w:szCs w:val="24"/>
        </w:rPr>
        <w:t>.</w:t>
      </w:r>
      <w:r w:rsidR="00CB3E6D">
        <w:rPr>
          <w:rFonts w:cs="Times New Roman"/>
          <w:szCs w:val="24"/>
        </w:rPr>
        <w:t xml:space="preserve">  </w:t>
      </w:r>
      <w:r w:rsidR="00D228F0">
        <w:rPr>
          <w:rFonts w:cs="Times New Roman"/>
          <w:szCs w:val="24"/>
        </w:rPr>
        <w:t>There</w:t>
      </w:r>
      <w:r w:rsidRPr="00D228F0">
        <w:rPr>
          <w:rFonts w:cs="Times New Roman"/>
          <w:szCs w:val="24"/>
        </w:rPr>
        <w:t xml:space="preserve"> is no requirement to follow electronic service by sending a hard copy of the same material via first-class mail postage prepaid to the parties designated on the Service List or by express mail service.</w:t>
      </w:r>
      <w:r w:rsidRPr="00AD7BF9">
        <w:rPr>
          <w:rFonts w:cs="Times New Roman"/>
          <w:szCs w:val="24"/>
        </w:rPr>
        <w:t xml:space="preserve">  The email address of the presiding ALJ</w:t>
      </w:r>
      <w:r w:rsidR="00FE5B02">
        <w:rPr>
          <w:rFonts w:cs="Times New Roman"/>
          <w:szCs w:val="24"/>
        </w:rPr>
        <w:t>s</w:t>
      </w:r>
      <w:r w:rsidRPr="00AD7BF9">
        <w:rPr>
          <w:rFonts w:cs="Times New Roman"/>
          <w:szCs w:val="24"/>
        </w:rPr>
        <w:t xml:space="preserve">: </w:t>
      </w:r>
      <w:hyperlink r:id="rId7" w:history="1">
        <w:r w:rsidR="00FE5B02" w:rsidRPr="009856EE">
          <w:rPr>
            <w:rStyle w:val="Hyperlink"/>
            <w:rFonts w:cs="Times New Roman"/>
            <w:szCs w:val="24"/>
          </w:rPr>
          <w:t>mhoyer@pa.gov</w:t>
        </w:r>
      </w:hyperlink>
      <w:r w:rsidR="00FE5B02">
        <w:rPr>
          <w:rFonts w:cs="Times New Roman"/>
          <w:szCs w:val="24"/>
        </w:rPr>
        <w:t xml:space="preserve">, </w:t>
      </w:r>
      <w:hyperlink r:id="rId8" w:history="1">
        <w:r w:rsidR="00FE5B02">
          <w:rPr>
            <w:rStyle w:val="Hyperlink"/>
            <w:rFonts w:cs="Times New Roman"/>
            <w:szCs w:val="24"/>
          </w:rPr>
          <w:t>dheep</w:t>
        </w:r>
        <w:r w:rsidRPr="00AD7BF9">
          <w:rPr>
            <w:rStyle w:val="Hyperlink"/>
            <w:rFonts w:cs="Times New Roman"/>
            <w:szCs w:val="24"/>
          </w:rPr>
          <w:t>@pa.gov</w:t>
        </w:r>
      </w:hyperlink>
      <w:r>
        <w:rPr>
          <w:rFonts w:cs="Times New Roman"/>
          <w:szCs w:val="24"/>
        </w:rPr>
        <w:t>.</w:t>
      </w:r>
      <w:r w:rsidR="00B43F7F">
        <w:rPr>
          <w:rFonts w:cs="Times New Roman"/>
          <w:szCs w:val="24"/>
        </w:rPr>
        <w:t xml:space="preserve"> </w:t>
      </w:r>
    </w:p>
    <w:p w14:paraId="26231654" w14:textId="77777777" w:rsidR="00A2306E" w:rsidRPr="00AD7BF9" w:rsidRDefault="00A2306E" w:rsidP="00B04270">
      <w:pPr>
        <w:spacing w:after="0"/>
        <w:rPr>
          <w:rFonts w:cs="Times New Roman"/>
          <w:bCs/>
          <w:szCs w:val="24"/>
        </w:rPr>
      </w:pPr>
    </w:p>
    <w:p w14:paraId="2B1C4B84" w14:textId="2EA95C9B" w:rsidR="00A2306E" w:rsidRDefault="00A2306E" w:rsidP="00B04270">
      <w:pPr>
        <w:spacing w:after="0"/>
        <w:rPr>
          <w:rFonts w:cs="Times New Roman"/>
          <w:szCs w:val="24"/>
        </w:rPr>
      </w:pPr>
      <w:r w:rsidRPr="00AD7BF9">
        <w:rPr>
          <w:rFonts w:cs="Times New Roman"/>
          <w:szCs w:val="24"/>
        </w:rPr>
        <w:tab/>
      </w:r>
      <w:r w:rsidRPr="00AD7BF9">
        <w:rPr>
          <w:rFonts w:cs="Times New Roman"/>
          <w:szCs w:val="24"/>
        </w:rPr>
        <w:tab/>
        <w:t>Hearings will begin promptly each day.  The parties must confer before commencement of the hearings to schedule their witnesses so as to avoid “holes” or “dead time” during the hearings.</w:t>
      </w:r>
      <w:r w:rsidRPr="004B68A5">
        <w:rPr>
          <w:rFonts w:cs="Times New Roman"/>
          <w:szCs w:val="24"/>
        </w:rPr>
        <w:t xml:space="preserve">  </w:t>
      </w:r>
      <w:r w:rsidRPr="00FC2C48">
        <w:rPr>
          <w:rFonts w:cs="Times New Roman"/>
          <w:szCs w:val="24"/>
        </w:rPr>
        <w:t>In the event that a partial settlement is achieved the parties should be prepared to proceed on the first scheduled day of hearing to present evidence on the non-resolved issues.</w:t>
      </w:r>
    </w:p>
    <w:p w14:paraId="3252628D" w14:textId="77777777" w:rsidR="00AB183F" w:rsidRDefault="00AB183F" w:rsidP="00B04270">
      <w:pPr>
        <w:spacing w:after="0"/>
        <w:rPr>
          <w:rFonts w:cs="Times New Roman"/>
          <w:szCs w:val="24"/>
        </w:rPr>
      </w:pPr>
    </w:p>
    <w:p w14:paraId="2684F4CF" w14:textId="77777777" w:rsidR="00A2306E" w:rsidRPr="00AD7BF9" w:rsidRDefault="00A2306E" w:rsidP="00B04270">
      <w:pPr>
        <w:spacing w:after="0"/>
        <w:jc w:val="center"/>
        <w:rPr>
          <w:rFonts w:cs="Times New Roman"/>
          <w:szCs w:val="24"/>
          <w:u w:val="single"/>
        </w:rPr>
      </w:pPr>
      <w:r w:rsidRPr="00AD7BF9">
        <w:rPr>
          <w:rFonts w:cs="Times New Roman"/>
          <w:szCs w:val="24"/>
          <w:u w:val="single"/>
        </w:rPr>
        <w:t>Issues</w:t>
      </w:r>
    </w:p>
    <w:p w14:paraId="55B0757A" w14:textId="77777777" w:rsidR="00A2306E" w:rsidRPr="00AD7BF9" w:rsidRDefault="00A2306E" w:rsidP="00B04270">
      <w:pPr>
        <w:spacing w:after="0"/>
        <w:rPr>
          <w:rFonts w:cs="Times New Roman"/>
          <w:szCs w:val="24"/>
          <w:u w:val="single"/>
        </w:rPr>
      </w:pPr>
    </w:p>
    <w:p w14:paraId="6D979FB6" w14:textId="77777777" w:rsidR="00A2306E" w:rsidRPr="00AD7BF9" w:rsidRDefault="00A2306E" w:rsidP="00B04270">
      <w:pPr>
        <w:spacing w:after="0"/>
        <w:rPr>
          <w:rFonts w:cs="Times New Roman"/>
          <w:szCs w:val="24"/>
        </w:rPr>
      </w:pPr>
      <w:r w:rsidRPr="00AD7BF9">
        <w:rPr>
          <w:rFonts w:cs="Times New Roman"/>
          <w:szCs w:val="24"/>
        </w:rPr>
        <w:tab/>
      </w:r>
      <w:r w:rsidRPr="00AD7BF9">
        <w:rPr>
          <w:rFonts w:cs="Times New Roman"/>
          <w:szCs w:val="24"/>
        </w:rPr>
        <w:tab/>
        <w:t>In their respective prehearing memoranda, the parties identified various issues they may wish to pursue.  The reader is directed to these documents to review a recitation of these issues.  Additional issues may arise as the discovery process develops.</w:t>
      </w:r>
    </w:p>
    <w:p w14:paraId="6CD6F383" w14:textId="77777777" w:rsidR="00A2306E" w:rsidRDefault="00A2306E" w:rsidP="00B04270">
      <w:pPr>
        <w:spacing w:after="0"/>
        <w:rPr>
          <w:rFonts w:cs="Times New Roman"/>
          <w:szCs w:val="24"/>
        </w:rPr>
      </w:pPr>
    </w:p>
    <w:p w14:paraId="4E25CD4E" w14:textId="77777777" w:rsidR="008F3A1E" w:rsidRPr="004B68A5" w:rsidRDefault="008F3A1E" w:rsidP="00B04270">
      <w:pPr>
        <w:spacing w:after="0"/>
        <w:rPr>
          <w:rFonts w:cs="Times New Roman"/>
          <w:szCs w:val="24"/>
        </w:rPr>
      </w:pPr>
    </w:p>
    <w:p w14:paraId="0D48E619" w14:textId="77777777" w:rsidR="00A2306E" w:rsidRPr="00AD7BF9" w:rsidRDefault="00A2306E" w:rsidP="00B04270">
      <w:pPr>
        <w:pStyle w:val="Heading2"/>
        <w:jc w:val="center"/>
        <w:rPr>
          <w:b w:val="0"/>
          <w:bCs/>
          <w:sz w:val="24"/>
          <w:szCs w:val="24"/>
        </w:rPr>
      </w:pPr>
      <w:r w:rsidRPr="00AD7BF9">
        <w:rPr>
          <w:b w:val="0"/>
          <w:bCs/>
          <w:sz w:val="24"/>
          <w:szCs w:val="24"/>
        </w:rPr>
        <w:lastRenderedPageBreak/>
        <w:t>Discovery</w:t>
      </w:r>
    </w:p>
    <w:p w14:paraId="40B00A26" w14:textId="77777777" w:rsidR="00A2306E" w:rsidRPr="00FC2C48" w:rsidRDefault="00A2306E" w:rsidP="00B04270">
      <w:pPr>
        <w:spacing w:after="0"/>
        <w:rPr>
          <w:rFonts w:cs="Times New Roman"/>
          <w:szCs w:val="24"/>
        </w:rPr>
      </w:pPr>
    </w:p>
    <w:p w14:paraId="3C822F11" w14:textId="760BB062" w:rsidR="00A2306E" w:rsidRPr="00FC2C48" w:rsidRDefault="00A2306E" w:rsidP="00B04270">
      <w:pPr>
        <w:spacing w:after="0"/>
        <w:rPr>
          <w:rFonts w:cs="Times New Roman"/>
          <w:szCs w:val="24"/>
        </w:rPr>
      </w:pPr>
      <w:r w:rsidRPr="00FC2C48">
        <w:rPr>
          <w:rFonts w:cs="Times New Roman"/>
          <w:szCs w:val="24"/>
        </w:rPr>
        <w:tab/>
      </w:r>
      <w:r w:rsidRPr="00FC2C48">
        <w:rPr>
          <w:rFonts w:cs="Times New Roman"/>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The parties must not send the presiding ALJ</w:t>
      </w:r>
      <w:r w:rsidR="000956C3">
        <w:rPr>
          <w:rFonts w:cs="Times New Roman"/>
          <w:szCs w:val="24"/>
        </w:rPr>
        <w:t>s</w:t>
      </w:r>
      <w:r w:rsidRPr="00FC2C48">
        <w:rPr>
          <w:rFonts w:cs="Times New Roman"/>
          <w:szCs w:val="24"/>
        </w:rPr>
        <w:t xml:space="preserve">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presiding ALJs will contact the parties and direct them to pursue informal discovery.</w:t>
      </w:r>
    </w:p>
    <w:p w14:paraId="69548227" w14:textId="77777777" w:rsidR="00A2306E" w:rsidRPr="00FC2C48" w:rsidRDefault="00A2306E" w:rsidP="00B04270">
      <w:pPr>
        <w:spacing w:after="0"/>
        <w:rPr>
          <w:rFonts w:cs="Times New Roman"/>
          <w:szCs w:val="24"/>
        </w:rPr>
      </w:pPr>
    </w:p>
    <w:p w14:paraId="3B1AAED6" w14:textId="443B3D85" w:rsidR="00A2306E" w:rsidRDefault="00A2306E" w:rsidP="00B04270">
      <w:pPr>
        <w:spacing w:after="0"/>
        <w:rPr>
          <w:rFonts w:cs="Times New Roman"/>
          <w:szCs w:val="24"/>
        </w:rPr>
      </w:pPr>
      <w:r w:rsidRPr="00FC2C48">
        <w:rPr>
          <w:rFonts w:cs="Times New Roman"/>
          <w:szCs w:val="24"/>
        </w:rPr>
        <w:tab/>
      </w:r>
      <w:r w:rsidRPr="00FC2C48">
        <w:rPr>
          <w:rFonts w:cs="Times New Roman"/>
          <w:szCs w:val="24"/>
        </w:rPr>
        <w:tab/>
      </w:r>
      <w:r w:rsidRPr="00B43F7F">
        <w:rPr>
          <w:rFonts w:cs="Times New Roman"/>
          <w:szCs w:val="24"/>
        </w:rPr>
        <w:t xml:space="preserve">The parties must endeavor to complete discovery upon the filing of surrebuttal testimony absent extraordinary circumstances.  Motions to compel discovery filed after </w:t>
      </w:r>
      <w:r w:rsidR="00B43F7F">
        <w:rPr>
          <w:rFonts w:cs="Times New Roman"/>
          <w:szCs w:val="24"/>
        </w:rPr>
        <w:t xml:space="preserve">July 15, </w:t>
      </w:r>
      <w:r w:rsidR="00804B36">
        <w:rPr>
          <w:rFonts w:cs="Times New Roman"/>
          <w:szCs w:val="24"/>
        </w:rPr>
        <w:t>202</w:t>
      </w:r>
      <w:r w:rsidR="00640076">
        <w:rPr>
          <w:rFonts w:cs="Times New Roman"/>
          <w:szCs w:val="24"/>
        </w:rPr>
        <w:t>3</w:t>
      </w:r>
      <w:r w:rsidR="00804B36">
        <w:rPr>
          <w:rFonts w:cs="Times New Roman"/>
          <w:szCs w:val="24"/>
        </w:rPr>
        <w:t>,</w:t>
      </w:r>
      <w:r w:rsidRPr="00B43F7F">
        <w:rPr>
          <w:rFonts w:cs="Times New Roman"/>
          <w:szCs w:val="24"/>
        </w:rPr>
        <w:t xml:space="preserve"> may not be ruled upon in advance of the evidentiary hearings</w:t>
      </w:r>
    </w:p>
    <w:p w14:paraId="0750BDAF" w14:textId="77777777" w:rsidR="00AB183F" w:rsidRPr="00A2306E" w:rsidRDefault="00AB183F" w:rsidP="00B04270">
      <w:pPr>
        <w:spacing w:after="0"/>
        <w:rPr>
          <w:rFonts w:cs="Times New Roman"/>
          <w:szCs w:val="24"/>
        </w:rPr>
      </w:pPr>
    </w:p>
    <w:p w14:paraId="3E1592FE"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Pre-Served Testimony and Exhibits</w:t>
      </w:r>
    </w:p>
    <w:p w14:paraId="5CB4E4E7" w14:textId="77777777" w:rsidR="00A2306E" w:rsidRPr="00A2306E" w:rsidRDefault="00A2306E" w:rsidP="00B04270">
      <w:pPr>
        <w:spacing w:after="0"/>
        <w:rPr>
          <w:rFonts w:cs="Times New Roman"/>
          <w:szCs w:val="24"/>
        </w:rPr>
      </w:pPr>
    </w:p>
    <w:p w14:paraId="22BE4876" w14:textId="656488DB"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No written testimony will be admitted into evidence unless accompanied by a verification or affidavit of the witness</w:t>
      </w:r>
      <w:r w:rsidR="00620336">
        <w:rPr>
          <w:rFonts w:cs="Times New Roman"/>
          <w:szCs w:val="24"/>
        </w:rPr>
        <w:t xml:space="preserve"> unless the witness is present at the hearing to authenticate the written testimony in-person</w:t>
      </w:r>
      <w:r w:rsidRPr="00A2306E">
        <w:rPr>
          <w:rFonts w:cs="Times New Roman"/>
          <w:szCs w:val="24"/>
        </w:rPr>
        <w:t xml:space="preserve">. </w:t>
      </w:r>
    </w:p>
    <w:p w14:paraId="78EEA8D6" w14:textId="77777777" w:rsidR="00A2306E" w:rsidRPr="00A2306E" w:rsidRDefault="00A2306E" w:rsidP="00B04270">
      <w:pPr>
        <w:spacing w:after="0"/>
        <w:rPr>
          <w:rFonts w:cs="Times New Roman"/>
          <w:szCs w:val="24"/>
        </w:rPr>
      </w:pPr>
    </w:p>
    <w:p w14:paraId="76D00F00" w14:textId="397A83C8"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Confidential Security Information (CSI) as defined by 35 P.S. § 2141 et seq. should not be transmitted by email or other electronic means.  The parties are to avoid introducing CSI into the record and should develop alternative means, such as joint stipulations or redaction when proposing testimony or exhibits.  If there is no other alternative to establish a material fact other than by CSI, the parties are to contact the presiding ALJ</w:t>
      </w:r>
      <w:r w:rsidR="000956C3">
        <w:rPr>
          <w:rFonts w:cs="Times New Roman"/>
          <w:szCs w:val="24"/>
        </w:rPr>
        <w:t>s</w:t>
      </w:r>
      <w:r w:rsidRPr="00A2306E">
        <w:rPr>
          <w:rFonts w:cs="Times New Roman"/>
          <w:szCs w:val="24"/>
        </w:rPr>
        <w:t xml:space="preserve"> immediately and in advance of the evidentiary hearing.</w:t>
      </w:r>
    </w:p>
    <w:p w14:paraId="26DC7D8B" w14:textId="77777777" w:rsidR="00A2306E" w:rsidRDefault="00A2306E" w:rsidP="00B04270">
      <w:pPr>
        <w:spacing w:after="0"/>
        <w:rPr>
          <w:rFonts w:cs="Times New Roman"/>
          <w:szCs w:val="24"/>
        </w:rPr>
      </w:pPr>
    </w:p>
    <w:p w14:paraId="749F7484" w14:textId="25E6B551" w:rsidR="000956C3" w:rsidRDefault="000956C3" w:rsidP="00B04270">
      <w:pPr>
        <w:spacing w:after="0"/>
        <w:rPr>
          <w:rFonts w:cs="Times New Roman"/>
          <w:szCs w:val="24"/>
        </w:rPr>
      </w:pPr>
    </w:p>
    <w:p w14:paraId="463F4DC0" w14:textId="77777777" w:rsidR="00640076" w:rsidRPr="00A2306E" w:rsidRDefault="00640076" w:rsidP="00B04270">
      <w:pPr>
        <w:spacing w:after="0"/>
        <w:rPr>
          <w:rFonts w:cs="Times New Roman"/>
          <w:szCs w:val="24"/>
        </w:rPr>
      </w:pPr>
    </w:p>
    <w:p w14:paraId="73C911CA" w14:textId="77777777" w:rsidR="00A2306E" w:rsidRPr="00B43F7F" w:rsidRDefault="00A2306E" w:rsidP="00B04270">
      <w:pPr>
        <w:spacing w:after="0"/>
        <w:jc w:val="center"/>
        <w:rPr>
          <w:rFonts w:cs="Times New Roman"/>
          <w:szCs w:val="24"/>
          <w:u w:val="single"/>
        </w:rPr>
      </w:pPr>
      <w:r w:rsidRPr="00B43F7F">
        <w:rPr>
          <w:rFonts w:cs="Times New Roman"/>
          <w:szCs w:val="24"/>
          <w:u w:val="single"/>
        </w:rPr>
        <w:lastRenderedPageBreak/>
        <w:t>Settlement and Stipulations</w:t>
      </w:r>
    </w:p>
    <w:p w14:paraId="03BC597D" w14:textId="77777777" w:rsidR="00A2306E" w:rsidRPr="00A2306E" w:rsidRDefault="00A2306E" w:rsidP="00B04270">
      <w:pPr>
        <w:spacing w:after="0"/>
        <w:rPr>
          <w:rFonts w:cs="Times New Roman"/>
          <w:szCs w:val="24"/>
        </w:rPr>
      </w:pPr>
    </w:p>
    <w:p w14:paraId="6BC1C17C" w14:textId="6C470FE5"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The parties are reminded it is the Commission’s policy to encourage settlements.  52 Pa.Code § 5.231(a).  The parties are strongly urged to seriously explore this possibility.</w:t>
      </w:r>
      <w:r w:rsidR="002145FD">
        <w:rPr>
          <w:rFonts w:cs="Times New Roman"/>
          <w:szCs w:val="24"/>
        </w:rPr>
        <w:t xml:space="preserve"> If a </w:t>
      </w:r>
      <w:r w:rsidR="00A44865">
        <w:rPr>
          <w:rFonts w:cs="Times New Roman"/>
          <w:szCs w:val="24"/>
        </w:rPr>
        <w:t xml:space="preserve">Joint Petition for Settlement is filed, the Joint Petition must be accompanied by </w:t>
      </w:r>
      <w:r w:rsidR="00A533F5">
        <w:rPr>
          <w:rFonts w:cs="Times New Roman"/>
          <w:szCs w:val="24"/>
        </w:rPr>
        <w:t>Statements in Support from each signatory par</w:t>
      </w:r>
      <w:r w:rsidR="00B633B7">
        <w:rPr>
          <w:rFonts w:cs="Times New Roman"/>
          <w:szCs w:val="24"/>
        </w:rPr>
        <w:t>t</w:t>
      </w:r>
      <w:r w:rsidR="00A533F5">
        <w:rPr>
          <w:rFonts w:cs="Times New Roman"/>
          <w:szCs w:val="24"/>
        </w:rPr>
        <w:t>y, proposed findings of fact</w:t>
      </w:r>
      <w:r w:rsidR="00B633B7">
        <w:rPr>
          <w:rFonts w:cs="Times New Roman"/>
          <w:szCs w:val="24"/>
        </w:rPr>
        <w:t xml:space="preserve"> with citations to the record evidence, proposed conclusions of law and proposed ordering paragraphs.  </w:t>
      </w:r>
      <w:r w:rsidRPr="00A2306E">
        <w:rPr>
          <w:rFonts w:cs="Times New Roman"/>
          <w:szCs w:val="24"/>
        </w:rPr>
        <w:t xml:space="preserve"> </w:t>
      </w:r>
    </w:p>
    <w:p w14:paraId="0328B147" w14:textId="77777777" w:rsidR="00A2306E" w:rsidRPr="00A2306E" w:rsidRDefault="00A2306E" w:rsidP="00B04270">
      <w:pPr>
        <w:spacing w:after="0"/>
        <w:rPr>
          <w:rFonts w:cs="Times New Roman"/>
          <w:szCs w:val="24"/>
        </w:rPr>
      </w:pPr>
    </w:p>
    <w:p w14:paraId="4B25B4C1" w14:textId="7D998853"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w:t>
      </w:r>
      <w:r w:rsidR="00640076">
        <w:rPr>
          <w:rFonts w:cs="Times New Roman"/>
          <w:szCs w:val="24"/>
        </w:rPr>
        <w:t> </w:t>
      </w:r>
      <w:r w:rsidRPr="00A2306E">
        <w:rPr>
          <w:rFonts w:cs="Times New Roman"/>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094204B" w14:textId="77777777" w:rsidR="00A2306E" w:rsidRPr="00A2306E" w:rsidRDefault="00A2306E" w:rsidP="00B04270">
      <w:pPr>
        <w:spacing w:after="0"/>
        <w:rPr>
          <w:rFonts w:cs="Times New Roman"/>
          <w:szCs w:val="24"/>
        </w:rPr>
      </w:pPr>
    </w:p>
    <w:p w14:paraId="4DA78EFF"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Cross-Examination</w:t>
      </w:r>
    </w:p>
    <w:p w14:paraId="3025BDDB" w14:textId="77777777" w:rsidR="00A2306E" w:rsidRPr="00A2306E" w:rsidRDefault="00A2306E" w:rsidP="00B04270">
      <w:pPr>
        <w:spacing w:after="0"/>
        <w:rPr>
          <w:rFonts w:cs="Times New Roman"/>
          <w:szCs w:val="24"/>
        </w:rPr>
      </w:pPr>
    </w:p>
    <w:p w14:paraId="6DDB2EC3" w14:textId="2F9C605D" w:rsidR="00A2306E" w:rsidRDefault="00A2306E" w:rsidP="00B04270">
      <w:pPr>
        <w:spacing w:after="0"/>
        <w:rPr>
          <w:rFonts w:cs="Times New Roman"/>
          <w:szCs w:val="24"/>
        </w:rPr>
      </w:pPr>
      <w:r w:rsidRPr="00A2306E">
        <w:rPr>
          <w:rFonts w:cs="Times New Roman"/>
          <w:szCs w:val="24"/>
        </w:rPr>
        <w:tab/>
      </w:r>
      <w:r w:rsidRPr="00A2306E">
        <w:rPr>
          <w:rFonts w:cs="Times New Roman"/>
          <w:szCs w:val="24"/>
        </w:rPr>
        <w:tab/>
        <w:t>Friendly cross-examination or cumulative cross-examination during hearings will not be permitted.  52 Pa.Code §§ 5.76; 5.243.</w:t>
      </w:r>
    </w:p>
    <w:p w14:paraId="4C8F5D64" w14:textId="77777777" w:rsidR="008F3A1E" w:rsidRPr="00A2306E" w:rsidRDefault="008F3A1E" w:rsidP="00B04270">
      <w:pPr>
        <w:spacing w:after="0"/>
        <w:rPr>
          <w:rFonts w:cs="Times New Roman"/>
          <w:szCs w:val="24"/>
        </w:rPr>
      </w:pPr>
    </w:p>
    <w:p w14:paraId="0C9DD485" w14:textId="77777777" w:rsidR="00A2306E" w:rsidRPr="00B43F7F" w:rsidRDefault="00A2306E" w:rsidP="00B04270">
      <w:pPr>
        <w:spacing w:after="0"/>
        <w:jc w:val="center"/>
        <w:rPr>
          <w:rFonts w:cs="Times New Roman"/>
          <w:szCs w:val="24"/>
          <w:u w:val="single"/>
        </w:rPr>
      </w:pPr>
      <w:r w:rsidRPr="00B43F7F">
        <w:rPr>
          <w:rFonts w:cs="Times New Roman"/>
          <w:szCs w:val="24"/>
          <w:u w:val="single"/>
        </w:rPr>
        <w:t>Briefs and Reply Briefs</w:t>
      </w:r>
    </w:p>
    <w:p w14:paraId="1DEEB887" w14:textId="77777777" w:rsidR="00A2306E" w:rsidRPr="00A2306E" w:rsidRDefault="00A2306E" w:rsidP="00B04270">
      <w:pPr>
        <w:spacing w:after="0"/>
        <w:rPr>
          <w:rFonts w:cs="Times New Roman"/>
          <w:szCs w:val="24"/>
        </w:rPr>
      </w:pPr>
    </w:p>
    <w:p w14:paraId="40346342" w14:textId="0B42B9C3"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 xml:space="preserve">The parties must comply with 52 Pa.Code §§ 5.501, et seq., regarding the preparation and filing of briefs.  Briefs must include </w:t>
      </w:r>
      <w:r w:rsidR="00261740">
        <w:rPr>
          <w:rFonts w:cs="Times New Roman"/>
          <w:szCs w:val="24"/>
        </w:rPr>
        <w:t xml:space="preserve">proposed findings of fact with </w:t>
      </w:r>
      <w:r w:rsidR="002145FD">
        <w:rPr>
          <w:rFonts w:cs="Times New Roman"/>
          <w:szCs w:val="24"/>
        </w:rPr>
        <w:t>ci</w:t>
      </w:r>
      <w:r w:rsidR="001F65C2">
        <w:rPr>
          <w:rFonts w:cs="Times New Roman"/>
          <w:szCs w:val="24"/>
        </w:rPr>
        <w:t>t</w:t>
      </w:r>
      <w:r w:rsidR="002145FD">
        <w:rPr>
          <w:rFonts w:cs="Times New Roman"/>
          <w:szCs w:val="24"/>
        </w:rPr>
        <w:t xml:space="preserve">ations to the record evidence, </w:t>
      </w:r>
      <w:r w:rsidRPr="00A2306E">
        <w:rPr>
          <w:rFonts w:cs="Times New Roman"/>
          <w:szCs w:val="24"/>
        </w:rPr>
        <w:t>proposed conclusions of law and proposed ordering paragraphs.  Page limitations on briefs</w:t>
      </w:r>
      <w:r w:rsidR="001D6209">
        <w:rPr>
          <w:rFonts w:cs="Times New Roman"/>
          <w:szCs w:val="24"/>
        </w:rPr>
        <w:t>, if deemed appropriate,</w:t>
      </w:r>
      <w:r w:rsidRPr="00A2306E">
        <w:rPr>
          <w:rFonts w:cs="Times New Roman"/>
          <w:szCs w:val="24"/>
        </w:rPr>
        <w:t xml:space="preserve"> will be discussed on or before the last day of hearing.  The parties shall submit to the presiding ALJ</w:t>
      </w:r>
      <w:r w:rsidR="000956C3">
        <w:rPr>
          <w:rFonts w:cs="Times New Roman"/>
          <w:szCs w:val="24"/>
        </w:rPr>
        <w:t>s</w:t>
      </w:r>
      <w:r w:rsidRPr="00A2306E">
        <w:rPr>
          <w:rFonts w:cs="Times New Roman"/>
          <w:szCs w:val="24"/>
        </w:rPr>
        <w:t xml:space="preserve"> one copy</w:t>
      </w:r>
      <w:r w:rsidR="005723E2">
        <w:rPr>
          <w:rFonts w:cs="Times New Roman"/>
          <w:szCs w:val="24"/>
        </w:rPr>
        <w:t xml:space="preserve"> of all briefs</w:t>
      </w:r>
      <w:r w:rsidRPr="00A2306E">
        <w:rPr>
          <w:rFonts w:cs="Times New Roman"/>
          <w:szCs w:val="24"/>
        </w:rPr>
        <w:t xml:space="preserve"> by email.  The electronic version of a brief must be prepared in Microsoft Office Word format.  </w:t>
      </w:r>
      <w:r w:rsidR="00B43F7F">
        <w:rPr>
          <w:rFonts w:cs="Times New Roman"/>
          <w:szCs w:val="24"/>
        </w:rPr>
        <w:t>More detailed briefing instructions will be provided at the close of the</w:t>
      </w:r>
      <w:r w:rsidR="0079246E">
        <w:rPr>
          <w:rFonts w:cs="Times New Roman"/>
          <w:szCs w:val="24"/>
        </w:rPr>
        <w:t xml:space="preserve"> </w:t>
      </w:r>
      <w:r w:rsidR="00B43F7F">
        <w:rPr>
          <w:rFonts w:cs="Times New Roman"/>
          <w:szCs w:val="24"/>
        </w:rPr>
        <w:t>hearing.</w:t>
      </w:r>
    </w:p>
    <w:p w14:paraId="297C4AD6" w14:textId="77777777" w:rsidR="00A2306E" w:rsidRPr="00B43F7F" w:rsidRDefault="00A2306E" w:rsidP="00B04270">
      <w:pPr>
        <w:spacing w:after="0"/>
        <w:jc w:val="center"/>
        <w:rPr>
          <w:rFonts w:cs="Times New Roman"/>
          <w:szCs w:val="24"/>
          <w:u w:val="single"/>
        </w:rPr>
      </w:pPr>
      <w:r w:rsidRPr="00B43F7F">
        <w:rPr>
          <w:rFonts w:cs="Times New Roman"/>
          <w:szCs w:val="24"/>
          <w:u w:val="single"/>
        </w:rPr>
        <w:lastRenderedPageBreak/>
        <w:t>Modification</w:t>
      </w:r>
    </w:p>
    <w:p w14:paraId="204FBA8D" w14:textId="77777777" w:rsidR="00A2306E" w:rsidRPr="00A2306E" w:rsidRDefault="00A2306E" w:rsidP="00B04270">
      <w:pPr>
        <w:spacing w:after="0"/>
        <w:rPr>
          <w:rFonts w:cs="Times New Roman"/>
          <w:szCs w:val="24"/>
        </w:rPr>
      </w:pPr>
    </w:p>
    <w:p w14:paraId="2DB47FA7" w14:textId="77777777" w:rsidR="00A2306E" w:rsidRPr="00A2306E" w:rsidRDefault="00A2306E" w:rsidP="00B04270">
      <w:pPr>
        <w:spacing w:after="0"/>
        <w:rPr>
          <w:rFonts w:cs="Times New Roman"/>
          <w:szCs w:val="24"/>
        </w:rPr>
      </w:pPr>
      <w:r w:rsidRPr="00A2306E">
        <w:rPr>
          <w:rFonts w:cs="Times New Roman"/>
          <w:szCs w:val="24"/>
        </w:rPr>
        <w:tab/>
      </w:r>
      <w:r w:rsidRPr="00A2306E">
        <w:rPr>
          <w:rFonts w:cs="Times New Roman"/>
          <w:szCs w:val="24"/>
        </w:rPr>
        <w:tab/>
        <w:t>Any of the provisions of this Prehearing Order may be modified upon motion and good cause shown by any party in interest.</w:t>
      </w:r>
    </w:p>
    <w:p w14:paraId="45528DDA" w14:textId="775E4157" w:rsidR="00A2306E" w:rsidRDefault="00A2306E" w:rsidP="00B04270">
      <w:pPr>
        <w:spacing w:after="0"/>
        <w:rPr>
          <w:rFonts w:cs="Times New Roman"/>
          <w:szCs w:val="24"/>
        </w:rPr>
      </w:pPr>
    </w:p>
    <w:p w14:paraId="75FD99FE" w14:textId="77777777" w:rsidR="0037356C" w:rsidRDefault="0037356C" w:rsidP="00B04270">
      <w:pPr>
        <w:spacing w:after="0"/>
        <w:rPr>
          <w:rFonts w:cs="Times New Roman"/>
          <w:szCs w:val="24"/>
        </w:rPr>
      </w:pPr>
    </w:p>
    <w:p w14:paraId="655E364E" w14:textId="0C9941C1" w:rsidR="0037356C" w:rsidRPr="00143145" w:rsidRDefault="0037356C" w:rsidP="0037356C">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 xml:space="preserve">April </w:t>
      </w:r>
      <w:r w:rsidR="00640076">
        <w:rPr>
          <w:rFonts w:eastAsia="Times New Roman" w:cs="Times New Roman"/>
          <w:szCs w:val="24"/>
          <w:u w:val="single"/>
        </w:rPr>
        <w:t>2</w:t>
      </w:r>
      <w:r w:rsidR="001A31D3">
        <w:rPr>
          <w:rFonts w:eastAsia="Times New Roman" w:cs="Times New Roman"/>
          <w:szCs w:val="24"/>
          <w:u w:val="single"/>
        </w:rPr>
        <w:t>5</w:t>
      </w:r>
      <w:r w:rsidRPr="00143145">
        <w:rPr>
          <w:rFonts w:eastAsia="Times New Roman" w:cs="Times New Roman"/>
          <w:szCs w:val="24"/>
          <w:u w:val="single"/>
        </w:rPr>
        <w:t>, 202</w:t>
      </w:r>
      <w:r w:rsidR="000956C3">
        <w:rPr>
          <w:rFonts w:eastAsia="Times New Roman" w:cs="Times New Roman"/>
          <w:szCs w:val="24"/>
          <w:u w:val="single"/>
        </w:rPr>
        <w:t>3</w:t>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Pr>
          <w:rFonts w:eastAsia="Times New Roman" w:cs="Times New Roman"/>
          <w:szCs w:val="24"/>
        </w:rPr>
        <w:tab/>
      </w:r>
      <w:r w:rsidRPr="00143145">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6A56429F" w14:textId="2D546A02" w:rsidR="0037356C" w:rsidRPr="00143145" w:rsidRDefault="0037356C" w:rsidP="0037356C">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00FE5B02">
        <w:rPr>
          <w:rFonts w:eastAsia="SimSun" w:cs="Times New Roman"/>
          <w:szCs w:val="20"/>
        </w:rPr>
        <w:t>Mark Hoyer</w:t>
      </w:r>
    </w:p>
    <w:p w14:paraId="0A46CA5F" w14:textId="77777777" w:rsidR="0037356C" w:rsidRDefault="0037356C" w:rsidP="0037356C">
      <w:pPr>
        <w:spacing w:after="0"/>
        <w:rPr>
          <w:rFonts w:eastAsia="SimSun" w:cs="Times New Roman"/>
          <w:szCs w:val="20"/>
        </w:rPr>
      </w:pP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5D484BB3" w14:textId="7CC41264" w:rsidR="00FE5B02" w:rsidRDefault="00FE5B02" w:rsidP="000956C3">
      <w:pPr>
        <w:spacing w:after="0" w:line="240" w:lineRule="auto"/>
        <w:ind w:left="5760"/>
        <w:rPr>
          <w:rFonts w:eastAsia="SimSun" w:cs="Times New Roman"/>
          <w:szCs w:val="20"/>
        </w:rPr>
      </w:pPr>
      <w:r>
        <w:rPr>
          <w:rFonts w:eastAsia="SimSun" w:cs="Times New Roman"/>
          <w:szCs w:val="20"/>
        </w:rPr>
        <w:t>Darlene Heep</w:t>
      </w:r>
    </w:p>
    <w:p w14:paraId="4093FC38" w14:textId="29A0ED4A" w:rsidR="00FE5B02" w:rsidRDefault="00FE5B02" w:rsidP="000956C3">
      <w:pPr>
        <w:spacing w:after="0" w:line="240" w:lineRule="auto"/>
        <w:ind w:left="5760"/>
        <w:rPr>
          <w:rFonts w:eastAsia="SimSun" w:cs="Times New Roman"/>
          <w:szCs w:val="20"/>
        </w:rPr>
      </w:pPr>
      <w:r>
        <w:rPr>
          <w:rFonts w:eastAsia="SimSun" w:cs="Times New Roman"/>
          <w:szCs w:val="20"/>
        </w:rPr>
        <w:t>Administrative Law Judge</w:t>
      </w:r>
    </w:p>
    <w:p w14:paraId="082C559A" w14:textId="1D099AFD" w:rsidR="0037356C" w:rsidRDefault="0037356C" w:rsidP="00B04270">
      <w:pPr>
        <w:spacing w:after="0"/>
        <w:rPr>
          <w:rFonts w:cs="Times New Roman"/>
          <w:szCs w:val="24"/>
        </w:rPr>
      </w:pPr>
    </w:p>
    <w:p w14:paraId="765F05D7" w14:textId="77777777" w:rsidR="0037356C" w:rsidRDefault="0037356C" w:rsidP="00B04270">
      <w:pPr>
        <w:spacing w:after="0"/>
        <w:rPr>
          <w:rFonts w:cs="Times New Roman"/>
          <w:szCs w:val="24"/>
        </w:rPr>
        <w:sectPr w:rsidR="0037356C" w:rsidSect="00E00BDB">
          <w:footerReference w:type="default" r:id="rId9"/>
          <w:pgSz w:w="12240" w:h="15840"/>
          <w:pgMar w:top="1440" w:right="1440" w:bottom="1440" w:left="1440" w:header="720" w:footer="720" w:gutter="0"/>
          <w:cols w:space="720"/>
          <w:titlePg/>
          <w:docGrid w:linePitch="360"/>
        </w:sectPr>
      </w:pPr>
    </w:p>
    <w:p w14:paraId="42B8E891" w14:textId="77777777" w:rsidR="000956C3" w:rsidRPr="007B3C07" w:rsidRDefault="000956C3" w:rsidP="000956C3">
      <w:pPr>
        <w:spacing w:after="0" w:line="240" w:lineRule="auto"/>
        <w:rPr>
          <w:rFonts w:ascii="Microsoft Sans Serif" w:eastAsia="Microsoft Sans Serif" w:hAnsi="Microsoft Sans Serif" w:cs="Microsoft Sans Serif"/>
          <w:b/>
          <w:u w:val="single"/>
        </w:rPr>
      </w:pPr>
      <w:r w:rsidRPr="007B3C07">
        <w:rPr>
          <w:rFonts w:ascii="Microsoft Sans Serif" w:eastAsia="Microsoft Sans Serif" w:hAnsi="Microsoft Sans Serif" w:cs="Microsoft Sans Serif"/>
          <w:b/>
          <w:u w:val="single"/>
        </w:rPr>
        <w:lastRenderedPageBreak/>
        <w:t>A-2022-3037374 - Letter of Notification of PPL Electric Utilities Corporation Filed under 52 Pa. Code Chapter 57, Subchapter G, for approval to rebuild the existing double-circuit Stanton-Summit # 3 and # 4 230 kV transmission lines connecting the Stanton 230-69 kV substation and a two-pole turn structure that are respectively located in Luzerne and Lackawanna Counties, Pennsylvania.</w:t>
      </w:r>
    </w:p>
    <w:p w14:paraId="4ABECF7A" w14:textId="77777777" w:rsidR="000956C3" w:rsidRPr="007B3C07" w:rsidRDefault="000956C3" w:rsidP="000956C3">
      <w:pPr>
        <w:spacing w:line="259" w:lineRule="auto"/>
        <w:rPr>
          <w:rFonts w:ascii="Microsoft Sans Serif" w:eastAsia="Microsoft Sans Serif" w:hAnsi="Microsoft Sans Serif" w:cs="Microsoft Sans Serif"/>
          <w:b/>
          <w:u w:val="single"/>
        </w:rPr>
        <w:sectPr w:rsidR="000956C3" w:rsidRPr="007B3C07">
          <w:footerReference w:type="default" r:id="rId10"/>
          <w:pgSz w:w="12240" w:h="15840"/>
          <w:pgMar w:top="1440" w:right="1440" w:bottom="1440" w:left="1440" w:header="720" w:footer="720" w:gutter="0"/>
          <w:cols w:space="720"/>
          <w:docGrid w:linePitch="360"/>
        </w:sectPr>
      </w:pPr>
      <w:r w:rsidRPr="007B3C07">
        <w:rPr>
          <w:rFonts w:ascii="Microsoft Sans Serif" w:eastAsia="Microsoft Sans Serif" w:hAnsi="Microsoft Sans Serif" w:cs="Microsoft Sans Serif"/>
          <w:b/>
          <w:u w:val="single"/>
        </w:rPr>
        <w:cr/>
      </w:r>
    </w:p>
    <w:p w14:paraId="152A5C21" w14:textId="77777777" w:rsidR="000956C3" w:rsidRPr="007B3C07" w:rsidRDefault="000956C3" w:rsidP="000956C3">
      <w:pPr>
        <w:spacing w:line="259" w:lineRule="auto"/>
        <w:rPr>
          <w:rFonts w:ascii="Microsoft Sans Serif" w:eastAsia="Microsoft Sans Serif" w:hAnsi="Microsoft Sans Serif" w:cs="Microsoft Sans Serif"/>
        </w:rPr>
      </w:pPr>
      <w:r w:rsidRPr="007B3C07">
        <w:rPr>
          <w:rFonts w:ascii="Microsoft Sans Serif" w:eastAsia="Microsoft Sans Serif" w:hAnsi="Microsoft Sans Serif" w:cs="Microsoft Sans Serif"/>
        </w:rPr>
        <w:t>GARRETT P LENT ESQUIRE</w:t>
      </w:r>
      <w:r w:rsidRPr="007B3C07">
        <w:rPr>
          <w:rFonts w:ascii="Microsoft Sans Serif" w:eastAsia="Microsoft Sans Serif" w:hAnsi="Microsoft Sans Serif" w:cs="Microsoft Sans Serif"/>
        </w:rPr>
        <w:br/>
        <w:t>NICHOLAS A STOBBE ESQUIRE</w:t>
      </w:r>
      <w:r w:rsidRPr="007B3C07">
        <w:rPr>
          <w:rFonts w:ascii="Microsoft Sans Serif" w:eastAsia="Microsoft Sans Serif" w:hAnsi="Microsoft Sans Serif" w:cs="Microsoft Sans Serif"/>
        </w:rPr>
        <w:br/>
        <w:t>DAVID B MACGREGOR ESQUIRE POST AND SCHELL</w:t>
      </w:r>
      <w:r w:rsidRPr="007B3C07">
        <w:rPr>
          <w:rFonts w:ascii="Microsoft Sans Serif" w:eastAsia="Microsoft Sans Serif" w:hAnsi="Microsoft Sans Serif" w:cs="Microsoft Sans Serif"/>
        </w:rPr>
        <w:cr/>
        <w:t>17 NORTH 2ND ST</w:t>
      </w:r>
      <w:r w:rsidRPr="007B3C07">
        <w:rPr>
          <w:rFonts w:ascii="Microsoft Sans Serif" w:eastAsia="Microsoft Sans Serif" w:hAnsi="Microsoft Sans Serif" w:cs="Microsoft Sans Serif"/>
        </w:rPr>
        <w:cr/>
        <w:t>12TH FL</w:t>
      </w:r>
      <w:r w:rsidRPr="007B3C07">
        <w:rPr>
          <w:rFonts w:ascii="Microsoft Sans Serif" w:eastAsia="Microsoft Sans Serif" w:hAnsi="Microsoft Sans Serif" w:cs="Microsoft Sans Serif"/>
        </w:rPr>
        <w:cr/>
        <w:t>HARRISBURG PA  17101-1601</w:t>
      </w:r>
      <w:r w:rsidRPr="007B3C07">
        <w:rPr>
          <w:rFonts w:ascii="Microsoft Sans Serif" w:eastAsia="Microsoft Sans Serif" w:hAnsi="Microsoft Sans Serif" w:cs="Microsoft Sans Serif"/>
        </w:rPr>
        <w:cr/>
      </w:r>
      <w:r w:rsidRPr="007B3C07">
        <w:rPr>
          <w:rFonts w:ascii="Microsoft Sans Serif" w:eastAsia="Microsoft Sans Serif" w:hAnsi="Microsoft Sans Serif" w:cs="Microsoft Sans Serif"/>
          <w:b/>
          <w:bCs/>
        </w:rPr>
        <w:t>717.612.6032</w:t>
      </w:r>
      <w:r w:rsidRPr="007B3C07">
        <w:rPr>
          <w:rFonts w:ascii="Microsoft Sans Serif" w:eastAsia="Microsoft Sans Serif" w:hAnsi="Microsoft Sans Serif" w:cs="Microsoft Sans Serif"/>
          <w:b/>
          <w:bCs/>
        </w:rPr>
        <w:cr/>
        <w:t>717.612.6033</w:t>
      </w:r>
      <w:r w:rsidRPr="007B3C07">
        <w:rPr>
          <w:rFonts w:ascii="Microsoft Sans Serif" w:eastAsia="Microsoft Sans Serif" w:hAnsi="Microsoft Sans Serif" w:cs="Microsoft Sans Serif"/>
          <w:b/>
          <w:bCs/>
        </w:rPr>
        <w:br/>
        <w:t>215-587-1197</w:t>
      </w:r>
      <w:r w:rsidRPr="007B3C07">
        <w:rPr>
          <w:rFonts w:ascii="Microsoft Sans Serif" w:eastAsia="Microsoft Sans Serif" w:hAnsi="Microsoft Sans Serif" w:cs="Microsoft Sans Serif"/>
          <w:b/>
          <w:bCs/>
        </w:rPr>
        <w:br/>
        <w:t>*</w:t>
      </w:r>
      <w:r w:rsidRPr="007B3C07">
        <w:rPr>
          <w:rFonts w:ascii="Microsoft Sans Serif" w:eastAsia="Microsoft Sans Serif" w:hAnsi="Microsoft Sans Serif" w:cs="Microsoft Sans Serif"/>
        </w:rPr>
        <w:t>glent@postschell.com</w:t>
      </w:r>
      <w:r w:rsidRPr="007B3C07">
        <w:rPr>
          <w:rFonts w:ascii="Microsoft Sans Serif" w:eastAsia="Microsoft Sans Serif" w:hAnsi="Microsoft Sans Serif" w:cs="Microsoft Sans Serif"/>
        </w:rPr>
        <w:cr/>
        <w:t>*nstobbe@postschell.com</w:t>
      </w:r>
      <w:r w:rsidRPr="007B3C07">
        <w:rPr>
          <w:rFonts w:ascii="Microsoft Sans Serif" w:eastAsia="Microsoft Sans Serif" w:hAnsi="Microsoft Sans Serif" w:cs="Microsoft Sans Serif"/>
        </w:rPr>
        <w:br/>
        <w:t>dmacgregor@postschell.com</w:t>
      </w:r>
      <w:r w:rsidRPr="007B3C07">
        <w:rPr>
          <w:rFonts w:ascii="Microsoft Sans Serif" w:eastAsia="Microsoft Sans Serif" w:hAnsi="Microsoft Sans Serif" w:cs="Microsoft Sans Serif"/>
        </w:rPr>
        <w:br/>
        <w:t>*Accepts EService</w:t>
      </w:r>
    </w:p>
    <w:p w14:paraId="1C06CFF3" w14:textId="60EF0205" w:rsidR="000956C3" w:rsidRDefault="000956C3" w:rsidP="000956C3">
      <w:pPr>
        <w:spacing w:after="0" w:line="259" w:lineRule="auto"/>
        <w:rPr>
          <w:rFonts w:ascii="Microsoft Sans Serif" w:eastAsia="Microsoft Sans Serif" w:hAnsi="Microsoft Sans Serif" w:cs="Microsoft Sans Serif"/>
        </w:rPr>
      </w:pPr>
      <w:r w:rsidRPr="007B3C07">
        <w:rPr>
          <w:rFonts w:ascii="Microsoft Sans Serif" w:eastAsia="Microsoft Sans Serif" w:hAnsi="Microsoft Sans Serif" w:cs="Microsoft Sans Serif"/>
        </w:rPr>
        <w:t xml:space="preserve"> </w:t>
      </w:r>
      <w:r w:rsidRPr="007B3C07">
        <w:rPr>
          <w:rFonts w:ascii="Microsoft Sans Serif" w:eastAsia="Microsoft Sans Serif" w:hAnsi="Microsoft Sans Serif" w:cs="Microsoft Sans Serif"/>
        </w:rPr>
        <w:br/>
        <w:t>DARRYL A LAWRENCE ESQUIRE</w:t>
      </w:r>
      <w:r w:rsidRPr="007B3C07">
        <w:rPr>
          <w:rFonts w:ascii="Microsoft Sans Serif" w:eastAsia="Microsoft Sans Serif" w:hAnsi="Microsoft Sans Serif" w:cs="Microsoft Sans Serif"/>
        </w:rPr>
        <w:br/>
        <w:t>CHRISTOPHER M ANDREOLI</w:t>
      </w:r>
      <w:r w:rsidRPr="007B3C07">
        <w:rPr>
          <w:rFonts w:ascii="Microsoft Sans Serif" w:eastAsia="Microsoft Sans Serif" w:hAnsi="Microsoft Sans Serif" w:cs="Microsoft Sans Serif"/>
        </w:rPr>
        <w:cr/>
        <w:t xml:space="preserve">ESQUIRE </w:t>
      </w:r>
    </w:p>
    <w:p w14:paraId="151D2B8B" w14:textId="4CF014D0" w:rsidR="000956C3" w:rsidRPr="00E534CC" w:rsidRDefault="000956C3" w:rsidP="000956C3">
      <w:pPr>
        <w:spacing w:after="0" w:line="259" w:lineRule="auto"/>
        <w:rPr>
          <w:rFonts w:ascii="Microsoft Sans Serif" w:eastAsia="Microsoft Sans Serif" w:hAnsi="Microsoft Sans Serif" w:cs="Microsoft Sans Serif"/>
        </w:rPr>
      </w:pPr>
      <w:r w:rsidRPr="007B3C07">
        <w:rPr>
          <w:rFonts w:ascii="Microsoft Sans Serif" w:eastAsia="Microsoft Sans Serif" w:hAnsi="Microsoft Sans Serif" w:cs="Microsoft Sans Serif"/>
        </w:rPr>
        <w:t>OFFICE OF CONSUMER ADVOCATE</w:t>
      </w:r>
      <w:r w:rsidRPr="007B3C07">
        <w:rPr>
          <w:rFonts w:ascii="Microsoft Sans Serif" w:eastAsia="Microsoft Sans Serif" w:hAnsi="Microsoft Sans Serif" w:cs="Microsoft Sans Serif"/>
        </w:rPr>
        <w:cr/>
        <w:t>555 Walnut Street</w:t>
      </w:r>
      <w:r w:rsidRPr="007B3C07">
        <w:rPr>
          <w:rFonts w:ascii="Microsoft Sans Serif" w:eastAsia="Microsoft Sans Serif" w:hAnsi="Microsoft Sans Serif" w:cs="Microsoft Sans Serif"/>
        </w:rPr>
        <w:cr/>
        <w:t>5TH FLOOR FORUM PLACE</w:t>
      </w:r>
      <w:r w:rsidRPr="007B3C07">
        <w:rPr>
          <w:rFonts w:ascii="Microsoft Sans Serif" w:eastAsia="Microsoft Sans Serif" w:hAnsi="Microsoft Sans Serif" w:cs="Microsoft Sans Serif"/>
        </w:rPr>
        <w:cr/>
        <w:t>HARRISBURG PA  17101-1923</w:t>
      </w:r>
      <w:r w:rsidRPr="007B3C07">
        <w:rPr>
          <w:rFonts w:ascii="Microsoft Sans Serif" w:eastAsia="Microsoft Sans Serif" w:hAnsi="Microsoft Sans Serif" w:cs="Microsoft Sans Serif"/>
        </w:rPr>
        <w:cr/>
      </w:r>
      <w:r w:rsidRPr="007B3C07">
        <w:rPr>
          <w:rFonts w:ascii="Microsoft Sans Serif" w:eastAsia="Microsoft Sans Serif" w:hAnsi="Microsoft Sans Serif" w:cs="Microsoft Sans Serif"/>
          <w:b/>
          <w:bCs/>
        </w:rPr>
        <w:t>717.783.5048</w:t>
      </w:r>
      <w:r w:rsidRPr="007B3C07">
        <w:rPr>
          <w:rFonts w:ascii="Microsoft Sans Serif" w:eastAsia="Microsoft Sans Serif" w:hAnsi="Microsoft Sans Serif" w:cs="Microsoft Sans Serif"/>
          <w:b/>
          <w:bCs/>
        </w:rPr>
        <w:cr/>
      </w:r>
      <w:r w:rsidRPr="007B3C07">
        <w:rPr>
          <w:rFonts w:ascii="Microsoft Sans Serif" w:eastAsia="Microsoft Sans Serif" w:hAnsi="Microsoft Sans Serif" w:cs="Microsoft Sans Serif"/>
        </w:rPr>
        <w:t>candreoli@paoca.org</w:t>
      </w:r>
      <w:r w:rsidRPr="007B3C07">
        <w:rPr>
          <w:rFonts w:ascii="Microsoft Sans Serif" w:eastAsia="Microsoft Sans Serif" w:hAnsi="Microsoft Sans Serif" w:cs="Microsoft Sans Serif"/>
        </w:rPr>
        <w:cr/>
        <w:t>dlawrence@paoca.org</w:t>
      </w:r>
      <w:r w:rsidRPr="007B3C07">
        <w:rPr>
          <w:rFonts w:ascii="Microsoft Sans Serif" w:eastAsia="Microsoft Sans Serif" w:hAnsi="Microsoft Sans Serif" w:cs="Microsoft Sans Serif"/>
        </w:rPr>
        <w:br/>
        <w:t>Accepts EService</w:t>
      </w:r>
      <w:r w:rsidRPr="007B3C07">
        <w:rPr>
          <w:rFonts w:ascii="Microsoft Sans Serif" w:eastAsia="Microsoft Sans Serif" w:hAnsi="Microsoft Sans Serif" w:cs="Microsoft Sans Serif"/>
        </w:rPr>
        <w:cr/>
      </w:r>
    </w:p>
    <w:p w14:paraId="1B1C26E6" w14:textId="77777777" w:rsidR="000956C3" w:rsidRPr="00E534CC" w:rsidRDefault="000956C3" w:rsidP="000956C3">
      <w:pPr>
        <w:spacing w:line="259" w:lineRule="auto"/>
        <w:rPr>
          <w:rFonts w:ascii="Microsoft Sans Serif" w:eastAsia="Microsoft Sans Serif" w:hAnsi="Microsoft Sans Serif" w:cs="Microsoft Sans Serif"/>
        </w:rPr>
      </w:pPr>
    </w:p>
    <w:p w14:paraId="220D1043" w14:textId="77777777" w:rsidR="000956C3" w:rsidRPr="00E534CC" w:rsidRDefault="000956C3" w:rsidP="000956C3">
      <w:pPr>
        <w:spacing w:line="259" w:lineRule="auto"/>
        <w:rPr>
          <w:rFonts w:ascii="Microsoft Sans Serif" w:eastAsia="Microsoft Sans Serif" w:hAnsi="Microsoft Sans Serif" w:cs="Microsoft Sans Serif"/>
        </w:rPr>
      </w:pPr>
    </w:p>
    <w:p w14:paraId="6A35917C" w14:textId="77777777" w:rsidR="000956C3" w:rsidRPr="00E534CC" w:rsidRDefault="000956C3" w:rsidP="000956C3">
      <w:pPr>
        <w:spacing w:line="259" w:lineRule="auto"/>
        <w:rPr>
          <w:rFonts w:ascii="Microsoft Sans Serif" w:eastAsia="Microsoft Sans Serif" w:hAnsi="Microsoft Sans Serif" w:cs="Microsoft Sans Serif"/>
        </w:rPr>
      </w:pPr>
    </w:p>
    <w:p w14:paraId="29F49713" w14:textId="6542E379" w:rsidR="0037356C" w:rsidRPr="0037356C" w:rsidRDefault="0037356C" w:rsidP="000956C3">
      <w:pPr>
        <w:spacing w:line="259" w:lineRule="auto"/>
        <w:rPr>
          <w:rFonts w:ascii="Microsoft Sans Serif" w:eastAsia="Microsoft Sans Serif" w:hAnsi="Microsoft Sans Serif" w:cs="Microsoft Sans Serif"/>
          <w:szCs w:val="20"/>
        </w:rPr>
      </w:pPr>
    </w:p>
    <w:sectPr w:rsidR="0037356C" w:rsidRPr="0037356C" w:rsidSect="00486DB6">
      <w:head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438C" w14:textId="77777777" w:rsidR="00A05EB4" w:rsidRDefault="00A05EB4" w:rsidP="00A2306E">
      <w:pPr>
        <w:spacing w:after="0" w:line="240" w:lineRule="auto"/>
      </w:pPr>
      <w:r>
        <w:separator/>
      </w:r>
    </w:p>
  </w:endnote>
  <w:endnote w:type="continuationSeparator" w:id="0">
    <w:p w14:paraId="0D863641" w14:textId="77777777" w:rsidR="00A05EB4" w:rsidRDefault="00A05EB4" w:rsidP="00A2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39366505"/>
      <w:docPartObj>
        <w:docPartGallery w:val="Page Numbers (Bottom of Page)"/>
        <w:docPartUnique/>
      </w:docPartObj>
    </w:sdtPr>
    <w:sdtEndPr>
      <w:rPr>
        <w:noProof/>
      </w:rPr>
    </w:sdtEndPr>
    <w:sdtContent>
      <w:p w14:paraId="5E9DB87F" w14:textId="031CDFDB" w:rsidR="00E00BDB" w:rsidRPr="00AB183F" w:rsidRDefault="00E00BDB" w:rsidP="00AB183F">
        <w:pPr>
          <w:pStyle w:val="Footer"/>
          <w:jc w:val="center"/>
          <w:rPr>
            <w:sz w:val="20"/>
            <w:szCs w:val="20"/>
          </w:rPr>
        </w:pPr>
        <w:r w:rsidRPr="00AB183F">
          <w:rPr>
            <w:sz w:val="20"/>
            <w:szCs w:val="20"/>
          </w:rPr>
          <w:fldChar w:fldCharType="begin"/>
        </w:r>
        <w:r w:rsidRPr="00AB183F">
          <w:rPr>
            <w:sz w:val="20"/>
            <w:szCs w:val="20"/>
          </w:rPr>
          <w:instrText xml:space="preserve"> PAGE   \* MERGEFORMAT </w:instrText>
        </w:r>
        <w:r w:rsidRPr="00AB183F">
          <w:rPr>
            <w:sz w:val="20"/>
            <w:szCs w:val="20"/>
          </w:rPr>
          <w:fldChar w:fldCharType="separate"/>
        </w:r>
        <w:r w:rsidRPr="00AB183F">
          <w:rPr>
            <w:noProof/>
            <w:sz w:val="20"/>
            <w:szCs w:val="20"/>
          </w:rPr>
          <w:t>2</w:t>
        </w:r>
        <w:r w:rsidRPr="00AB183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0E72" w14:textId="5330B0EF" w:rsidR="0052433A" w:rsidRPr="00AB183F" w:rsidRDefault="0052433A" w:rsidP="00AB183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E5DD" w14:textId="77777777" w:rsidR="00A05EB4" w:rsidRDefault="00A05EB4" w:rsidP="00A2306E">
      <w:pPr>
        <w:spacing w:after="0" w:line="240" w:lineRule="auto"/>
      </w:pPr>
      <w:r>
        <w:separator/>
      </w:r>
    </w:p>
  </w:footnote>
  <w:footnote w:type="continuationSeparator" w:id="0">
    <w:p w14:paraId="062605EC" w14:textId="77777777" w:rsidR="00A05EB4" w:rsidRDefault="00A05EB4" w:rsidP="00A2306E">
      <w:pPr>
        <w:spacing w:after="0" w:line="240" w:lineRule="auto"/>
      </w:pPr>
      <w:r>
        <w:continuationSeparator/>
      </w:r>
    </w:p>
  </w:footnote>
  <w:footnote w:id="1">
    <w:p w14:paraId="204D5481" w14:textId="22B0B34E" w:rsidR="000D3C97" w:rsidRDefault="000D3C97" w:rsidP="00AB183F">
      <w:pPr>
        <w:pStyle w:val="FootnoteText"/>
        <w:spacing w:after="0"/>
        <w:ind w:firstLine="720"/>
      </w:pPr>
      <w:r>
        <w:rPr>
          <w:rStyle w:val="FootnoteReference"/>
        </w:rPr>
        <w:footnoteRef/>
      </w:r>
      <w:r>
        <w:t xml:space="preserve"> </w:t>
      </w:r>
      <w:r w:rsidR="00D63F76">
        <w:tab/>
        <w:t>S</w:t>
      </w:r>
      <w:r w:rsidR="00D63F76" w:rsidRPr="00D63F76">
        <w:t xml:space="preserve">hould the public health situation </w:t>
      </w:r>
      <w:r w:rsidR="0037356C" w:rsidRPr="00D63F76">
        <w:t>deteriorate,</w:t>
      </w:r>
      <w:r w:rsidR="00D63F76" w:rsidRPr="00D63F76">
        <w:t xml:space="preserve"> and Commonwealth meeting protocols change, counsel should be prepared to conduct the hearing by telephone.  Further, all individuals attending the hearing must comply with any public health protocols that may be in place when the hearings convene.</w:t>
      </w:r>
    </w:p>
    <w:p w14:paraId="552EBDC3" w14:textId="77777777" w:rsidR="00AB183F" w:rsidRDefault="00AB183F" w:rsidP="00AB183F">
      <w:pPr>
        <w:pStyle w:val="FootnoteText"/>
        <w:spacing w:after="0"/>
        <w:ind w:firstLine="720"/>
      </w:pPr>
    </w:p>
  </w:footnote>
  <w:footnote w:id="2">
    <w:p w14:paraId="7789C6DD" w14:textId="77777777" w:rsidR="00A2306E" w:rsidRPr="00FF7946" w:rsidRDefault="00A2306E" w:rsidP="00AB183F">
      <w:pPr>
        <w:pStyle w:val="FootnoteText"/>
        <w:spacing w:after="0"/>
        <w:ind w:firstLine="720"/>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B673" w14:textId="77777777" w:rsidR="0037356C" w:rsidRDefault="0037356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74937372">
    <w:abstractNumId w:val="29"/>
  </w:num>
  <w:num w:numId="2" w16cid:durableId="597903936">
    <w:abstractNumId w:val="20"/>
  </w:num>
  <w:num w:numId="3" w16cid:durableId="779111548">
    <w:abstractNumId w:val="27"/>
  </w:num>
  <w:num w:numId="4" w16cid:durableId="300383182">
    <w:abstractNumId w:val="31"/>
  </w:num>
  <w:num w:numId="5" w16cid:durableId="1689599847">
    <w:abstractNumId w:val="11"/>
  </w:num>
  <w:num w:numId="6" w16cid:durableId="1777627708">
    <w:abstractNumId w:val="8"/>
  </w:num>
  <w:num w:numId="7" w16cid:durableId="2077899115">
    <w:abstractNumId w:val="6"/>
  </w:num>
  <w:num w:numId="8" w16cid:durableId="112789151">
    <w:abstractNumId w:val="30"/>
  </w:num>
  <w:num w:numId="9" w16cid:durableId="971792226">
    <w:abstractNumId w:val="3"/>
  </w:num>
  <w:num w:numId="10" w16cid:durableId="683021635">
    <w:abstractNumId w:val="22"/>
  </w:num>
  <w:num w:numId="11" w16cid:durableId="183633678">
    <w:abstractNumId w:val="26"/>
  </w:num>
  <w:num w:numId="12" w16cid:durableId="44453449">
    <w:abstractNumId w:val="16"/>
  </w:num>
  <w:num w:numId="13" w16cid:durableId="361593247">
    <w:abstractNumId w:val="23"/>
  </w:num>
  <w:num w:numId="14" w16cid:durableId="756052787">
    <w:abstractNumId w:val="28"/>
  </w:num>
  <w:num w:numId="15" w16cid:durableId="183326342">
    <w:abstractNumId w:val="0"/>
  </w:num>
  <w:num w:numId="16" w16cid:durableId="1968312878">
    <w:abstractNumId w:val="21"/>
  </w:num>
  <w:num w:numId="17" w16cid:durableId="1990818840">
    <w:abstractNumId w:val="21"/>
  </w:num>
  <w:num w:numId="18" w16cid:durableId="1728647332">
    <w:abstractNumId w:val="10"/>
  </w:num>
  <w:num w:numId="19" w16cid:durableId="327297146">
    <w:abstractNumId w:val="17"/>
  </w:num>
  <w:num w:numId="20" w16cid:durableId="772213342">
    <w:abstractNumId w:val="32"/>
  </w:num>
  <w:num w:numId="21" w16cid:durableId="487408484">
    <w:abstractNumId w:val="14"/>
  </w:num>
  <w:num w:numId="22" w16cid:durableId="1692029588">
    <w:abstractNumId w:val="5"/>
  </w:num>
  <w:num w:numId="23" w16cid:durableId="791166069">
    <w:abstractNumId w:val="15"/>
  </w:num>
  <w:num w:numId="24" w16cid:durableId="981034459">
    <w:abstractNumId w:val="35"/>
  </w:num>
  <w:num w:numId="25" w16cid:durableId="1659578160">
    <w:abstractNumId w:val="1"/>
  </w:num>
  <w:num w:numId="26" w16cid:durableId="221523921">
    <w:abstractNumId w:val="7"/>
  </w:num>
  <w:num w:numId="27" w16cid:durableId="1330475268">
    <w:abstractNumId w:val="25"/>
  </w:num>
  <w:num w:numId="28" w16cid:durableId="446629930">
    <w:abstractNumId w:val="13"/>
  </w:num>
  <w:num w:numId="29" w16cid:durableId="1653102068">
    <w:abstractNumId w:val="9"/>
  </w:num>
  <w:num w:numId="30" w16cid:durableId="476608386">
    <w:abstractNumId w:val="19"/>
  </w:num>
  <w:num w:numId="31" w16cid:durableId="813523377">
    <w:abstractNumId w:val="33"/>
  </w:num>
  <w:num w:numId="32" w16cid:durableId="1755661316">
    <w:abstractNumId w:val="34"/>
  </w:num>
  <w:num w:numId="33" w16cid:durableId="1398549041">
    <w:abstractNumId w:val="24"/>
  </w:num>
  <w:num w:numId="34" w16cid:durableId="2098818756">
    <w:abstractNumId w:val="4"/>
  </w:num>
  <w:num w:numId="35" w16cid:durableId="926496796">
    <w:abstractNumId w:val="18"/>
  </w:num>
  <w:num w:numId="36" w16cid:durableId="1404909296">
    <w:abstractNumId w:val="2"/>
  </w:num>
  <w:num w:numId="37" w16cid:durableId="701711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28"/>
    <w:rsid w:val="00004C37"/>
    <w:rsid w:val="000066B3"/>
    <w:rsid w:val="00066D87"/>
    <w:rsid w:val="000773C4"/>
    <w:rsid w:val="00083973"/>
    <w:rsid w:val="000956C3"/>
    <w:rsid w:val="000A7B65"/>
    <w:rsid w:val="000D3C97"/>
    <w:rsid w:val="000E3EDE"/>
    <w:rsid w:val="00107E82"/>
    <w:rsid w:val="001154DC"/>
    <w:rsid w:val="00125A12"/>
    <w:rsid w:val="001A21B6"/>
    <w:rsid w:val="001A31D3"/>
    <w:rsid w:val="001B1CBA"/>
    <w:rsid w:val="001D2AF7"/>
    <w:rsid w:val="001D6209"/>
    <w:rsid w:val="001F65C2"/>
    <w:rsid w:val="00207743"/>
    <w:rsid w:val="00213167"/>
    <w:rsid w:val="002145FD"/>
    <w:rsid w:val="002512F9"/>
    <w:rsid w:val="00261740"/>
    <w:rsid w:val="00267405"/>
    <w:rsid w:val="00295B15"/>
    <w:rsid w:val="002A56E4"/>
    <w:rsid w:val="003145FA"/>
    <w:rsid w:val="00367A41"/>
    <w:rsid w:val="0037356C"/>
    <w:rsid w:val="00384B5B"/>
    <w:rsid w:val="00393C92"/>
    <w:rsid w:val="003A1A41"/>
    <w:rsid w:val="003A3E09"/>
    <w:rsid w:val="003C05CC"/>
    <w:rsid w:val="003F7C0F"/>
    <w:rsid w:val="0040731D"/>
    <w:rsid w:val="00417566"/>
    <w:rsid w:val="004210DA"/>
    <w:rsid w:val="004D523C"/>
    <w:rsid w:val="0052433A"/>
    <w:rsid w:val="00530F9D"/>
    <w:rsid w:val="00545667"/>
    <w:rsid w:val="005723E2"/>
    <w:rsid w:val="005978EA"/>
    <w:rsid w:val="005A0D5E"/>
    <w:rsid w:val="005A1C17"/>
    <w:rsid w:val="005A2ABA"/>
    <w:rsid w:val="005D180A"/>
    <w:rsid w:val="005E7B69"/>
    <w:rsid w:val="005F4449"/>
    <w:rsid w:val="00613EA9"/>
    <w:rsid w:val="0061775F"/>
    <w:rsid w:val="00620336"/>
    <w:rsid w:val="00640076"/>
    <w:rsid w:val="00696C0D"/>
    <w:rsid w:val="006C4A2C"/>
    <w:rsid w:val="006C6A0D"/>
    <w:rsid w:val="006F0329"/>
    <w:rsid w:val="00700807"/>
    <w:rsid w:val="00712E58"/>
    <w:rsid w:val="007407AC"/>
    <w:rsid w:val="00755D72"/>
    <w:rsid w:val="00773AA8"/>
    <w:rsid w:val="00782A28"/>
    <w:rsid w:val="0079246E"/>
    <w:rsid w:val="00792796"/>
    <w:rsid w:val="00796B64"/>
    <w:rsid w:val="007D6190"/>
    <w:rsid w:val="007E6779"/>
    <w:rsid w:val="00804B36"/>
    <w:rsid w:val="00820B4C"/>
    <w:rsid w:val="0083239D"/>
    <w:rsid w:val="00841A31"/>
    <w:rsid w:val="008529D2"/>
    <w:rsid w:val="0088105E"/>
    <w:rsid w:val="008F3A1E"/>
    <w:rsid w:val="008F6121"/>
    <w:rsid w:val="009108FA"/>
    <w:rsid w:val="00912455"/>
    <w:rsid w:val="00917DCA"/>
    <w:rsid w:val="00926DE3"/>
    <w:rsid w:val="00955295"/>
    <w:rsid w:val="009C7C72"/>
    <w:rsid w:val="009F0C9B"/>
    <w:rsid w:val="00A05EB4"/>
    <w:rsid w:val="00A2306E"/>
    <w:rsid w:val="00A24A19"/>
    <w:rsid w:val="00A44865"/>
    <w:rsid w:val="00A47096"/>
    <w:rsid w:val="00A533F5"/>
    <w:rsid w:val="00AA2EC5"/>
    <w:rsid w:val="00AB183F"/>
    <w:rsid w:val="00AB4C73"/>
    <w:rsid w:val="00AD27C0"/>
    <w:rsid w:val="00AE6F47"/>
    <w:rsid w:val="00B04270"/>
    <w:rsid w:val="00B43F7F"/>
    <w:rsid w:val="00B633B7"/>
    <w:rsid w:val="00B91E47"/>
    <w:rsid w:val="00BC029A"/>
    <w:rsid w:val="00BC6B21"/>
    <w:rsid w:val="00BE7881"/>
    <w:rsid w:val="00C04D8A"/>
    <w:rsid w:val="00C553F6"/>
    <w:rsid w:val="00C65884"/>
    <w:rsid w:val="00C87E57"/>
    <w:rsid w:val="00CB3E6D"/>
    <w:rsid w:val="00CC6ED2"/>
    <w:rsid w:val="00CF4F2E"/>
    <w:rsid w:val="00CF6143"/>
    <w:rsid w:val="00D14843"/>
    <w:rsid w:val="00D228F0"/>
    <w:rsid w:val="00D63F76"/>
    <w:rsid w:val="00D6543A"/>
    <w:rsid w:val="00D97A41"/>
    <w:rsid w:val="00DD19B7"/>
    <w:rsid w:val="00DD5C37"/>
    <w:rsid w:val="00DF35D9"/>
    <w:rsid w:val="00E00BDB"/>
    <w:rsid w:val="00E4239A"/>
    <w:rsid w:val="00EB027A"/>
    <w:rsid w:val="00EC1CBA"/>
    <w:rsid w:val="00ED5019"/>
    <w:rsid w:val="00EE69E2"/>
    <w:rsid w:val="00EE7801"/>
    <w:rsid w:val="00F11A19"/>
    <w:rsid w:val="00F16554"/>
    <w:rsid w:val="00F544E1"/>
    <w:rsid w:val="00FD5C10"/>
    <w:rsid w:val="00FE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950F"/>
  <w15:chartTrackingRefBased/>
  <w15:docId w15:val="{990B6E02-003B-4382-B785-8B166B1C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A2306E"/>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rsid w:val="00A2306E"/>
    <w:rPr>
      <w:color w:val="0000FF"/>
      <w:u w:val="single"/>
    </w:rPr>
  </w:style>
  <w:style w:type="character" w:styleId="FootnoteReference">
    <w:name w:val="footnote reference"/>
    <w:basedOn w:val="DefaultParagraphFont"/>
    <w:semiHidden/>
    <w:unhideWhenUsed/>
    <w:rsid w:val="00A2306E"/>
    <w:rPr>
      <w:vertAlign w:val="superscript"/>
    </w:rPr>
  </w:style>
  <w:style w:type="character" w:customStyle="1" w:styleId="Heading2Char">
    <w:name w:val="Heading 2 Char"/>
    <w:basedOn w:val="DefaultParagraphFont"/>
    <w:link w:val="Heading2"/>
    <w:rsid w:val="00A2306E"/>
    <w:rPr>
      <w:rFonts w:eastAsia="Times New Roman"/>
      <w:b/>
      <w:sz w:val="26"/>
      <w:u w:val="single"/>
    </w:rPr>
  </w:style>
  <w:style w:type="paragraph" w:styleId="Header">
    <w:name w:val="header"/>
    <w:basedOn w:val="Normal"/>
    <w:link w:val="HeaderChar"/>
    <w:uiPriority w:val="99"/>
    <w:unhideWhenUsed/>
    <w:rsid w:val="00E00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BDB"/>
    <w:rPr>
      <w:rFonts w:cstheme="minorBidi"/>
      <w:szCs w:val="22"/>
    </w:rPr>
  </w:style>
  <w:style w:type="paragraph" w:styleId="Footer">
    <w:name w:val="footer"/>
    <w:basedOn w:val="Normal"/>
    <w:link w:val="FooterChar"/>
    <w:uiPriority w:val="99"/>
    <w:unhideWhenUsed/>
    <w:rsid w:val="00E00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BDB"/>
    <w:rPr>
      <w:rFonts w:cstheme="minorBidi"/>
      <w:szCs w:val="22"/>
    </w:rPr>
  </w:style>
  <w:style w:type="paragraph" w:customStyle="1" w:styleId="Header1">
    <w:name w:val="Header1"/>
    <w:basedOn w:val="Normal"/>
    <w:next w:val="Header"/>
    <w:uiPriority w:val="99"/>
    <w:unhideWhenUsed/>
    <w:rsid w:val="0037356C"/>
    <w:pPr>
      <w:tabs>
        <w:tab w:val="center" w:pos="4680"/>
        <w:tab w:val="right" w:pos="9360"/>
      </w:tabs>
      <w:spacing w:after="0" w:line="240" w:lineRule="auto"/>
    </w:pPr>
    <w:rPr>
      <w:rFonts w:ascii="Calibri" w:eastAsia="Times New Roman" w:hAnsi="Calibri" w:cs="Times New Roman"/>
      <w:sz w:val="22"/>
    </w:rPr>
  </w:style>
  <w:style w:type="character" w:styleId="UnresolvedMention">
    <w:name w:val="Unresolved Mention"/>
    <w:basedOn w:val="DefaultParagraphFont"/>
    <w:uiPriority w:val="99"/>
    <w:semiHidden/>
    <w:unhideWhenUsed/>
    <w:rsid w:val="00FE5B02"/>
    <w:rPr>
      <w:color w:val="605E5C"/>
      <w:shd w:val="clear" w:color="auto" w:fill="E1DFDD"/>
    </w:rPr>
  </w:style>
  <w:style w:type="paragraph" w:styleId="Revision">
    <w:name w:val="Revision"/>
    <w:hidden/>
    <w:uiPriority w:val="99"/>
    <w:semiHidden/>
    <w:rsid w:val="00DD19B7"/>
    <w:pPr>
      <w:spacing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oyer@pa.go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6</cp:revision>
  <dcterms:created xsi:type="dcterms:W3CDTF">2023-04-20T18:11:00Z</dcterms:created>
  <dcterms:modified xsi:type="dcterms:W3CDTF">2023-04-25T17:43:00Z</dcterms:modified>
</cp:coreProperties>
</file>