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F38B" w14:textId="77777777" w:rsidR="002609B0" w:rsidRPr="00C055EF" w:rsidRDefault="002609B0" w:rsidP="002609B0">
      <w:pPr>
        <w:tabs>
          <w:tab w:val="center" w:pos="4680"/>
        </w:tabs>
        <w:spacing w:line="240" w:lineRule="auto"/>
        <w:jc w:val="center"/>
        <w:rPr>
          <w:szCs w:val="24"/>
        </w:rPr>
      </w:pPr>
      <w:r w:rsidRPr="00C055EF">
        <w:rPr>
          <w:b/>
          <w:szCs w:val="24"/>
        </w:rPr>
        <w:t>PENNSYLVANIA PUBLIC UTILITY COMMISSION</w:t>
      </w:r>
    </w:p>
    <w:p w14:paraId="47240AD7" w14:textId="77777777" w:rsidR="002609B0" w:rsidRPr="00C055EF" w:rsidRDefault="002609B0" w:rsidP="002609B0">
      <w:pPr>
        <w:spacing w:line="240" w:lineRule="auto"/>
        <w:jc w:val="both"/>
        <w:rPr>
          <w:szCs w:val="24"/>
        </w:rPr>
      </w:pPr>
    </w:p>
    <w:p w14:paraId="68E6B071" w14:textId="77777777" w:rsidR="00240FC5" w:rsidRDefault="00240FC5" w:rsidP="00240FC5">
      <w:pPr>
        <w:spacing w:line="240" w:lineRule="auto"/>
        <w:rPr>
          <w:color w:val="000000"/>
          <w:szCs w:val="24"/>
        </w:rPr>
      </w:pPr>
      <w:bookmarkStart w:id="0" w:name="_Hlk133237084"/>
    </w:p>
    <w:p w14:paraId="27970F3A" w14:textId="77777777" w:rsidR="00375035" w:rsidRPr="00887DD7" w:rsidRDefault="00375035" w:rsidP="00240FC5">
      <w:pPr>
        <w:spacing w:line="240" w:lineRule="auto"/>
        <w:rPr>
          <w:color w:val="000000"/>
          <w:szCs w:val="24"/>
        </w:rPr>
      </w:pPr>
    </w:p>
    <w:p w14:paraId="750BD177" w14:textId="77777777" w:rsidR="00240FC5" w:rsidRPr="00887DD7" w:rsidRDefault="00240FC5" w:rsidP="00240FC5">
      <w:pPr>
        <w:spacing w:line="240" w:lineRule="auto"/>
        <w:rPr>
          <w:color w:val="000000"/>
          <w:szCs w:val="24"/>
        </w:rPr>
      </w:pPr>
      <w:r w:rsidRPr="00887DD7">
        <w:rPr>
          <w:color w:val="000000"/>
          <w:szCs w:val="24"/>
        </w:rPr>
        <w:t>Joint Application of Metropolitan Edison</w:t>
      </w:r>
      <w:r w:rsidRPr="00887DD7">
        <w:rPr>
          <w:color w:val="000000"/>
          <w:szCs w:val="24"/>
        </w:rPr>
        <w:tab/>
      </w:r>
      <w:r w:rsidRPr="00887DD7">
        <w:rPr>
          <w:color w:val="000000"/>
          <w:szCs w:val="24"/>
        </w:rPr>
        <w:tab/>
        <w:t xml:space="preserve">: </w:t>
      </w:r>
      <w:r>
        <w:rPr>
          <w:color w:val="000000"/>
          <w:szCs w:val="24"/>
        </w:rPr>
        <w:tab/>
      </w:r>
      <w:r w:rsidRPr="00887DD7">
        <w:rPr>
          <w:color w:val="000000"/>
          <w:szCs w:val="24"/>
        </w:rPr>
        <w:t>A-2023-3038771, A-2023-3038792,</w:t>
      </w:r>
    </w:p>
    <w:p w14:paraId="616FAA14" w14:textId="77777777" w:rsidR="00240FC5" w:rsidRPr="00887DD7" w:rsidRDefault="00240FC5" w:rsidP="00240FC5">
      <w:pPr>
        <w:spacing w:line="240" w:lineRule="auto"/>
        <w:rPr>
          <w:color w:val="000000"/>
          <w:szCs w:val="24"/>
        </w:rPr>
      </w:pPr>
      <w:r w:rsidRPr="00887DD7">
        <w:rPr>
          <w:color w:val="000000"/>
          <w:szCs w:val="24"/>
        </w:rPr>
        <w:t xml:space="preserve">Company, Pennsylvania Electric Company, </w:t>
      </w:r>
      <w:r w:rsidRPr="00887DD7">
        <w:rPr>
          <w:color w:val="000000"/>
          <w:szCs w:val="24"/>
        </w:rPr>
        <w:tab/>
      </w:r>
      <w:r w:rsidRPr="00887DD7">
        <w:rPr>
          <w:color w:val="000000"/>
          <w:szCs w:val="24"/>
        </w:rPr>
        <w:tab/>
        <w:t>:</w:t>
      </w:r>
      <w:r>
        <w:rPr>
          <w:color w:val="000000"/>
          <w:szCs w:val="24"/>
        </w:rPr>
        <w:tab/>
      </w:r>
      <w:r w:rsidRPr="00887DD7">
        <w:rPr>
          <w:color w:val="000000"/>
          <w:szCs w:val="24"/>
        </w:rPr>
        <w:t>A-2023-3038793, A-2023-3038794,</w:t>
      </w:r>
    </w:p>
    <w:p w14:paraId="13DCB82E" w14:textId="77777777" w:rsidR="00240FC5" w:rsidRPr="00887DD7" w:rsidRDefault="00240FC5" w:rsidP="00240FC5">
      <w:pPr>
        <w:spacing w:line="240" w:lineRule="auto"/>
        <w:rPr>
          <w:color w:val="000000"/>
          <w:szCs w:val="24"/>
        </w:rPr>
      </w:pPr>
      <w:r w:rsidRPr="00887DD7">
        <w:rPr>
          <w:color w:val="000000"/>
          <w:szCs w:val="24"/>
        </w:rPr>
        <w:t xml:space="preserve">Pennsylvania Power Company, West Penn </w:t>
      </w:r>
      <w:r w:rsidRPr="00887DD7">
        <w:rPr>
          <w:color w:val="000000"/>
          <w:szCs w:val="24"/>
        </w:rPr>
        <w:tab/>
      </w:r>
      <w:r w:rsidRPr="00887DD7">
        <w:rPr>
          <w:color w:val="000000"/>
          <w:szCs w:val="24"/>
        </w:rPr>
        <w:tab/>
        <w:t>:</w:t>
      </w:r>
      <w:r w:rsidRPr="00887DD7">
        <w:rPr>
          <w:color w:val="000000"/>
          <w:szCs w:val="24"/>
        </w:rPr>
        <w:tab/>
        <w:t>A-2023-3038795, A-2023-3038807,</w:t>
      </w:r>
    </w:p>
    <w:p w14:paraId="15927A4E" w14:textId="77777777" w:rsidR="00240FC5" w:rsidRPr="00887DD7" w:rsidRDefault="00240FC5" w:rsidP="00240FC5">
      <w:pPr>
        <w:spacing w:line="240" w:lineRule="auto"/>
        <w:rPr>
          <w:szCs w:val="24"/>
        </w:rPr>
      </w:pPr>
      <w:r w:rsidRPr="00887DD7">
        <w:rPr>
          <w:color w:val="000000"/>
          <w:szCs w:val="24"/>
        </w:rPr>
        <w:t xml:space="preserve">Power Company, Keystone Appalachian </w:t>
      </w:r>
      <w:r w:rsidRPr="00887DD7">
        <w:rPr>
          <w:color w:val="000000"/>
          <w:szCs w:val="24"/>
        </w:rPr>
        <w:tab/>
      </w:r>
      <w:r w:rsidRPr="00887DD7">
        <w:rPr>
          <w:color w:val="000000"/>
          <w:szCs w:val="24"/>
        </w:rPr>
        <w:tab/>
        <w:t>:</w:t>
      </w:r>
      <w:r w:rsidRPr="00887DD7">
        <w:rPr>
          <w:color w:val="000000"/>
          <w:szCs w:val="24"/>
        </w:rPr>
        <w:tab/>
        <w:t>A-2023-3038808, G-2023-3038818,</w:t>
      </w:r>
    </w:p>
    <w:p w14:paraId="2F6AC1A7" w14:textId="77777777" w:rsidR="00240FC5" w:rsidRPr="00887DD7" w:rsidRDefault="00240FC5" w:rsidP="00240FC5">
      <w:pPr>
        <w:spacing w:line="240" w:lineRule="auto"/>
        <w:rPr>
          <w:szCs w:val="24"/>
        </w:rPr>
      </w:pPr>
      <w:r w:rsidRPr="00887DD7">
        <w:rPr>
          <w:color w:val="000000"/>
          <w:szCs w:val="24"/>
        </w:rPr>
        <w:t xml:space="preserve">Transmission Company, Mid-Atlantic </w:t>
      </w:r>
      <w:r w:rsidRPr="00887DD7">
        <w:rPr>
          <w:color w:val="000000"/>
          <w:szCs w:val="24"/>
        </w:rPr>
        <w:tab/>
      </w:r>
      <w:r w:rsidRPr="00887DD7">
        <w:rPr>
          <w:color w:val="000000"/>
          <w:szCs w:val="24"/>
        </w:rPr>
        <w:tab/>
        <w:t>:</w:t>
      </w:r>
      <w:r w:rsidRPr="00887DD7">
        <w:rPr>
          <w:color w:val="000000"/>
          <w:szCs w:val="24"/>
        </w:rPr>
        <w:tab/>
      </w:r>
      <w:bookmarkStart w:id="1" w:name="_Hlk129095809"/>
      <w:r w:rsidRPr="00887DD7">
        <w:rPr>
          <w:color w:val="000000"/>
          <w:szCs w:val="24"/>
        </w:rPr>
        <w:t>G-2023-3038819, G-2023-3038820,</w:t>
      </w:r>
    </w:p>
    <w:p w14:paraId="2D93E9CD" w14:textId="77777777" w:rsidR="00240FC5" w:rsidRPr="00887DD7" w:rsidRDefault="00240FC5" w:rsidP="00240FC5">
      <w:pPr>
        <w:spacing w:line="240" w:lineRule="auto"/>
        <w:ind w:right="-990"/>
        <w:rPr>
          <w:szCs w:val="24"/>
        </w:rPr>
      </w:pPr>
      <w:r w:rsidRPr="00887DD7">
        <w:rPr>
          <w:color w:val="000000"/>
          <w:szCs w:val="24"/>
        </w:rPr>
        <w:t>Interstate Transmission, LLC, and FirstEnergy</w:t>
      </w:r>
      <w:r w:rsidRPr="00887DD7">
        <w:rPr>
          <w:color w:val="000000"/>
          <w:szCs w:val="24"/>
        </w:rPr>
        <w:tab/>
        <w:t>:</w:t>
      </w:r>
      <w:r w:rsidRPr="00887DD7">
        <w:rPr>
          <w:color w:val="000000"/>
          <w:szCs w:val="24"/>
        </w:rPr>
        <w:tab/>
        <w:t>G-2023-3038821, G-00020956</w:t>
      </w:r>
    </w:p>
    <w:p w14:paraId="1E7D37EA" w14:textId="77777777" w:rsidR="00240FC5" w:rsidRPr="00887DD7" w:rsidRDefault="00240FC5" w:rsidP="00240FC5">
      <w:pPr>
        <w:spacing w:line="240" w:lineRule="auto"/>
        <w:ind w:right="-990"/>
        <w:rPr>
          <w:szCs w:val="24"/>
        </w:rPr>
      </w:pPr>
      <w:r w:rsidRPr="00887DD7">
        <w:rPr>
          <w:szCs w:val="24"/>
        </w:rPr>
        <w:t>Pennsylvania Electric Company for All of the</w:t>
      </w:r>
      <w:r w:rsidRPr="00887DD7">
        <w:rPr>
          <w:szCs w:val="24"/>
        </w:rPr>
        <w:tab/>
        <w:t>:</w:t>
      </w:r>
      <w:r w:rsidRPr="00887DD7">
        <w:rPr>
          <w:szCs w:val="24"/>
        </w:rPr>
        <w:tab/>
      </w:r>
    </w:p>
    <w:p w14:paraId="44D6C8B3" w14:textId="77777777" w:rsidR="00240FC5" w:rsidRPr="00887DD7" w:rsidRDefault="00240FC5" w:rsidP="00240FC5">
      <w:pPr>
        <w:spacing w:line="240" w:lineRule="auto"/>
        <w:ind w:right="-990"/>
        <w:rPr>
          <w:szCs w:val="24"/>
        </w:rPr>
      </w:pPr>
      <w:r w:rsidRPr="00887DD7">
        <w:rPr>
          <w:szCs w:val="24"/>
        </w:rPr>
        <w:t>Necessary Approvals and Certificates of Public</w:t>
      </w:r>
      <w:r w:rsidRPr="00887DD7">
        <w:rPr>
          <w:szCs w:val="24"/>
        </w:rPr>
        <w:tab/>
        <w:t>:</w:t>
      </w:r>
      <w:r w:rsidRPr="00887DD7">
        <w:rPr>
          <w:szCs w:val="24"/>
        </w:rPr>
        <w:tab/>
      </w:r>
      <w:bookmarkEnd w:id="1"/>
    </w:p>
    <w:p w14:paraId="7EDE59CF" w14:textId="77777777" w:rsidR="00240FC5" w:rsidRPr="00887DD7" w:rsidRDefault="00240FC5" w:rsidP="00240FC5">
      <w:pPr>
        <w:spacing w:line="240" w:lineRule="auto"/>
        <w:ind w:right="-990"/>
        <w:rPr>
          <w:szCs w:val="24"/>
        </w:rPr>
      </w:pPr>
      <w:r w:rsidRPr="00887DD7">
        <w:rPr>
          <w:szCs w:val="24"/>
        </w:rPr>
        <w:t>Convenience</w:t>
      </w:r>
      <w:r w:rsidRPr="00887DD7">
        <w:rPr>
          <w:szCs w:val="24"/>
        </w:rPr>
        <w:tab/>
      </w:r>
      <w:r w:rsidRPr="00887DD7">
        <w:rPr>
          <w:szCs w:val="24"/>
        </w:rPr>
        <w:tab/>
      </w:r>
      <w:r w:rsidRPr="00887DD7">
        <w:rPr>
          <w:szCs w:val="24"/>
        </w:rPr>
        <w:tab/>
      </w:r>
      <w:r w:rsidRPr="00887DD7">
        <w:rPr>
          <w:szCs w:val="24"/>
        </w:rPr>
        <w:tab/>
      </w:r>
      <w:r w:rsidRPr="00887DD7">
        <w:rPr>
          <w:szCs w:val="24"/>
        </w:rPr>
        <w:tab/>
      </w:r>
      <w:r w:rsidRPr="00887DD7">
        <w:rPr>
          <w:szCs w:val="24"/>
        </w:rPr>
        <w:tab/>
        <w:t>:</w:t>
      </w:r>
      <w:r w:rsidRPr="00887DD7">
        <w:rPr>
          <w:szCs w:val="24"/>
        </w:rPr>
        <w:tab/>
      </w:r>
    </w:p>
    <w:p w14:paraId="12348F3B" w14:textId="77777777" w:rsidR="002609B0" w:rsidRPr="00B176DD" w:rsidRDefault="002609B0" w:rsidP="002609B0">
      <w:pPr>
        <w:spacing w:line="240" w:lineRule="auto"/>
        <w:jc w:val="both"/>
        <w:rPr>
          <w:szCs w:val="24"/>
        </w:rPr>
      </w:pPr>
    </w:p>
    <w:p w14:paraId="71E27C72" w14:textId="77777777" w:rsidR="002609B0" w:rsidRDefault="002609B0" w:rsidP="002609B0">
      <w:pPr>
        <w:spacing w:line="240" w:lineRule="auto"/>
        <w:jc w:val="center"/>
        <w:rPr>
          <w:b/>
          <w:szCs w:val="24"/>
          <w:u w:val="single"/>
        </w:rPr>
      </w:pPr>
    </w:p>
    <w:p w14:paraId="6CBA5887" w14:textId="77777777" w:rsidR="00375035" w:rsidRDefault="00375035" w:rsidP="002609B0">
      <w:pPr>
        <w:spacing w:line="240" w:lineRule="auto"/>
        <w:jc w:val="center"/>
        <w:rPr>
          <w:b/>
          <w:szCs w:val="24"/>
          <w:u w:val="single"/>
        </w:rPr>
      </w:pPr>
    </w:p>
    <w:p w14:paraId="165C378C" w14:textId="049651CC" w:rsidR="002D36EB" w:rsidRDefault="002609B0" w:rsidP="002D36EB">
      <w:pPr>
        <w:spacing w:line="240" w:lineRule="auto"/>
        <w:jc w:val="center"/>
        <w:rPr>
          <w:b/>
          <w:szCs w:val="24"/>
          <w:u w:val="single"/>
        </w:rPr>
      </w:pPr>
      <w:r w:rsidRPr="00C055EF">
        <w:rPr>
          <w:b/>
          <w:szCs w:val="24"/>
          <w:u w:val="single"/>
        </w:rPr>
        <w:t>PREHEARING ORDER</w:t>
      </w:r>
      <w:bookmarkEnd w:id="0"/>
    </w:p>
    <w:p w14:paraId="6ACBA7E9" w14:textId="77777777" w:rsidR="002D36EB" w:rsidRPr="00C055EF" w:rsidRDefault="002D36EB" w:rsidP="002D36EB">
      <w:pPr>
        <w:jc w:val="center"/>
        <w:rPr>
          <w:szCs w:val="24"/>
        </w:rPr>
      </w:pPr>
    </w:p>
    <w:p w14:paraId="01F7B4D6" w14:textId="4046B7E4" w:rsidR="005610FF" w:rsidRDefault="002D36EB" w:rsidP="002D36EB">
      <w:r w:rsidRPr="00194198">
        <w:tab/>
      </w:r>
      <w:r>
        <w:tab/>
        <w:t xml:space="preserve">On March </w:t>
      </w:r>
      <w:r w:rsidR="00382C03">
        <w:t>6</w:t>
      </w:r>
      <w:r>
        <w:t xml:space="preserve">, 2023, </w:t>
      </w:r>
      <w:r w:rsidR="00A570D0">
        <w:t>Metropolitan</w:t>
      </w:r>
      <w:r w:rsidR="003E28B2">
        <w:t xml:space="preserve"> Edison Company</w:t>
      </w:r>
      <w:r w:rsidR="00C134F0">
        <w:t xml:space="preserve"> (Met-Ed)</w:t>
      </w:r>
      <w:r w:rsidR="003E28B2">
        <w:t xml:space="preserve">, Pennsylvania </w:t>
      </w:r>
      <w:r w:rsidR="00A570D0">
        <w:t>Electric</w:t>
      </w:r>
      <w:r w:rsidR="003E28B2">
        <w:t xml:space="preserve"> Company</w:t>
      </w:r>
      <w:r w:rsidR="00C134F0">
        <w:t xml:space="preserve"> (Penelec)</w:t>
      </w:r>
      <w:r w:rsidR="003E28B2">
        <w:t xml:space="preserve">, </w:t>
      </w:r>
      <w:r w:rsidR="008763B6">
        <w:t xml:space="preserve">Pennsylvania </w:t>
      </w:r>
      <w:r w:rsidR="00DE71B3">
        <w:t>Power</w:t>
      </w:r>
      <w:r w:rsidR="008763B6">
        <w:t xml:space="preserve"> Company</w:t>
      </w:r>
      <w:r w:rsidR="00C134F0">
        <w:t xml:space="preserve"> (Penn Power)</w:t>
      </w:r>
      <w:r w:rsidR="008763B6">
        <w:t xml:space="preserve">, </w:t>
      </w:r>
      <w:r w:rsidR="00DE71B3">
        <w:t>West Penn Power Company</w:t>
      </w:r>
      <w:r w:rsidR="003525CE">
        <w:t xml:space="preserve"> (West Penn or WPP)</w:t>
      </w:r>
      <w:r w:rsidR="00DE71B3">
        <w:t xml:space="preserve">, </w:t>
      </w:r>
      <w:r w:rsidR="008763B6">
        <w:t>Ke</w:t>
      </w:r>
      <w:r w:rsidR="00A570D0">
        <w:t>y</w:t>
      </w:r>
      <w:r w:rsidR="008763B6">
        <w:t xml:space="preserve">stone </w:t>
      </w:r>
      <w:r w:rsidR="00A570D0">
        <w:t xml:space="preserve">Appalachian </w:t>
      </w:r>
      <w:r w:rsidR="008763B6">
        <w:t>Transmission Company</w:t>
      </w:r>
      <w:r w:rsidR="003525CE">
        <w:t xml:space="preserve"> (KATCo)</w:t>
      </w:r>
      <w:r w:rsidR="008763B6">
        <w:t>, Mid-Atlantic Interstate Transmission</w:t>
      </w:r>
      <w:r w:rsidR="008F2A9D">
        <w:t>, LLC</w:t>
      </w:r>
      <w:r w:rsidR="00E65568">
        <w:t xml:space="preserve"> (MAIT)</w:t>
      </w:r>
      <w:r w:rsidR="008F2A9D">
        <w:t>, and FirstEnergy Pennsylvania Electric Company</w:t>
      </w:r>
      <w:r w:rsidR="00E65568">
        <w:t xml:space="preserve"> (FE</w:t>
      </w:r>
      <w:r w:rsidR="002F29AC">
        <w:t xml:space="preserve"> PA) (collectively, Joint </w:t>
      </w:r>
      <w:r w:rsidR="00BB0207">
        <w:t>Applicants</w:t>
      </w:r>
      <w:r w:rsidR="002F29AC">
        <w:t>)</w:t>
      </w:r>
      <w:r w:rsidR="00BB0207">
        <w:t xml:space="preserve"> filed a Joint Application </w:t>
      </w:r>
      <w:r w:rsidR="0051759C">
        <w:t>seeking all the necessary authority, approvals, and certificates of public convenience</w:t>
      </w:r>
      <w:r w:rsidR="004B230F">
        <w:t xml:space="preserve"> for</w:t>
      </w:r>
      <w:r w:rsidR="00930D4F">
        <w:t xml:space="preserve"> </w:t>
      </w:r>
      <w:r w:rsidR="00B75613">
        <w:t xml:space="preserve">the </w:t>
      </w:r>
      <w:r w:rsidR="00930D4F">
        <w:t>merger</w:t>
      </w:r>
      <w:r w:rsidR="00172B6F">
        <w:t xml:space="preserve"> of Met-Ed, Penelec, PennPower, </w:t>
      </w:r>
      <w:r w:rsidR="00357D2A">
        <w:t>and WPP into FE PA.</w:t>
      </w:r>
      <w:r w:rsidR="005610FF">
        <w:t xml:space="preserve">  </w:t>
      </w:r>
      <w:r w:rsidR="006D3300">
        <w:t xml:space="preserve">Specifically, the Joint Applicants request that the Commission grant </w:t>
      </w:r>
      <w:r w:rsidR="00E50333">
        <w:t>c</w:t>
      </w:r>
      <w:r w:rsidR="006D3300">
        <w:t xml:space="preserve">ertificates of </w:t>
      </w:r>
      <w:r w:rsidR="00E50333">
        <w:t>p</w:t>
      </w:r>
      <w:r w:rsidR="006D3300">
        <w:t xml:space="preserve">ublic </w:t>
      </w:r>
      <w:r w:rsidR="00E50333">
        <w:t>c</w:t>
      </w:r>
      <w:r w:rsidR="006D3300">
        <w:t>onvenience pursuant to Section 1102(a)(3) of the Public Utility Code</w:t>
      </w:r>
      <w:r w:rsidR="00E50333">
        <w:t xml:space="preserve"> (Code)</w:t>
      </w:r>
      <w:r w:rsidR="006D3300">
        <w:t xml:space="preserve"> necessary to authorize the proposed merger transaction. </w:t>
      </w:r>
      <w:r w:rsidR="00E50333">
        <w:t xml:space="preserve"> </w:t>
      </w:r>
      <w:r w:rsidR="006D3300">
        <w:t xml:space="preserve">Applicants also seek all other approvals necessary under the Public Utility Code to carry out the proposed transaction in a lawful manner. </w:t>
      </w:r>
      <w:r w:rsidR="008F3F90">
        <w:t xml:space="preserve"> Joint </w:t>
      </w:r>
      <w:r w:rsidR="00835B92">
        <w:t>Applicants filed their direct testimony along with the Application.</w:t>
      </w:r>
    </w:p>
    <w:p w14:paraId="56842031" w14:textId="77777777" w:rsidR="005610FF" w:rsidRDefault="005610FF" w:rsidP="002D36EB"/>
    <w:p w14:paraId="4EE96DA2" w14:textId="0B567028" w:rsidR="00125387" w:rsidRDefault="00B03E56" w:rsidP="002D36EB">
      <w:r>
        <w:tab/>
      </w:r>
      <w:r>
        <w:tab/>
      </w:r>
      <w:r w:rsidR="006D3300">
        <w:t xml:space="preserve">As noted in the Application, Met-Ed, Penelec, West Penn, KATCo, Ohio Edison, and First Energy Pennsylvania Holding Company (FE Pa HoldCo) are direct subsidiaries of FirstEnergy. </w:t>
      </w:r>
      <w:r w:rsidR="006A2780">
        <w:t xml:space="preserve"> </w:t>
      </w:r>
      <w:r w:rsidR="006D3300">
        <w:t>Penn Power, and FE PA are indirect subsidiaries of FirstEnergy.</w:t>
      </w:r>
      <w:r w:rsidR="00125387">
        <w:rPr>
          <w:rStyle w:val="FootnoteReference"/>
        </w:rPr>
        <w:footnoteReference w:id="1"/>
      </w:r>
      <w:r w:rsidR="006D3300">
        <w:t xml:space="preserve"> </w:t>
      </w:r>
      <w:r w:rsidR="006A2780">
        <w:t xml:space="preserve"> </w:t>
      </w:r>
      <w:r w:rsidR="006D3300">
        <w:t xml:space="preserve">FirstEnergy is an electric distribution company under the provisions of Section 2803 of the Code, 66 Pa. C.S. </w:t>
      </w:r>
      <w:r w:rsidR="006D3300">
        <w:lastRenderedPageBreak/>
        <w:t xml:space="preserve">§2803, and many of the administrative functions are under common management and control. </w:t>
      </w:r>
      <w:r w:rsidR="006A2780">
        <w:t xml:space="preserve"> </w:t>
      </w:r>
      <w:r w:rsidR="006D3300">
        <w:t>Further, Joint Applicants seek to consolidate the existing Pennsylvania retail electric service tariffs into one combined retail electric service tariff and seek to consolidate the electric generation supplier coordination tariffs into one combined electric generation supplier coordination tariff.</w:t>
      </w:r>
      <w:r w:rsidR="00125387">
        <w:rPr>
          <w:rStyle w:val="FootnoteReference"/>
        </w:rPr>
        <w:footnoteReference w:id="2"/>
      </w:r>
      <w:r w:rsidR="006D3300">
        <w:t xml:space="preserve"> </w:t>
      </w:r>
    </w:p>
    <w:p w14:paraId="1B56C81E" w14:textId="77777777" w:rsidR="00125387" w:rsidRDefault="00125387" w:rsidP="002D36EB"/>
    <w:p w14:paraId="3E1E285D" w14:textId="77777777" w:rsidR="00A41236" w:rsidRDefault="00125387" w:rsidP="002D36EB">
      <w:r>
        <w:tab/>
      </w:r>
      <w:r>
        <w:tab/>
      </w:r>
      <w:r w:rsidR="006D3300">
        <w:t>Pursuant to the merger agreement filed with the Application, Joint Applicants propose that all the electric distribution assets owned by Met-Ed, Penelec, Penn Power, and West Penn will be owned by FE PA, and Met-Ed, Penelec, Penn Power, and West Penn will be dissolved.</w:t>
      </w:r>
      <w:r>
        <w:rPr>
          <w:rStyle w:val="FootnoteReference"/>
        </w:rPr>
        <w:footnoteReference w:id="3"/>
      </w:r>
      <w:r w:rsidR="006D3300">
        <w:t xml:space="preserve"> </w:t>
      </w:r>
      <w:r>
        <w:t xml:space="preserve"> </w:t>
      </w:r>
      <w:r w:rsidR="006D3300">
        <w:t>As the surviving company, FE PA seeks: (1) all the service rights and certificates of public convenience of Met-Ed, Penelec, Penn Power, and West Penn; (2) ownership interests in the post</w:t>
      </w:r>
      <w:r>
        <w:t>-</w:t>
      </w:r>
      <w:r w:rsidR="006D3300">
        <w:t>transaction facilities of Met-Ed, Penelec, Penn Power, and West Penn; and (3) six rate districts: ME Rate District, PN Rate District, PP Rate District, WP Rate District, PSU Rate District, and the Waverly Rate District, each of which will correspond to Met-Ed, Penelec, Penn Power, West Penn, and West Penn’s service provided to the Pennsylvania State University, respectively.</w:t>
      </w:r>
      <w:r w:rsidR="00C607F4">
        <w:rPr>
          <w:rStyle w:val="FootnoteReference"/>
        </w:rPr>
        <w:footnoteReference w:id="4"/>
      </w:r>
      <w:r w:rsidR="006D3300">
        <w:t xml:space="preserve"> </w:t>
      </w:r>
      <w:r w:rsidR="00A41236">
        <w:t xml:space="preserve"> </w:t>
      </w:r>
    </w:p>
    <w:p w14:paraId="4B957F35" w14:textId="77777777" w:rsidR="00A41236" w:rsidRDefault="00A41236" w:rsidP="002D36EB"/>
    <w:p w14:paraId="0C82C6AE" w14:textId="77EF9B69" w:rsidR="00C9691D" w:rsidRDefault="00A41236" w:rsidP="002D36EB">
      <w:r>
        <w:tab/>
      </w:r>
      <w:r>
        <w:tab/>
      </w:r>
      <w:r w:rsidR="006D3300">
        <w:t xml:space="preserve">The Joint Applicants argue that upon closing of the merger, the operations and management of Met-Ed, Penelec, Penn Power, and West Penn will improve the overall management and administrative efficiency of the merged utilities over time, consistent with FirstEnergy’s ongoing efforts to streamline, simplify, and modernize its management structure and operations. </w:t>
      </w:r>
      <w:r>
        <w:t xml:space="preserve"> </w:t>
      </w:r>
      <w:r w:rsidR="006D3300">
        <w:t>The Joint Applicants also argue that additional operational efficiencies are expected to be realized through the merger by elimination, over time, of inefficiencies related to separate administration and operations required while the individual companies remained separate corporate entities.</w:t>
      </w:r>
      <w:r w:rsidR="00C9691D">
        <w:rPr>
          <w:rStyle w:val="FootnoteReference"/>
        </w:rPr>
        <w:footnoteReference w:id="5"/>
      </w:r>
      <w:r w:rsidR="006D3300">
        <w:t xml:space="preserve"> </w:t>
      </w:r>
    </w:p>
    <w:p w14:paraId="54B89BDF" w14:textId="77777777" w:rsidR="00C9691D" w:rsidRDefault="00C9691D" w:rsidP="002D36EB"/>
    <w:p w14:paraId="13835F7B" w14:textId="2605344C" w:rsidR="00A3009E" w:rsidRDefault="00C9691D" w:rsidP="002D36EB">
      <w:r>
        <w:lastRenderedPageBreak/>
        <w:tab/>
      </w:r>
      <w:r>
        <w:tab/>
      </w:r>
      <w:r w:rsidR="006D3300">
        <w:t>The Joint Applicants propose the consolidation of Met-Ed, Penelec, Penn Power, and West Penn with and into FE PA, the sale of Class B membership interests in MAIT held by Met-Ed and Penelec to FirstEnergy Corp., and the contribution of West Penn’s Transmission Assets to KATCo.</w:t>
      </w:r>
      <w:r w:rsidR="00F91522">
        <w:rPr>
          <w:rStyle w:val="FootnoteReference"/>
        </w:rPr>
        <w:footnoteReference w:id="6"/>
      </w:r>
      <w:r w:rsidR="006D3300">
        <w:t xml:space="preserve"> </w:t>
      </w:r>
      <w:r w:rsidR="00F91522">
        <w:t xml:space="preserve"> </w:t>
      </w:r>
      <w:r w:rsidR="006D3300">
        <w:t>In order to accomplish this, the Joint Applicants propose an eight step plan: (1) FirstEnergy will form a company called FE PA HoldCo; (2) FE PA HoldCo will form FE PA; (3) FirstEnergy will form Pennsylvania Electric Company LLC, Metropolitan Edison Company LLC, and West Penn Power Company LLC and each of those LLC’s issue 100% of their equity to FirstEnergy, the LLCs will then be merged into their respectively named company with the LLC surviving the merger; (4) Pennsylvania Electric Company LLC and Metropolitan Edison Company LLC will sell their respective Class B membership interests in MAIT to FirstEnergy; (5) West Penn Power Company LLC will exchange its Transmission Assets for shares of KATCo stock, and then sell the stock to FirstEnergy; (6) FirstEnergy and FE PA HoldCo will contribute all of its equity in Pennsylvania Electric Company LLC and Metropolitan Edison Company LLC to FE PA which will merge Pennsylvania Electric Company LLC and Metropolitan Edison Company LLC into FE PA, with FE PA as the surviving corporation; (7) FirstEnergy and FE PA HoldCo will contribute all of its equity in West Penn Power Company LLC to FE PA which will merge West Penn Power Company LLC into FE PA, FE PA as the surviving corporation; and (8) Penn Power 4 will merge into FE PA, with FE PA as the surviving corporation.</w:t>
      </w:r>
      <w:r w:rsidR="00B150F1">
        <w:rPr>
          <w:rStyle w:val="FootnoteReference"/>
        </w:rPr>
        <w:footnoteReference w:id="7"/>
      </w:r>
      <w:r w:rsidR="006D3300">
        <w:t xml:space="preserve"> </w:t>
      </w:r>
      <w:r w:rsidR="00B150F1">
        <w:t xml:space="preserve"> </w:t>
      </w:r>
      <w:r w:rsidR="006D3300">
        <w:t>FE PA seeks a certificate of public convenience to confer public utility status upon FE PA and authorize it to provide electric distribution service within the service territories of Met-Ed, Penelec, Penn Power and West Penn.</w:t>
      </w:r>
      <w:r w:rsidR="00B150F1">
        <w:rPr>
          <w:rStyle w:val="FootnoteReference"/>
        </w:rPr>
        <w:footnoteReference w:id="8"/>
      </w:r>
      <w:r w:rsidR="006D3300">
        <w:t xml:space="preserve"> </w:t>
      </w:r>
      <w:r w:rsidR="00B150F1">
        <w:t xml:space="preserve"> </w:t>
      </w:r>
      <w:r w:rsidR="006D3300">
        <w:t>Joint Applicants request that the overall merger be approved by December 2023, so that the merger may close and become effective on January 1, 2024.</w:t>
      </w:r>
      <w:r w:rsidR="00C6027B">
        <w:rPr>
          <w:rStyle w:val="FootnoteReference"/>
        </w:rPr>
        <w:footnoteReference w:id="9"/>
      </w:r>
      <w:r w:rsidR="006D3300">
        <w:t xml:space="preserve"> </w:t>
      </w:r>
    </w:p>
    <w:p w14:paraId="48A7DA2C" w14:textId="77777777" w:rsidR="00A3009E" w:rsidRDefault="00A3009E" w:rsidP="002D36EB"/>
    <w:p w14:paraId="2EA71A8C" w14:textId="3D119BA8" w:rsidR="00651589" w:rsidRDefault="00A3009E" w:rsidP="002D36EB">
      <w:r>
        <w:tab/>
      </w:r>
      <w:r>
        <w:tab/>
      </w:r>
      <w:r w:rsidR="006D3300">
        <w:t xml:space="preserve">Joint Applicants maintain that the merging of Met-Ed, Penelec, Penn Power, and West Penn with and into FE PA is supported by the fact that: (1) FE PA is technically, </w:t>
      </w:r>
      <w:r w:rsidR="006D3300">
        <w:lastRenderedPageBreak/>
        <w:t xml:space="preserve">financially, and legally fit to operate as </w:t>
      </w:r>
      <w:r w:rsidR="00231007">
        <w:t xml:space="preserve">a </w:t>
      </w:r>
      <w:r w:rsidR="006D3300">
        <w:t>public utility in Pennsylvania, and (2) if permitted, FE PA will be the new electric distribution company for Met-Ed, Penelec, Penn Power, and West Penn abandoned customers.</w:t>
      </w:r>
      <w:r w:rsidR="00106B67">
        <w:rPr>
          <w:rStyle w:val="FootnoteReference"/>
        </w:rPr>
        <w:footnoteReference w:id="10"/>
      </w:r>
      <w:r w:rsidR="006D3300">
        <w:t xml:space="preserve"> </w:t>
      </w:r>
      <w:r w:rsidR="00D653D2">
        <w:t xml:space="preserve"> </w:t>
      </w:r>
      <w:r w:rsidR="006D3300">
        <w:t>Additionally, the electric procurement process and policies of Met-Ed, Penelec, Penn Power, and West Penn have already been made consistent under the common ownership of the FirstEnergy Company.</w:t>
      </w:r>
      <w:r w:rsidR="00D653D2">
        <w:rPr>
          <w:rStyle w:val="FootnoteReference"/>
        </w:rPr>
        <w:footnoteReference w:id="11"/>
      </w:r>
      <w:r w:rsidR="006D3300">
        <w:t xml:space="preserve"> </w:t>
      </w:r>
      <w:r w:rsidR="00D653D2">
        <w:t xml:space="preserve"> </w:t>
      </w:r>
    </w:p>
    <w:p w14:paraId="60076171" w14:textId="77777777" w:rsidR="00651589" w:rsidRDefault="00651589" w:rsidP="002D36EB"/>
    <w:p w14:paraId="71D520D1" w14:textId="39C84A6F" w:rsidR="00BB0207" w:rsidRDefault="00651589" w:rsidP="002D36EB">
      <w:r>
        <w:tab/>
      </w:r>
      <w:r>
        <w:tab/>
      </w:r>
      <w:r w:rsidR="006D3300">
        <w:t>Upon closing, FE PA will have six rate districts: ME Rate District, PN Rate District, PP Rate District, WP Rate District, PSU Rate District, and the Waverly Rate District, each of which will correspond to Met-Ed, Penelec, Penn Power, West Penn, and West Penn’s service provided to The Pennsylvania State University, respectively.</w:t>
      </w:r>
      <w:r w:rsidR="006A6480">
        <w:rPr>
          <w:rStyle w:val="FootnoteReference"/>
        </w:rPr>
        <w:footnoteReference w:id="12"/>
      </w:r>
      <w:r w:rsidR="006D3300">
        <w:t xml:space="preserve"> </w:t>
      </w:r>
      <w:r w:rsidR="00D766C7">
        <w:t xml:space="preserve"> </w:t>
      </w:r>
      <w:r w:rsidR="006D3300">
        <w:t>The rate districts created by the proposed merger will continue the current rate structure of Met-Ed, Penelec, Penn Power, and West Penn until a future base rate case filing.</w:t>
      </w:r>
      <w:r w:rsidR="00E239CC">
        <w:rPr>
          <w:rStyle w:val="FootnoteReference"/>
        </w:rPr>
        <w:footnoteReference w:id="13"/>
      </w:r>
      <w:r w:rsidR="006D3300">
        <w:t xml:space="preserve"> </w:t>
      </w:r>
      <w:r w:rsidR="002A76E1">
        <w:t xml:space="preserve"> </w:t>
      </w:r>
      <w:r w:rsidR="006D3300">
        <w:t>Joint Applicants state that the base rate filings of Met-Ed, Penelec, Penn Power, and West Penn will be consolidated into one base rate filing submitted by FE PA reflective of the consolidated Pennsylvania operations.</w:t>
      </w:r>
      <w:r w:rsidR="00FC5DAA">
        <w:rPr>
          <w:rStyle w:val="FootnoteReference"/>
        </w:rPr>
        <w:footnoteReference w:id="14"/>
      </w:r>
      <w:r w:rsidR="006D3300">
        <w:t xml:space="preserve"> </w:t>
      </w:r>
    </w:p>
    <w:p w14:paraId="6806BFBE" w14:textId="77777777" w:rsidR="00DB34D2" w:rsidRDefault="00DB34D2" w:rsidP="002D36EB"/>
    <w:p w14:paraId="4A8B0D52" w14:textId="2B62EAB4" w:rsidR="00DB34D2" w:rsidRDefault="00DB34D2" w:rsidP="002D36EB">
      <w:r>
        <w:tab/>
      </w:r>
      <w:r>
        <w:tab/>
        <w:t xml:space="preserve">On March </w:t>
      </w:r>
      <w:r w:rsidR="00F87E28">
        <w:t>18, 2023, the Commission published notice of the Application</w:t>
      </w:r>
      <w:r w:rsidR="003573FE">
        <w:t>,</w:t>
      </w:r>
      <w:r w:rsidR="00F87E28">
        <w:t xml:space="preserve"> </w:t>
      </w:r>
      <w:r w:rsidR="003573FE">
        <w:t xml:space="preserve">as well as a copy of the Prehearing Conference Notice </w:t>
      </w:r>
      <w:r w:rsidR="00F87E28">
        <w:t xml:space="preserve">in the </w:t>
      </w:r>
      <w:r w:rsidR="004D084D">
        <w:rPr>
          <w:i/>
          <w:iCs/>
        </w:rPr>
        <w:t>Pennsylvania Bulletin.</w:t>
      </w:r>
      <w:r w:rsidR="004D084D" w:rsidRPr="003573FE">
        <w:rPr>
          <w:rStyle w:val="FootnoteReference"/>
        </w:rPr>
        <w:footnoteReference w:id="15"/>
      </w:r>
      <w:r w:rsidR="00852FA0">
        <w:t xml:space="preserve">  </w:t>
      </w:r>
      <w:r w:rsidR="00463D63">
        <w:t xml:space="preserve">The Prehearing Conference Notice assigned the </w:t>
      </w:r>
      <w:r w:rsidR="00C8612A">
        <w:t>a</w:t>
      </w:r>
      <w:r w:rsidR="00463D63">
        <w:t xml:space="preserve">bove-captioned proceeding to </w:t>
      </w:r>
      <w:r w:rsidR="003061A2">
        <w:t>the undersigned</w:t>
      </w:r>
      <w:r w:rsidR="000B2754">
        <w:t xml:space="preserve"> </w:t>
      </w:r>
      <w:r w:rsidR="00C8612A">
        <w:t>Administrative</w:t>
      </w:r>
      <w:r w:rsidR="000B2754">
        <w:t xml:space="preserve"> Law Judge Conrad </w:t>
      </w:r>
      <w:r w:rsidR="00C8612A">
        <w:t>A. Johnson</w:t>
      </w:r>
      <w:r w:rsidR="003366A5">
        <w:t xml:space="preserve"> (ALJ Johnson)</w:t>
      </w:r>
      <w:r w:rsidR="00D64AB2">
        <w:t xml:space="preserve"> and Administrative Law Judge Emily I. DeVoe</w:t>
      </w:r>
      <w:r w:rsidR="00636E55">
        <w:t xml:space="preserve"> (ALJ De</w:t>
      </w:r>
      <w:r w:rsidR="00B01660">
        <w:t>V</w:t>
      </w:r>
      <w:r w:rsidR="00636E55">
        <w:t>oe)</w:t>
      </w:r>
      <w:r w:rsidR="00690A50">
        <w:t xml:space="preserve"> as the Presiding ALJs</w:t>
      </w:r>
      <w:r w:rsidR="00C8612A">
        <w:t>, scheduled the prehearing conference for</w:t>
      </w:r>
      <w:r w:rsidR="003366A5">
        <w:t xml:space="preserve"> 1:30 pm on April 25, 2023, and set a </w:t>
      </w:r>
      <w:r w:rsidR="00E820DE">
        <w:t xml:space="preserve">deadline of </w:t>
      </w:r>
      <w:r w:rsidR="007955A8">
        <w:t xml:space="preserve">April 17, 2023, for all protests and petitions to intervene.  </w:t>
      </w:r>
      <w:r w:rsidR="00C8612A">
        <w:t xml:space="preserve"> </w:t>
      </w:r>
    </w:p>
    <w:p w14:paraId="408ECB6D" w14:textId="77777777" w:rsidR="000F3096" w:rsidRDefault="000F3096" w:rsidP="002D36EB"/>
    <w:p w14:paraId="5BF2E1BE" w14:textId="1DCF23BA" w:rsidR="000F3096" w:rsidRDefault="000F3096" w:rsidP="002D36EB">
      <w:r>
        <w:tab/>
      </w:r>
      <w:r>
        <w:tab/>
      </w:r>
      <w:r w:rsidR="0084787B">
        <w:t xml:space="preserve">On March 16, 2023, </w:t>
      </w:r>
      <w:r w:rsidR="0013623A">
        <w:t xml:space="preserve">the Coalition for Affordable </w:t>
      </w:r>
      <w:r w:rsidR="00833B55">
        <w:t xml:space="preserve">Utility Services and Energy Efficiency in Pennsylvania (CAUSE-PA) filed a </w:t>
      </w:r>
      <w:r w:rsidR="00784914">
        <w:t xml:space="preserve">Petition to Intervene and Answer. </w:t>
      </w:r>
    </w:p>
    <w:p w14:paraId="5CB590D4" w14:textId="4A800493" w:rsidR="00035D43" w:rsidRDefault="00035D43" w:rsidP="002D36EB">
      <w:r>
        <w:lastRenderedPageBreak/>
        <w:tab/>
      </w:r>
      <w:r>
        <w:tab/>
        <w:t xml:space="preserve">On March 23, 2023, the Office of Small Business Advocate (OSBA) filed </w:t>
      </w:r>
      <w:r w:rsidR="006E2B1A">
        <w:t>a</w:t>
      </w:r>
      <w:r w:rsidR="009B4519">
        <w:t xml:space="preserve"> Notice of Appearance,</w:t>
      </w:r>
      <w:r w:rsidR="006E2B1A">
        <w:t xml:space="preserve"> Protest</w:t>
      </w:r>
      <w:r w:rsidR="009B4519">
        <w:t>,</w:t>
      </w:r>
      <w:r w:rsidR="006E2B1A">
        <w:t xml:space="preserve"> and Notice </w:t>
      </w:r>
      <w:r w:rsidR="009B4519">
        <w:t>of</w:t>
      </w:r>
      <w:r w:rsidR="006E2B1A">
        <w:t xml:space="preserve"> Intervention</w:t>
      </w:r>
      <w:r w:rsidR="009B4519">
        <w:t>.</w:t>
      </w:r>
    </w:p>
    <w:p w14:paraId="32229A31" w14:textId="77777777" w:rsidR="009B4AD1" w:rsidRDefault="009B4AD1" w:rsidP="002D36EB"/>
    <w:p w14:paraId="4C55B7E9" w14:textId="15D6EAB2" w:rsidR="00D161DE" w:rsidRDefault="00D161DE" w:rsidP="002D36EB">
      <w:r>
        <w:tab/>
      </w:r>
      <w:r>
        <w:tab/>
        <w:t xml:space="preserve">On March 29, 2023, the </w:t>
      </w:r>
      <w:r w:rsidR="009B6BA1">
        <w:t xml:space="preserve">Commission’s </w:t>
      </w:r>
      <w:r>
        <w:t>Bureau of Investigation and Enforcement (</w:t>
      </w:r>
      <w:r w:rsidR="00563DE9">
        <w:t xml:space="preserve">I&amp;E) filed a Notice of Appearance.  </w:t>
      </w:r>
    </w:p>
    <w:p w14:paraId="03DC64BF" w14:textId="77777777" w:rsidR="009B6BA1" w:rsidRDefault="009B6BA1" w:rsidP="002D36EB"/>
    <w:p w14:paraId="74C56342" w14:textId="416E6EE5" w:rsidR="009B6BA1" w:rsidRDefault="009B6BA1" w:rsidP="002D36EB">
      <w:r>
        <w:tab/>
      </w:r>
      <w:r>
        <w:tab/>
        <w:t>On April 4, 2023, the Office of Consumer Advocate</w:t>
      </w:r>
      <w:r w:rsidR="00DE1319">
        <w:t xml:space="preserve"> </w:t>
      </w:r>
      <w:r w:rsidR="002B1862">
        <w:t xml:space="preserve">(OCA) </w:t>
      </w:r>
      <w:r w:rsidR="00DE1319">
        <w:t xml:space="preserve">filed a Protest. </w:t>
      </w:r>
    </w:p>
    <w:p w14:paraId="242AFAE8" w14:textId="77777777" w:rsidR="00DE1319" w:rsidRDefault="00DE1319" w:rsidP="002D36EB"/>
    <w:p w14:paraId="312DFD70" w14:textId="7DCCC7E3" w:rsidR="00DE1319" w:rsidRDefault="00DE1319" w:rsidP="002D36EB">
      <w:r>
        <w:tab/>
      </w:r>
      <w:r>
        <w:tab/>
        <w:t xml:space="preserve">On April 5, 2023, </w:t>
      </w:r>
      <w:r w:rsidR="00030D62">
        <w:t xml:space="preserve">the </w:t>
      </w:r>
      <w:r w:rsidR="008F3795">
        <w:t xml:space="preserve">Industrial Energy </w:t>
      </w:r>
      <w:r w:rsidR="00CE66FE">
        <w:t>Consumers</w:t>
      </w:r>
      <w:r w:rsidR="008F3795">
        <w:t xml:space="preserve"> of Pennsylvania (IECPA</w:t>
      </w:r>
      <w:r w:rsidR="00CE66FE">
        <w:t xml:space="preserve">) filed a Petition to Intervene.  </w:t>
      </w:r>
    </w:p>
    <w:p w14:paraId="0A6C7FAF" w14:textId="77777777" w:rsidR="0020613C" w:rsidRDefault="0020613C" w:rsidP="002D36EB"/>
    <w:p w14:paraId="387856D5" w14:textId="77777777" w:rsidR="001C2524" w:rsidRDefault="0020613C" w:rsidP="002D36EB">
      <w:r>
        <w:tab/>
      </w:r>
      <w:r>
        <w:tab/>
        <w:t xml:space="preserve">On April 5, 2023, the Commission </w:t>
      </w:r>
      <w:r w:rsidR="000472CC">
        <w:t xml:space="preserve">again issued a copy of the </w:t>
      </w:r>
      <w:r w:rsidR="002A49F6">
        <w:t xml:space="preserve">Prehearing Conference Notice.  </w:t>
      </w:r>
    </w:p>
    <w:p w14:paraId="74F28B25" w14:textId="77777777" w:rsidR="001C2524" w:rsidRDefault="001C2524" w:rsidP="002D36EB"/>
    <w:p w14:paraId="4A8CE64C" w14:textId="19D6BA77" w:rsidR="0020613C" w:rsidRDefault="001C2524" w:rsidP="002D36EB">
      <w:r>
        <w:tab/>
      </w:r>
      <w:r>
        <w:tab/>
        <w:t xml:space="preserve">On April 13, 2023, ALJ Johnson and </w:t>
      </w:r>
      <w:r w:rsidR="005D26F2">
        <w:t>ALJ DeVoe</w:t>
      </w:r>
      <w:r>
        <w:t xml:space="preserve"> issued a Prehearing Conference Order</w:t>
      </w:r>
      <w:r w:rsidR="00354402">
        <w:t>.</w:t>
      </w:r>
    </w:p>
    <w:p w14:paraId="43D5E76A" w14:textId="77777777" w:rsidR="00354402" w:rsidRDefault="00354402" w:rsidP="002D36EB"/>
    <w:p w14:paraId="4029506B" w14:textId="07B686E6" w:rsidR="00354402" w:rsidRDefault="00354402" w:rsidP="002D36EB">
      <w:r>
        <w:tab/>
      </w:r>
      <w:r>
        <w:tab/>
      </w:r>
      <w:r w:rsidR="003D59B6">
        <w:t xml:space="preserve">On April </w:t>
      </w:r>
      <w:r w:rsidR="00E162D3">
        <w:t xml:space="preserve">14, 2023, </w:t>
      </w:r>
      <w:r w:rsidR="006120B8">
        <w:t>the Met-Ed Industrial</w:t>
      </w:r>
      <w:r w:rsidR="00C2185B">
        <w:t xml:space="preserve"> Users Group (MEIUG), the Penelec Industrial </w:t>
      </w:r>
      <w:r w:rsidR="00BA5289">
        <w:t>Customer Alliance (PICA), and the West Penn</w:t>
      </w:r>
      <w:r w:rsidR="00DF1FEC">
        <w:t xml:space="preserve"> Power Industrial Intervenors (WPPII)</w:t>
      </w:r>
      <w:r w:rsidR="00E3141F">
        <w:t xml:space="preserve"> (collectively, Industrial </w:t>
      </w:r>
      <w:r w:rsidR="00BB4E94">
        <w:t xml:space="preserve">Customer </w:t>
      </w:r>
      <w:r w:rsidR="00E3141F">
        <w:t>Groups)</w:t>
      </w:r>
      <w:r w:rsidR="00E767DF">
        <w:t xml:space="preserve"> </w:t>
      </w:r>
      <w:r w:rsidR="004033EA">
        <w:t xml:space="preserve">filed a Joint </w:t>
      </w:r>
      <w:r w:rsidR="0046682C">
        <w:t xml:space="preserve">Petition </w:t>
      </w:r>
      <w:r w:rsidR="005164CE">
        <w:t>to Intervene</w:t>
      </w:r>
      <w:r w:rsidR="00B85D9D">
        <w:t xml:space="preserve"> and Protest.  </w:t>
      </w:r>
    </w:p>
    <w:p w14:paraId="3DCBE41D" w14:textId="77777777" w:rsidR="008615DA" w:rsidRDefault="008615DA" w:rsidP="002D36EB"/>
    <w:p w14:paraId="71C8570F" w14:textId="3DA8FC22" w:rsidR="000829D1" w:rsidRDefault="008615DA" w:rsidP="000829D1">
      <w:r>
        <w:tab/>
      </w:r>
      <w:r>
        <w:tab/>
        <w:t>On April 17, 2023</w:t>
      </w:r>
      <w:r w:rsidR="009A5E20">
        <w:t xml:space="preserve">, </w:t>
      </w:r>
      <w:r w:rsidR="005C52FE">
        <w:t>Calpine Retail Holdings</w:t>
      </w:r>
      <w:r w:rsidR="003430B1">
        <w:t xml:space="preserve">, LLC (together with </w:t>
      </w:r>
      <w:r w:rsidR="00376638">
        <w:t>its operating subsidiaries, Calpine)</w:t>
      </w:r>
      <w:r w:rsidR="000829D1">
        <w:t>, the Retail Energy Supply Association (RESA)</w:t>
      </w:r>
      <w:r w:rsidR="00A26380">
        <w:t xml:space="preserve">, and the Pennsylvania State University (PSU) </w:t>
      </w:r>
      <w:r w:rsidR="00DB2256">
        <w:t xml:space="preserve">each </w:t>
      </w:r>
      <w:r w:rsidR="000829D1">
        <w:t>filed Petition</w:t>
      </w:r>
      <w:r w:rsidR="00DB2256">
        <w:t>s</w:t>
      </w:r>
      <w:r w:rsidR="000829D1">
        <w:t xml:space="preserve"> to Intervene.  </w:t>
      </w:r>
    </w:p>
    <w:p w14:paraId="1727BE23" w14:textId="77777777" w:rsidR="00A367E7" w:rsidRDefault="00A367E7" w:rsidP="002D36EB"/>
    <w:p w14:paraId="61360A86" w14:textId="2FA440C2" w:rsidR="00A367E7" w:rsidRDefault="00A367E7" w:rsidP="002D36EB">
      <w:r>
        <w:tab/>
      </w:r>
      <w:r>
        <w:tab/>
        <w:t xml:space="preserve">On April 17, 2023, Joint Applicants filed </w:t>
      </w:r>
      <w:r w:rsidR="005D0055">
        <w:t xml:space="preserve">proof of publication of the Application </w:t>
      </w:r>
      <w:r w:rsidR="001D5160">
        <w:t xml:space="preserve">and the </w:t>
      </w:r>
      <w:r w:rsidR="00A53AD1">
        <w:t xml:space="preserve">prehearing conference in the </w:t>
      </w:r>
      <w:r w:rsidR="00A53AD1" w:rsidRPr="003D1C81">
        <w:rPr>
          <w:i/>
          <w:iCs/>
        </w:rPr>
        <w:t>Bedford</w:t>
      </w:r>
      <w:r w:rsidR="003D1C81" w:rsidRPr="003D1C81">
        <w:rPr>
          <w:i/>
          <w:iCs/>
        </w:rPr>
        <w:t xml:space="preserve"> Gazette</w:t>
      </w:r>
      <w:r w:rsidR="003D1C81">
        <w:t xml:space="preserve"> on April 5, 2023.</w:t>
      </w:r>
      <w:r w:rsidR="004C56CE">
        <w:rPr>
          <w:rStyle w:val="FootnoteReference"/>
        </w:rPr>
        <w:footnoteReference w:id="16"/>
      </w:r>
      <w:r w:rsidR="003D1C81">
        <w:t xml:space="preserve"> </w:t>
      </w:r>
      <w:r w:rsidR="00176169">
        <w:t xml:space="preserve"> </w:t>
      </w:r>
    </w:p>
    <w:p w14:paraId="5D9703EA" w14:textId="77777777" w:rsidR="00253362" w:rsidRDefault="00253362" w:rsidP="002D36EB"/>
    <w:p w14:paraId="525282E0" w14:textId="29551332" w:rsidR="00253362" w:rsidRDefault="00253362" w:rsidP="002D36EB">
      <w:r>
        <w:lastRenderedPageBreak/>
        <w:tab/>
      </w:r>
      <w:r>
        <w:tab/>
      </w:r>
      <w:r w:rsidR="001A6FA8">
        <w:t xml:space="preserve">On April </w:t>
      </w:r>
      <w:r w:rsidR="00177AC5">
        <w:t>21</w:t>
      </w:r>
      <w:r w:rsidR="001A6FA8">
        <w:t>, 2023</w:t>
      </w:r>
      <w:r w:rsidR="0046081B">
        <w:t>,</w:t>
      </w:r>
      <w:r w:rsidR="000F3063">
        <w:t xml:space="preserve"> Joint Applicants, </w:t>
      </w:r>
      <w:r w:rsidR="0005645A">
        <w:t xml:space="preserve">OCA, </w:t>
      </w:r>
      <w:r w:rsidR="00162BAE">
        <w:t>I&amp;E,</w:t>
      </w:r>
      <w:r w:rsidR="002A2ED0" w:rsidRPr="002A2ED0">
        <w:t xml:space="preserve"> </w:t>
      </w:r>
      <w:r w:rsidR="002A2ED0">
        <w:t xml:space="preserve">OSBA, </w:t>
      </w:r>
      <w:r w:rsidR="00162BAE">
        <w:t xml:space="preserve">CAUSE-PA, </w:t>
      </w:r>
      <w:r w:rsidR="00C90F19">
        <w:t>Industrial C</w:t>
      </w:r>
      <w:r w:rsidR="006C7935">
        <w:t>ust</w:t>
      </w:r>
      <w:r w:rsidR="00E34DBD">
        <w:t xml:space="preserve">omer </w:t>
      </w:r>
      <w:r w:rsidR="006C7CF9">
        <w:t xml:space="preserve">Groups, </w:t>
      </w:r>
      <w:r w:rsidR="0046081B">
        <w:t xml:space="preserve">PSU, </w:t>
      </w:r>
      <w:r w:rsidR="000F3063">
        <w:t>Calpine, RESA</w:t>
      </w:r>
      <w:r w:rsidR="0005645A">
        <w:t xml:space="preserve">, </w:t>
      </w:r>
      <w:r w:rsidR="002A2ED0">
        <w:t xml:space="preserve">and </w:t>
      </w:r>
      <w:r w:rsidR="0005645A">
        <w:t>IECPA</w:t>
      </w:r>
      <w:r w:rsidR="002A2ED0">
        <w:t xml:space="preserve"> filed prehearing memoranda.  </w:t>
      </w:r>
    </w:p>
    <w:p w14:paraId="21E78822" w14:textId="77777777" w:rsidR="008A2ED4" w:rsidRDefault="008A2ED4" w:rsidP="002D36EB">
      <w:pPr>
        <w:ind w:firstLine="720"/>
        <w:rPr>
          <w:szCs w:val="24"/>
          <w:highlight w:val="yellow"/>
        </w:rPr>
      </w:pPr>
    </w:p>
    <w:p w14:paraId="79110613" w14:textId="02F10F30" w:rsidR="002D36EB" w:rsidRDefault="008A2ED4" w:rsidP="002D36EB">
      <w:pPr>
        <w:ind w:firstLine="720"/>
        <w:rPr>
          <w:szCs w:val="24"/>
        </w:rPr>
      </w:pPr>
      <w:r>
        <w:rPr>
          <w:szCs w:val="24"/>
        </w:rPr>
        <w:tab/>
      </w:r>
      <w:r w:rsidR="002D36EB" w:rsidRPr="008A2ED4">
        <w:rPr>
          <w:szCs w:val="24"/>
        </w:rPr>
        <w:t xml:space="preserve">A prehearing conference was held on April </w:t>
      </w:r>
      <w:r w:rsidR="00583DA6" w:rsidRPr="008A2ED4">
        <w:rPr>
          <w:szCs w:val="24"/>
        </w:rPr>
        <w:t>25</w:t>
      </w:r>
      <w:r w:rsidR="002D36EB" w:rsidRPr="008A2ED4">
        <w:rPr>
          <w:szCs w:val="24"/>
        </w:rPr>
        <w:t xml:space="preserve">, 2023, as scheduled.  </w:t>
      </w:r>
      <w:r w:rsidR="006D0D86">
        <w:t>Joint Applicants, OCA, I&amp;E,</w:t>
      </w:r>
      <w:r w:rsidR="006D0D86" w:rsidRPr="002A2ED0">
        <w:t xml:space="preserve"> </w:t>
      </w:r>
      <w:r w:rsidR="006D0D86">
        <w:t xml:space="preserve">OSBA, CAUSE-PA, Industrial Customer Groups, PSU, Calpine, RESA, and IECPA </w:t>
      </w:r>
      <w:r w:rsidR="002D36EB" w:rsidRPr="008A2ED4">
        <w:rPr>
          <w:szCs w:val="24"/>
        </w:rPr>
        <w:t xml:space="preserve">were </w:t>
      </w:r>
      <w:r w:rsidR="006F39A0">
        <w:rPr>
          <w:szCs w:val="24"/>
        </w:rPr>
        <w:t xml:space="preserve">present and </w:t>
      </w:r>
      <w:r w:rsidR="002D36EB" w:rsidRPr="008A2ED4">
        <w:rPr>
          <w:szCs w:val="24"/>
        </w:rPr>
        <w:t>represented by counsel.  The parties discussed a variety of matters detailed below.</w:t>
      </w:r>
    </w:p>
    <w:p w14:paraId="1D2308D5" w14:textId="77777777" w:rsidR="002D36EB" w:rsidRDefault="002D36EB" w:rsidP="002D36EB">
      <w:pPr>
        <w:ind w:firstLine="720"/>
        <w:rPr>
          <w:szCs w:val="24"/>
        </w:rPr>
      </w:pPr>
    </w:p>
    <w:p w14:paraId="641685A7" w14:textId="77777777" w:rsidR="002D36EB" w:rsidRPr="00C055EF" w:rsidRDefault="002D36EB" w:rsidP="002D36EB">
      <w:pPr>
        <w:jc w:val="center"/>
        <w:rPr>
          <w:szCs w:val="24"/>
        </w:rPr>
      </w:pPr>
      <w:r w:rsidRPr="00C055EF">
        <w:rPr>
          <w:b/>
          <w:szCs w:val="24"/>
          <w:u w:val="single"/>
        </w:rPr>
        <w:t>Litigation Schedule</w:t>
      </w:r>
    </w:p>
    <w:p w14:paraId="4F12534D" w14:textId="77777777" w:rsidR="002D36EB" w:rsidRPr="00C055EF" w:rsidRDefault="002D36EB" w:rsidP="002D36EB">
      <w:pPr>
        <w:rPr>
          <w:szCs w:val="24"/>
        </w:rPr>
      </w:pPr>
    </w:p>
    <w:p w14:paraId="0D127F93" w14:textId="196F0FD6" w:rsidR="002D36EB" w:rsidRPr="00C055EF" w:rsidRDefault="002D36EB" w:rsidP="002D36EB">
      <w:pPr>
        <w:rPr>
          <w:szCs w:val="24"/>
        </w:rPr>
      </w:pPr>
      <w:r w:rsidRPr="00C055EF">
        <w:rPr>
          <w:szCs w:val="24"/>
        </w:rPr>
        <w:tab/>
      </w:r>
      <w:r w:rsidRPr="00C055EF">
        <w:rPr>
          <w:szCs w:val="24"/>
        </w:rPr>
        <w:tab/>
      </w:r>
      <w:r>
        <w:rPr>
          <w:szCs w:val="24"/>
        </w:rPr>
        <w:t xml:space="preserve">The </w:t>
      </w:r>
      <w:r w:rsidRPr="00C055EF">
        <w:rPr>
          <w:szCs w:val="24"/>
        </w:rPr>
        <w:t>following litigation schedule</w:t>
      </w:r>
      <w:r w:rsidR="00452922">
        <w:rPr>
          <w:szCs w:val="24"/>
        </w:rPr>
        <w:t xml:space="preserve"> was </w:t>
      </w:r>
      <w:r>
        <w:rPr>
          <w:szCs w:val="24"/>
        </w:rPr>
        <w:t>adopted</w:t>
      </w:r>
      <w:r w:rsidRPr="00C055EF">
        <w:rPr>
          <w:szCs w:val="24"/>
        </w:rPr>
        <w:t>:</w:t>
      </w:r>
    </w:p>
    <w:p w14:paraId="19B4F2A3" w14:textId="77777777" w:rsidR="002D36EB" w:rsidRPr="00C055EF" w:rsidRDefault="002D36EB" w:rsidP="002D36EB">
      <w:pPr>
        <w:rPr>
          <w:szCs w:val="24"/>
        </w:rPr>
      </w:pPr>
    </w:p>
    <w:tbl>
      <w:tblPr>
        <w:tblW w:w="9390"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42"/>
        <w:gridCol w:w="6548"/>
      </w:tblGrid>
      <w:tr w:rsidR="002D36EB" w14:paraId="2213212A" w14:textId="77777777" w:rsidTr="00543F54">
        <w:trPr>
          <w:trHeight w:val="390"/>
        </w:trPr>
        <w:tc>
          <w:tcPr>
            <w:tcW w:w="2842" w:type="dxa"/>
            <w:tcBorders>
              <w:top w:val="thinThickSmallGap" w:sz="24" w:space="0" w:color="auto"/>
              <w:left w:val="thinThickSmallGap" w:sz="24" w:space="0" w:color="auto"/>
              <w:bottom w:val="single" w:sz="4" w:space="0" w:color="auto"/>
              <w:right w:val="single" w:sz="4" w:space="0" w:color="auto"/>
            </w:tcBorders>
            <w:hideMark/>
          </w:tcPr>
          <w:p w14:paraId="4DCD0E96" w14:textId="77777777" w:rsidR="002D36EB" w:rsidRPr="00A8557E" w:rsidRDefault="002D36EB" w:rsidP="00543F54">
            <w:pPr>
              <w:pStyle w:val="Heading2"/>
              <w:jc w:val="center"/>
              <w:rPr>
                <w:sz w:val="24"/>
                <w:szCs w:val="24"/>
                <w:u w:val="none"/>
              </w:rPr>
            </w:pPr>
            <w:r w:rsidRPr="00A8557E">
              <w:rPr>
                <w:sz w:val="24"/>
                <w:szCs w:val="24"/>
              </w:rPr>
              <w:t>Date</w:t>
            </w:r>
          </w:p>
        </w:tc>
        <w:tc>
          <w:tcPr>
            <w:tcW w:w="6548" w:type="dxa"/>
            <w:tcBorders>
              <w:top w:val="thinThickSmallGap" w:sz="24" w:space="0" w:color="auto"/>
              <w:left w:val="single" w:sz="4" w:space="0" w:color="auto"/>
              <w:bottom w:val="single" w:sz="4" w:space="0" w:color="auto"/>
              <w:right w:val="thickThinSmallGap" w:sz="24" w:space="0" w:color="auto"/>
            </w:tcBorders>
            <w:hideMark/>
          </w:tcPr>
          <w:p w14:paraId="4EB5733F" w14:textId="77777777" w:rsidR="002D36EB" w:rsidRPr="00A8557E" w:rsidRDefault="002D36EB" w:rsidP="00543F54">
            <w:pPr>
              <w:pStyle w:val="Heading2"/>
              <w:rPr>
                <w:sz w:val="24"/>
                <w:szCs w:val="24"/>
                <w:u w:val="none"/>
              </w:rPr>
            </w:pPr>
            <w:r w:rsidRPr="00A8557E">
              <w:rPr>
                <w:sz w:val="24"/>
                <w:szCs w:val="24"/>
              </w:rPr>
              <w:t>Event</w:t>
            </w:r>
          </w:p>
        </w:tc>
      </w:tr>
      <w:tr w:rsidR="002D36EB" w14:paraId="621C6E00" w14:textId="77777777" w:rsidTr="00543F54">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hideMark/>
          </w:tcPr>
          <w:p w14:paraId="52EC039A" w14:textId="3BE37F6A" w:rsidR="002D36EB" w:rsidRPr="00A8557E" w:rsidRDefault="005F4978" w:rsidP="00543F54">
            <w:pPr>
              <w:spacing w:line="240" w:lineRule="auto"/>
              <w:jc w:val="center"/>
              <w:rPr>
                <w:szCs w:val="24"/>
              </w:rPr>
            </w:pPr>
            <w:r>
              <w:rPr>
                <w:szCs w:val="24"/>
              </w:rPr>
              <w:t>June</w:t>
            </w:r>
            <w:r w:rsidR="002D36EB" w:rsidRPr="00A8557E">
              <w:rPr>
                <w:szCs w:val="24"/>
              </w:rPr>
              <w:t xml:space="preserve"> </w:t>
            </w:r>
            <w:r>
              <w:rPr>
                <w:szCs w:val="24"/>
              </w:rPr>
              <w:t>1</w:t>
            </w:r>
            <w:r w:rsidR="002D36EB">
              <w:rPr>
                <w:szCs w:val="24"/>
              </w:rPr>
              <w:t>5</w:t>
            </w:r>
            <w:r w:rsidR="002D36EB" w:rsidRPr="00A8557E">
              <w:rPr>
                <w:szCs w:val="24"/>
              </w:rPr>
              <w:t>, 202</w:t>
            </w:r>
            <w:r w:rsidR="002D36EB">
              <w:rPr>
                <w:szCs w:val="24"/>
              </w:rPr>
              <w:t>3</w:t>
            </w:r>
          </w:p>
        </w:tc>
        <w:tc>
          <w:tcPr>
            <w:tcW w:w="6548" w:type="dxa"/>
            <w:tcBorders>
              <w:top w:val="single" w:sz="4" w:space="0" w:color="auto"/>
              <w:left w:val="single" w:sz="4" w:space="0" w:color="auto"/>
              <w:bottom w:val="single" w:sz="4" w:space="0" w:color="auto"/>
              <w:right w:val="thickThinSmallGap" w:sz="24" w:space="0" w:color="auto"/>
            </w:tcBorders>
            <w:hideMark/>
          </w:tcPr>
          <w:p w14:paraId="4352FF64" w14:textId="77777777" w:rsidR="002D36EB" w:rsidRPr="00A8557E" w:rsidRDefault="002D36EB" w:rsidP="00543F54">
            <w:pPr>
              <w:spacing w:line="240" w:lineRule="auto"/>
              <w:rPr>
                <w:szCs w:val="24"/>
                <w:u w:val="single"/>
              </w:rPr>
            </w:pPr>
            <w:r w:rsidRPr="00A8557E">
              <w:rPr>
                <w:szCs w:val="24"/>
              </w:rPr>
              <w:t xml:space="preserve">Written Direct Testimony of All Other Parties Due </w:t>
            </w:r>
            <w:r w:rsidRPr="00A8557E">
              <w:rPr>
                <w:szCs w:val="24"/>
                <w:u w:val="single"/>
              </w:rPr>
              <w:t>In-Hand</w:t>
            </w:r>
          </w:p>
        </w:tc>
      </w:tr>
      <w:tr w:rsidR="002D36EB" w14:paraId="766B833A" w14:textId="77777777" w:rsidTr="00543F54">
        <w:trPr>
          <w:trHeight w:val="390"/>
        </w:trPr>
        <w:tc>
          <w:tcPr>
            <w:tcW w:w="2842" w:type="dxa"/>
            <w:tcBorders>
              <w:top w:val="single" w:sz="4" w:space="0" w:color="auto"/>
              <w:left w:val="thinThickSmallGap" w:sz="24" w:space="0" w:color="auto"/>
              <w:bottom w:val="single" w:sz="4" w:space="0" w:color="auto"/>
              <w:right w:val="single" w:sz="4" w:space="0" w:color="auto"/>
            </w:tcBorders>
            <w:vAlign w:val="center"/>
            <w:hideMark/>
          </w:tcPr>
          <w:p w14:paraId="77B4EB8F" w14:textId="479E6012" w:rsidR="002D36EB" w:rsidRPr="00A8557E" w:rsidRDefault="007F7B86" w:rsidP="00543F54">
            <w:pPr>
              <w:spacing w:line="240" w:lineRule="auto"/>
              <w:jc w:val="center"/>
              <w:rPr>
                <w:szCs w:val="24"/>
              </w:rPr>
            </w:pPr>
            <w:r>
              <w:rPr>
                <w:szCs w:val="24"/>
              </w:rPr>
              <w:t>July 14</w:t>
            </w:r>
            <w:r w:rsidR="002D36EB" w:rsidRPr="00A8557E">
              <w:rPr>
                <w:szCs w:val="24"/>
              </w:rPr>
              <w:t>, 202</w:t>
            </w:r>
            <w:r w:rsidR="002D36EB">
              <w:rPr>
                <w:szCs w:val="24"/>
              </w:rPr>
              <w:t>3</w:t>
            </w:r>
          </w:p>
        </w:tc>
        <w:tc>
          <w:tcPr>
            <w:tcW w:w="6548" w:type="dxa"/>
            <w:tcBorders>
              <w:top w:val="single" w:sz="4" w:space="0" w:color="auto"/>
              <w:left w:val="single" w:sz="4" w:space="0" w:color="auto"/>
              <w:bottom w:val="single" w:sz="4" w:space="0" w:color="auto"/>
              <w:right w:val="thickThinSmallGap" w:sz="24" w:space="0" w:color="auto"/>
            </w:tcBorders>
            <w:hideMark/>
          </w:tcPr>
          <w:p w14:paraId="72BDCCED" w14:textId="77777777" w:rsidR="002D36EB" w:rsidRPr="00A8557E" w:rsidRDefault="002D36EB" w:rsidP="00543F54">
            <w:pPr>
              <w:spacing w:line="240" w:lineRule="auto"/>
              <w:rPr>
                <w:szCs w:val="24"/>
              </w:rPr>
            </w:pPr>
            <w:r w:rsidRPr="00A8557E">
              <w:rPr>
                <w:szCs w:val="24"/>
              </w:rPr>
              <w:t xml:space="preserve">Written Rebuttal Testimony Due </w:t>
            </w:r>
            <w:r w:rsidRPr="00A8557E">
              <w:rPr>
                <w:szCs w:val="24"/>
                <w:u w:val="single"/>
              </w:rPr>
              <w:t>In-Hand</w:t>
            </w:r>
          </w:p>
        </w:tc>
      </w:tr>
      <w:tr w:rsidR="002D36EB" w14:paraId="659A4031" w14:textId="77777777" w:rsidTr="00543F54">
        <w:trPr>
          <w:trHeight w:val="390"/>
        </w:trPr>
        <w:tc>
          <w:tcPr>
            <w:tcW w:w="2842" w:type="dxa"/>
            <w:tcBorders>
              <w:top w:val="single" w:sz="4" w:space="0" w:color="auto"/>
              <w:left w:val="thinThickSmallGap" w:sz="24" w:space="0" w:color="auto"/>
              <w:bottom w:val="single" w:sz="4" w:space="0" w:color="auto"/>
              <w:right w:val="single" w:sz="4" w:space="0" w:color="auto"/>
            </w:tcBorders>
            <w:vAlign w:val="center"/>
            <w:hideMark/>
          </w:tcPr>
          <w:p w14:paraId="15962DE7" w14:textId="5F0FD4E1" w:rsidR="002D36EB" w:rsidRPr="00A8557E" w:rsidRDefault="00F4606B" w:rsidP="00543F54">
            <w:pPr>
              <w:spacing w:line="240" w:lineRule="auto"/>
              <w:jc w:val="center"/>
              <w:rPr>
                <w:szCs w:val="24"/>
              </w:rPr>
            </w:pPr>
            <w:r>
              <w:rPr>
                <w:szCs w:val="24"/>
              </w:rPr>
              <w:t>August 1,</w:t>
            </w:r>
            <w:r w:rsidR="002D36EB">
              <w:rPr>
                <w:szCs w:val="24"/>
              </w:rPr>
              <w:t xml:space="preserve"> 2023</w:t>
            </w:r>
          </w:p>
        </w:tc>
        <w:tc>
          <w:tcPr>
            <w:tcW w:w="6548" w:type="dxa"/>
            <w:tcBorders>
              <w:top w:val="single" w:sz="4" w:space="0" w:color="auto"/>
              <w:left w:val="single" w:sz="4" w:space="0" w:color="auto"/>
              <w:bottom w:val="single" w:sz="4" w:space="0" w:color="auto"/>
              <w:right w:val="thickThinSmallGap" w:sz="24" w:space="0" w:color="auto"/>
            </w:tcBorders>
            <w:hideMark/>
          </w:tcPr>
          <w:p w14:paraId="3D6BA4B3" w14:textId="77777777" w:rsidR="002D36EB" w:rsidRPr="00A8557E" w:rsidRDefault="002D36EB" w:rsidP="00543F54">
            <w:pPr>
              <w:spacing w:line="240" w:lineRule="auto"/>
              <w:rPr>
                <w:szCs w:val="24"/>
              </w:rPr>
            </w:pPr>
            <w:r w:rsidRPr="00A8557E">
              <w:rPr>
                <w:szCs w:val="24"/>
              </w:rPr>
              <w:t xml:space="preserve">Written Surrebuttal Testimony Due </w:t>
            </w:r>
            <w:r w:rsidRPr="00A8557E">
              <w:rPr>
                <w:szCs w:val="24"/>
                <w:u w:val="single"/>
              </w:rPr>
              <w:t>In-Hand</w:t>
            </w:r>
          </w:p>
        </w:tc>
      </w:tr>
      <w:tr w:rsidR="002D36EB" w14:paraId="16291E1D" w14:textId="77777777" w:rsidTr="00543F54">
        <w:trPr>
          <w:trHeight w:val="390"/>
        </w:trPr>
        <w:tc>
          <w:tcPr>
            <w:tcW w:w="2842" w:type="dxa"/>
            <w:tcBorders>
              <w:top w:val="single" w:sz="4" w:space="0" w:color="auto"/>
              <w:left w:val="thinThickSmallGap" w:sz="24" w:space="0" w:color="auto"/>
              <w:bottom w:val="single" w:sz="4" w:space="0" w:color="auto"/>
              <w:right w:val="single" w:sz="4" w:space="0" w:color="auto"/>
            </w:tcBorders>
            <w:vAlign w:val="center"/>
            <w:hideMark/>
          </w:tcPr>
          <w:p w14:paraId="699D777B" w14:textId="283B71CD" w:rsidR="002D36EB" w:rsidRPr="00A8557E" w:rsidRDefault="006372EC" w:rsidP="00543F54">
            <w:pPr>
              <w:spacing w:line="240" w:lineRule="auto"/>
              <w:jc w:val="center"/>
              <w:rPr>
                <w:szCs w:val="24"/>
              </w:rPr>
            </w:pPr>
            <w:r>
              <w:rPr>
                <w:szCs w:val="24"/>
              </w:rPr>
              <w:t>August 10 and 11</w:t>
            </w:r>
            <w:r w:rsidR="002D36EB" w:rsidRPr="00A8557E">
              <w:rPr>
                <w:szCs w:val="24"/>
              </w:rPr>
              <w:t>, 202</w:t>
            </w:r>
            <w:r w:rsidR="002D36EB">
              <w:rPr>
                <w:szCs w:val="24"/>
              </w:rPr>
              <w:t>3</w:t>
            </w:r>
          </w:p>
        </w:tc>
        <w:tc>
          <w:tcPr>
            <w:tcW w:w="6548" w:type="dxa"/>
            <w:tcBorders>
              <w:top w:val="single" w:sz="4" w:space="0" w:color="auto"/>
              <w:left w:val="single" w:sz="4" w:space="0" w:color="auto"/>
              <w:bottom w:val="single" w:sz="4" w:space="0" w:color="auto"/>
              <w:right w:val="thickThinSmallGap" w:sz="24" w:space="0" w:color="auto"/>
            </w:tcBorders>
            <w:hideMark/>
          </w:tcPr>
          <w:p w14:paraId="58FDA829" w14:textId="78569B84" w:rsidR="002D36EB" w:rsidRPr="00A8557E" w:rsidRDefault="002D36EB" w:rsidP="00543F54">
            <w:pPr>
              <w:spacing w:line="240" w:lineRule="auto"/>
              <w:rPr>
                <w:szCs w:val="24"/>
              </w:rPr>
            </w:pPr>
            <w:r w:rsidRPr="00A8557E">
              <w:rPr>
                <w:szCs w:val="24"/>
              </w:rPr>
              <w:t>Evidentiary Hearings</w:t>
            </w:r>
            <w:r>
              <w:rPr>
                <w:szCs w:val="24"/>
              </w:rPr>
              <w:t xml:space="preserve"> and oral rejoinder</w:t>
            </w:r>
            <w:r w:rsidR="005D5CF5">
              <w:rPr>
                <w:szCs w:val="24"/>
              </w:rPr>
              <w:t xml:space="preserve"> In-Person in Pittsburgh</w:t>
            </w:r>
          </w:p>
        </w:tc>
      </w:tr>
      <w:tr w:rsidR="002D36EB" w14:paraId="3432FC89" w14:textId="77777777" w:rsidTr="00543F54">
        <w:trPr>
          <w:trHeight w:val="390"/>
        </w:trPr>
        <w:tc>
          <w:tcPr>
            <w:tcW w:w="2842" w:type="dxa"/>
            <w:tcBorders>
              <w:top w:val="single" w:sz="4" w:space="0" w:color="auto"/>
              <w:left w:val="thinThickSmallGap" w:sz="24" w:space="0" w:color="auto"/>
              <w:bottom w:val="single" w:sz="4" w:space="0" w:color="auto"/>
              <w:right w:val="single" w:sz="4" w:space="0" w:color="auto"/>
            </w:tcBorders>
            <w:vAlign w:val="center"/>
            <w:hideMark/>
          </w:tcPr>
          <w:p w14:paraId="4275039F" w14:textId="13372508" w:rsidR="002D36EB" w:rsidRPr="00A8557E" w:rsidRDefault="006372EC" w:rsidP="00543F54">
            <w:pPr>
              <w:spacing w:line="240" w:lineRule="auto"/>
              <w:jc w:val="center"/>
              <w:rPr>
                <w:szCs w:val="24"/>
              </w:rPr>
            </w:pPr>
            <w:r>
              <w:rPr>
                <w:szCs w:val="24"/>
              </w:rPr>
              <w:t>August 30</w:t>
            </w:r>
            <w:r w:rsidR="002D36EB" w:rsidRPr="00A8557E">
              <w:rPr>
                <w:szCs w:val="24"/>
              </w:rPr>
              <w:t>, 202</w:t>
            </w:r>
            <w:r w:rsidR="002D36EB">
              <w:rPr>
                <w:szCs w:val="24"/>
              </w:rPr>
              <w:t>3</w:t>
            </w:r>
          </w:p>
        </w:tc>
        <w:tc>
          <w:tcPr>
            <w:tcW w:w="6548" w:type="dxa"/>
            <w:tcBorders>
              <w:top w:val="single" w:sz="4" w:space="0" w:color="auto"/>
              <w:left w:val="single" w:sz="4" w:space="0" w:color="auto"/>
              <w:bottom w:val="single" w:sz="4" w:space="0" w:color="auto"/>
              <w:right w:val="thickThinSmallGap" w:sz="24" w:space="0" w:color="auto"/>
            </w:tcBorders>
            <w:hideMark/>
          </w:tcPr>
          <w:p w14:paraId="1E18B05F" w14:textId="77777777" w:rsidR="002D36EB" w:rsidRPr="00A8557E" w:rsidRDefault="002D36EB" w:rsidP="00543F54">
            <w:pPr>
              <w:spacing w:line="240" w:lineRule="auto"/>
              <w:rPr>
                <w:szCs w:val="24"/>
              </w:rPr>
            </w:pPr>
            <w:r w:rsidRPr="00A8557E">
              <w:rPr>
                <w:szCs w:val="24"/>
              </w:rPr>
              <w:t xml:space="preserve">Main Briefs Due </w:t>
            </w:r>
            <w:r w:rsidRPr="00A8557E">
              <w:rPr>
                <w:szCs w:val="24"/>
                <w:u w:val="single"/>
              </w:rPr>
              <w:t>In-Hand</w:t>
            </w:r>
          </w:p>
        </w:tc>
      </w:tr>
      <w:tr w:rsidR="002D36EB" w14:paraId="7C43A0CB" w14:textId="77777777" w:rsidTr="00543F54">
        <w:trPr>
          <w:trHeight w:val="794"/>
        </w:trPr>
        <w:tc>
          <w:tcPr>
            <w:tcW w:w="2842" w:type="dxa"/>
            <w:tcBorders>
              <w:top w:val="single" w:sz="4" w:space="0" w:color="auto"/>
              <w:left w:val="thinThickSmallGap" w:sz="24" w:space="0" w:color="auto"/>
              <w:bottom w:val="thinThickSmallGap" w:sz="24" w:space="0" w:color="auto"/>
              <w:right w:val="single" w:sz="4" w:space="0" w:color="auto"/>
            </w:tcBorders>
            <w:vAlign w:val="center"/>
            <w:hideMark/>
          </w:tcPr>
          <w:p w14:paraId="230EED50" w14:textId="08AF5DEC" w:rsidR="002D36EB" w:rsidRPr="00A8557E" w:rsidRDefault="006372EC" w:rsidP="00543F54">
            <w:pPr>
              <w:spacing w:line="240" w:lineRule="auto"/>
              <w:jc w:val="center"/>
              <w:rPr>
                <w:szCs w:val="24"/>
              </w:rPr>
            </w:pPr>
            <w:r>
              <w:rPr>
                <w:szCs w:val="24"/>
              </w:rPr>
              <w:t>September 12</w:t>
            </w:r>
            <w:r w:rsidR="002D36EB" w:rsidRPr="009C12E0">
              <w:rPr>
                <w:szCs w:val="24"/>
              </w:rPr>
              <w:t>, 202</w:t>
            </w:r>
            <w:r w:rsidR="002D36EB">
              <w:rPr>
                <w:szCs w:val="24"/>
              </w:rPr>
              <w:t>3</w:t>
            </w:r>
          </w:p>
        </w:tc>
        <w:tc>
          <w:tcPr>
            <w:tcW w:w="6548" w:type="dxa"/>
            <w:tcBorders>
              <w:top w:val="single" w:sz="4" w:space="0" w:color="auto"/>
              <w:left w:val="single" w:sz="4" w:space="0" w:color="auto"/>
              <w:bottom w:val="thinThickSmallGap" w:sz="24" w:space="0" w:color="auto"/>
              <w:right w:val="thickThinSmallGap" w:sz="24" w:space="0" w:color="auto"/>
            </w:tcBorders>
            <w:hideMark/>
          </w:tcPr>
          <w:p w14:paraId="0EB2CBDD" w14:textId="77777777" w:rsidR="002D36EB" w:rsidRPr="00A8557E" w:rsidRDefault="002D36EB" w:rsidP="00543F54">
            <w:pPr>
              <w:spacing w:line="240" w:lineRule="auto"/>
              <w:rPr>
                <w:szCs w:val="24"/>
              </w:rPr>
            </w:pPr>
            <w:r w:rsidRPr="00A8557E">
              <w:rPr>
                <w:szCs w:val="24"/>
              </w:rPr>
              <w:t xml:space="preserve">Reply Briefs Due </w:t>
            </w:r>
            <w:r w:rsidRPr="00A8557E">
              <w:rPr>
                <w:szCs w:val="24"/>
                <w:u w:val="single"/>
              </w:rPr>
              <w:t>In-Hand</w:t>
            </w:r>
            <w:r w:rsidRPr="00A8557E">
              <w:rPr>
                <w:szCs w:val="24"/>
              </w:rPr>
              <w:t xml:space="preserve"> or Submission of Joint Settlement Petition Executed By Representatives of All Parties, Together With All Parties’ Statements In Support of Settlement</w:t>
            </w:r>
          </w:p>
        </w:tc>
      </w:tr>
    </w:tbl>
    <w:p w14:paraId="497C7ED6" w14:textId="77777777" w:rsidR="002D36EB" w:rsidRDefault="002D36EB" w:rsidP="002D36EB">
      <w:pPr>
        <w:rPr>
          <w:szCs w:val="24"/>
        </w:rPr>
      </w:pPr>
    </w:p>
    <w:p w14:paraId="481AB195" w14:textId="77777777" w:rsidR="002D36EB" w:rsidRDefault="002D36EB" w:rsidP="002D36EB">
      <w:pPr>
        <w:rPr>
          <w:szCs w:val="24"/>
        </w:rPr>
      </w:pPr>
      <w:r>
        <w:rPr>
          <w:szCs w:val="24"/>
        </w:rPr>
        <w:tab/>
      </w:r>
      <w:r>
        <w:rPr>
          <w:szCs w:val="24"/>
        </w:rPr>
        <w:tab/>
      </w:r>
      <w:r w:rsidRPr="00AE3BF5">
        <w:rPr>
          <w:szCs w:val="24"/>
        </w:rPr>
        <w:t xml:space="preserve">The parties are reminded of the Commission’s requirements for the preparation and filing of written testimony.  52 Pa.Code §§ 5.412 and 5.412a.  Written testimony must be accompanied by all exhibits to which it relates.  Technical terms and concepts are to be clearly defined and explained in the testimonies and briefs.  </w:t>
      </w:r>
      <w:r w:rsidRPr="00AE3BF5">
        <w:rPr>
          <w:b/>
          <w:szCs w:val="24"/>
        </w:rPr>
        <w:t>No written testimony will be admitted into evidence unless accompanied by a verification or affidavit of the witness</w:t>
      </w:r>
      <w:r w:rsidRPr="00AE3BF5">
        <w:rPr>
          <w:szCs w:val="24"/>
        </w:rPr>
        <w:t xml:space="preserve">. </w:t>
      </w:r>
    </w:p>
    <w:p w14:paraId="431B72CD" w14:textId="77777777" w:rsidR="002D36EB" w:rsidRPr="00AE3BF5" w:rsidRDefault="002D36EB" w:rsidP="002D36EB">
      <w:pPr>
        <w:rPr>
          <w:szCs w:val="24"/>
        </w:rPr>
      </w:pPr>
    </w:p>
    <w:p w14:paraId="0F0FFBDE" w14:textId="77777777" w:rsidR="002D36EB" w:rsidRDefault="002D36EB" w:rsidP="002D36EB">
      <w:pPr>
        <w:ind w:firstLine="1440"/>
        <w:rPr>
          <w:szCs w:val="24"/>
        </w:rPr>
      </w:pPr>
      <w:r w:rsidRPr="00AE3BF5">
        <w:rPr>
          <w:szCs w:val="24"/>
        </w:rPr>
        <w:t>Parties serving prepared testimony in proceedings pending before the Commission pursuant to 52 Pa.Code § 5.412(f) shall be required, within thirty (30) days after the final hearing in an adjudicatory proceeding</w:t>
      </w:r>
      <w:r>
        <w:rPr>
          <w:szCs w:val="24"/>
        </w:rPr>
        <w:t>,</w:t>
      </w:r>
      <w:r w:rsidRPr="00AE3BF5">
        <w:rPr>
          <w:szCs w:val="24"/>
        </w:rPr>
        <w:t xml:space="preserve"> to e</w:t>
      </w:r>
      <w:r>
        <w:rPr>
          <w:szCs w:val="24"/>
        </w:rPr>
        <w:t>-f</w:t>
      </w:r>
      <w:r w:rsidRPr="00AE3BF5">
        <w:rPr>
          <w:szCs w:val="24"/>
        </w:rPr>
        <w:t xml:space="preserve">ile with </w:t>
      </w:r>
      <w:r>
        <w:rPr>
          <w:szCs w:val="24"/>
        </w:rPr>
        <w:t>the</w:t>
      </w:r>
      <w:r w:rsidRPr="00AE3BF5">
        <w:rPr>
          <w:szCs w:val="24"/>
        </w:rPr>
        <w:t xml:space="preserve"> Secretary’s Bureau a </w:t>
      </w:r>
      <w:r>
        <w:rPr>
          <w:szCs w:val="24"/>
        </w:rPr>
        <w:t xml:space="preserve">copy of </w:t>
      </w:r>
      <w:r w:rsidRPr="00AE3BF5">
        <w:rPr>
          <w:szCs w:val="24"/>
        </w:rPr>
        <w:t xml:space="preserve">all </w:t>
      </w:r>
      <w:r w:rsidRPr="00AE3BF5">
        <w:rPr>
          <w:szCs w:val="24"/>
        </w:rPr>
        <w:lastRenderedPageBreak/>
        <w:t xml:space="preserve">testimony furnished to the court reporter during the proceeding consistent </w:t>
      </w:r>
      <w:r>
        <w:rPr>
          <w:szCs w:val="24"/>
        </w:rPr>
        <w:t xml:space="preserve">with </w:t>
      </w:r>
      <w:r w:rsidRPr="00AE3BF5">
        <w:rPr>
          <w:szCs w:val="24"/>
        </w:rPr>
        <w:t>52 Pa.Code §</w:t>
      </w:r>
      <w:r>
        <w:rPr>
          <w:szCs w:val="24"/>
        </w:rPr>
        <w:t> </w:t>
      </w:r>
      <w:r w:rsidRPr="00AE3BF5">
        <w:rPr>
          <w:szCs w:val="24"/>
        </w:rPr>
        <w:t>5.412a.</w:t>
      </w:r>
      <w:r>
        <w:rPr>
          <w:szCs w:val="24"/>
        </w:rPr>
        <w:t xml:space="preserve">  </w:t>
      </w:r>
    </w:p>
    <w:p w14:paraId="733E1B82" w14:textId="77777777" w:rsidR="002D36EB" w:rsidRDefault="002D36EB" w:rsidP="002D36EB">
      <w:pPr>
        <w:ind w:firstLine="1440"/>
        <w:rPr>
          <w:szCs w:val="24"/>
        </w:rPr>
      </w:pPr>
    </w:p>
    <w:p w14:paraId="30B23C58" w14:textId="0652C680" w:rsidR="002D36EB" w:rsidRPr="00AE3BF5" w:rsidRDefault="002D36EB" w:rsidP="002D36EB">
      <w:pPr>
        <w:ind w:firstLine="1440"/>
        <w:rPr>
          <w:szCs w:val="24"/>
        </w:rPr>
      </w:pPr>
      <w:r w:rsidRPr="00952163">
        <w:rPr>
          <w:szCs w:val="24"/>
        </w:rPr>
        <w:t xml:space="preserve">The above-stated dates are </w:t>
      </w:r>
      <w:r w:rsidRPr="00952163">
        <w:rPr>
          <w:szCs w:val="24"/>
          <w:u w:val="single"/>
        </w:rPr>
        <w:t>in-hand</w:t>
      </w:r>
      <w:r w:rsidRPr="00952163">
        <w:rPr>
          <w:szCs w:val="24"/>
        </w:rPr>
        <w:t xml:space="preserve"> dates for service on the parties and the </w:t>
      </w:r>
      <w:r w:rsidR="00690A50">
        <w:rPr>
          <w:szCs w:val="24"/>
        </w:rPr>
        <w:t>Presiding</w:t>
      </w:r>
      <w:r w:rsidRPr="00952163">
        <w:rPr>
          <w:szCs w:val="24"/>
        </w:rPr>
        <w:t xml:space="preserve"> ALJ</w:t>
      </w:r>
      <w:r w:rsidR="00A97D38">
        <w:rPr>
          <w:szCs w:val="24"/>
        </w:rPr>
        <w:t>s</w:t>
      </w:r>
      <w:r w:rsidRPr="00952163">
        <w:rPr>
          <w:szCs w:val="24"/>
        </w:rPr>
        <w:t xml:space="preserve">.  The </w:t>
      </w:r>
      <w:r w:rsidR="00690A50">
        <w:rPr>
          <w:szCs w:val="24"/>
        </w:rPr>
        <w:t>Presiding</w:t>
      </w:r>
      <w:r w:rsidRPr="00952163">
        <w:rPr>
          <w:szCs w:val="24"/>
        </w:rPr>
        <w:t xml:space="preserve"> ALJ</w:t>
      </w:r>
      <w:r w:rsidR="00A97D38">
        <w:rPr>
          <w:szCs w:val="24"/>
        </w:rPr>
        <w:t>s</w:t>
      </w:r>
      <w:r w:rsidRPr="00952163">
        <w:rPr>
          <w:szCs w:val="24"/>
        </w:rPr>
        <w:t xml:space="preserve"> agree to accept email transmission of such material, so long as</w:t>
      </w:r>
      <w:r>
        <w:rPr>
          <w:szCs w:val="24"/>
        </w:rPr>
        <w:t>: (1)</w:t>
      </w:r>
      <w:r w:rsidRPr="00952163">
        <w:rPr>
          <w:szCs w:val="24"/>
        </w:rPr>
        <w:t xml:space="preserve"> the subject email </w:t>
      </w:r>
      <w:r>
        <w:rPr>
          <w:szCs w:val="24"/>
        </w:rPr>
        <w:t xml:space="preserve">for written surrebuttal testimony </w:t>
      </w:r>
      <w:r w:rsidRPr="00952163">
        <w:rPr>
          <w:szCs w:val="24"/>
        </w:rPr>
        <w:t>is received</w:t>
      </w:r>
      <w:r>
        <w:rPr>
          <w:szCs w:val="24"/>
        </w:rPr>
        <w:t xml:space="preserve"> by </w:t>
      </w:r>
      <w:r w:rsidRPr="00952163">
        <w:rPr>
          <w:szCs w:val="24"/>
        </w:rPr>
        <w:t>4:</w:t>
      </w:r>
      <w:r>
        <w:rPr>
          <w:szCs w:val="24"/>
        </w:rPr>
        <w:t>0</w:t>
      </w:r>
      <w:r w:rsidRPr="00952163">
        <w:rPr>
          <w:szCs w:val="24"/>
        </w:rPr>
        <w:t>0 p.m. on the date due.  The email address</w:t>
      </w:r>
      <w:r w:rsidR="00A97D38">
        <w:rPr>
          <w:szCs w:val="24"/>
        </w:rPr>
        <w:t>es</w:t>
      </w:r>
      <w:r w:rsidRPr="00952163">
        <w:rPr>
          <w:szCs w:val="24"/>
        </w:rPr>
        <w:t xml:space="preserve"> of the </w:t>
      </w:r>
      <w:r w:rsidR="00690A50">
        <w:rPr>
          <w:szCs w:val="24"/>
        </w:rPr>
        <w:t>Presiding</w:t>
      </w:r>
      <w:r w:rsidRPr="00952163">
        <w:rPr>
          <w:szCs w:val="24"/>
        </w:rPr>
        <w:t xml:space="preserve"> ALJ</w:t>
      </w:r>
      <w:r w:rsidR="00A97D38">
        <w:rPr>
          <w:szCs w:val="24"/>
        </w:rPr>
        <w:t>s are</w:t>
      </w:r>
      <w:r w:rsidR="00610DA9">
        <w:rPr>
          <w:szCs w:val="24"/>
        </w:rPr>
        <w:t xml:space="preserve"> </w:t>
      </w:r>
      <w:hyperlink r:id="rId8" w:history="1">
        <w:r w:rsidR="007E1E85" w:rsidRPr="005D5B0D">
          <w:rPr>
            <w:rStyle w:val="Hyperlink"/>
            <w:szCs w:val="24"/>
          </w:rPr>
          <w:t>cojohnson@pa.gov</w:t>
        </w:r>
      </w:hyperlink>
      <w:r w:rsidR="007E1E85">
        <w:rPr>
          <w:szCs w:val="24"/>
        </w:rPr>
        <w:t xml:space="preserve"> and</w:t>
      </w:r>
      <w:r w:rsidRPr="00952163">
        <w:rPr>
          <w:szCs w:val="24"/>
        </w:rPr>
        <w:t xml:space="preserve"> </w:t>
      </w:r>
      <w:hyperlink r:id="rId9" w:history="1">
        <w:r w:rsidRPr="001C3CE7">
          <w:rPr>
            <w:rStyle w:val="Hyperlink"/>
            <w:szCs w:val="24"/>
          </w:rPr>
          <w:t>edevoe@pa.gov</w:t>
        </w:r>
      </w:hyperlink>
      <w:r w:rsidRPr="00952163">
        <w:rPr>
          <w:szCs w:val="24"/>
        </w:rPr>
        <w:t xml:space="preserve">.  </w:t>
      </w:r>
    </w:p>
    <w:p w14:paraId="40C1C805" w14:textId="77777777" w:rsidR="002D36EB" w:rsidRPr="00AE3BF5" w:rsidRDefault="002D36EB" w:rsidP="002D36EB">
      <w:pPr>
        <w:rPr>
          <w:szCs w:val="24"/>
        </w:rPr>
      </w:pPr>
    </w:p>
    <w:p w14:paraId="16B42386" w14:textId="568ABB07" w:rsidR="002D36EB" w:rsidRDefault="002D36EB" w:rsidP="002D36EB">
      <w:pPr>
        <w:ind w:firstLine="1440"/>
        <w:rPr>
          <w:szCs w:val="24"/>
        </w:rPr>
      </w:pPr>
      <w:r w:rsidRPr="00AE3BF5">
        <w:rPr>
          <w:szCs w:val="24"/>
        </w:rPr>
        <w:t xml:space="preserve">Hearings will begin promptly at </w:t>
      </w:r>
      <w:r w:rsidRPr="00AE3BF5">
        <w:rPr>
          <w:b/>
          <w:szCs w:val="24"/>
          <w:u w:val="single"/>
        </w:rPr>
        <w:t xml:space="preserve">10:00 a.m. on </w:t>
      </w:r>
      <w:r w:rsidR="00C72D45">
        <w:rPr>
          <w:b/>
          <w:szCs w:val="24"/>
          <w:u w:val="single"/>
        </w:rPr>
        <w:t>August</w:t>
      </w:r>
      <w:r w:rsidRPr="00AE3BF5">
        <w:rPr>
          <w:b/>
          <w:szCs w:val="24"/>
          <w:u w:val="single"/>
        </w:rPr>
        <w:t xml:space="preserve"> </w:t>
      </w:r>
      <w:r w:rsidR="001F5CE4">
        <w:rPr>
          <w:b/>
          <w:szCs w:val="24"/>
          <w:u w:val="single"/>
        </w:rPr>
        <w:t>10</w:t>
      </w:r>
      <w:r w:rsidRPr="00AE3BF5">
        <w:rPr>
          <w:b/>
          <w:szCs w:val="24"/>
          <w:u w:val="single"/>
        </w:rPr>
        <w:t>, 202</w:t>
      </w:r>
      <w:r>
        <w:rPr>
          <w:b/>
          <w:szCs w:val="24"/>
          <w:u w:val="single"/>
        </w:rPr>
        <w:t>3</w:t>
      </w:r>
      <w:r w:rsidRPr="00AE3BF5">
        <w:rPr>
          <w:b/>
          <w:szCs w:val="24"/>
          <w:u w:val="single"/>
        </w:rPr>
        <w:t xml:space="preserve">, and </w:t>
      </w:r>
      <w:r w:rsidR="001F5CE4">
        <w:rPr>
          <w:b/>
          <w:szCs w:val="24"/>
          <w:u w:val="single"/>
        </w:rPr>
        <w:t>August</w:t>
      </w:r>
      <w:r w:rsidRPr="00AE3BF5">
        <w:rPr>
          <w:b/>
          <w:szCs w:val="24"/>
          <w:u w:val="single"/>
        </w:rPr>
        <w:t xml:space="preserve"> </w:t>
      </w:r>
      <w:r w:rsidR="001F5CE4">
        <w:rPr>
          <w:b/>
          <w:szCs w:val="24"/>
          <w:u w:val="single"/>
        </w:rPr>
        <w:t>11</w:t>
      </w:r>
      <w:r>
        <w:rPr>
          <w:b/>
          <w:szCs w:val="24"/>
          <w:u w:val="single"/>
        </w:rPr>
        <w:t>,</w:t>
      </w:r>
      <w:r w:rsidRPr="00AE3BF5">
        <w:rPr>
          <w:b/>
          <w:szCs w:val="24"/>
          <w:u w:val="single"/>
        </w:rPr>
        <w:t xml:space="preserve"> 202</w:t>
      </w:r>
      <w:r>
        <w:rPr>
          <w:b/>
          <w:szCs w:val="24"/>
          <w:u w:val="single"/>
        </w:rPr>
        <w:t>3</w:t>
      </w:r>
      <w:r w:rsidR="00363003">
        <w:rPr>
          <w:b/>
          <w:szCs w:val="24"/>
          <w:u w:val="single"/>
        </w:rPr>
        <w:t>,</w:t>
      </w:r>
      <w:r w:rsidR="00A11399">
        <w:rPr>
          <w:b/>
          <w:szCs w:val="24"/>
          <w:u w:val="single"/>
        </w:rPr>
        <w:t xml:space="preserve"> in-person,</w:t>
      </w:r>
      <w:r w:rsidR="000536A5">
        <w:rPr>
          <w:b/>
          <w:szCs w:val="24"/>
          <w:u w:val="single"/>
        </w:rPr>
        <w:t xml:space="preserve"> </w:t>
      </w:r>
      <w:r w:rsidR="00892454">
        <w:rPr>
          <w:b/>
          <w:szCs w:val="24"/>
          <w:u w:val="single"/>
        </w:rPr>
        <w:t xml:space="preserve">at </w:t>
      </w:r>
      <w:r w:rsidR="00E36338">
        <w:rPr>
          <w:b/>
          <w:szCs w:val="24"/>
          <w:u w:val="single"/>
        </w:rPr>
        <w:t xml:space="preserve">the </w:t>
      </w:r>
      <w:r w:rsidR="00CB5760">
        <w:rPr>
          <w:b/>
          <w:szCs w:val="24"/>
          <w:u w:val="single"/>
        </w:rPr>
        <w:t xml:space="preserve">Commission’s </w:t>
      </w:r>
      <w:r w:rsidR="00471C97">
        <w:rPr>
          <w:b/>
          <w:szCs w:val="24"/>
          <w:u w:val="single"/>
        </w:rPr>
        <w:t xml:space="preserve">Office of Administrative Law Judge, </w:t>
      </w:r>
      <w:r w:rsidR="00854CB6">
        <w:rPr>
          <w:b/>
          <w:szCs w:val="24"/>
          <w:u w:val="single"/>
        </w:rPr>
        <w:t xml:space="preserve">301 </w:t>
      </w:r>
      <w:r w:rsidR="002D5E16">
        <w:rPr>
          <w:b/>
          <w:szCs w:val="24"/>
          <w:u w:val="single"/>
        </w:rPr>
        <w:t>Fifth Avenue, 2</w:t>
      </w:r>
      <w:r w:rsidR="002D5E16" w:rsidRPr="002D5E16">
        <w:rPr>
          <w:b/>
          <w:szCs w:val="24"/>
          <w:u w:val="single"/>
          <w:vertAlign w:val="superscript"/>
        </w:rPr>
        <w:t>nd</w:t>
      </w:r>
      <w:r w:rsidR="002D5E16">
        <w:rPr>
          <w:b/>
          <w:szCs w:val="24"/>
          <w:u w:val="single"/>
        </w:rPr>
        <w:t xml:space="preserve"> Floor Hearing Room, Piatt Place, Pittsburgh, PA 152</w:t>
      </w:r>
      <w:r w:rsidR="00E36338">
        <w:rPr>
          <w:b/>
          <w:szCs w:val="24"/>
          <w:u w:val="single"/>
        </w:rPr>
        <w:t>22</w:t>
      </w:r>
      <w:r w:rsidRPr="00AE3BF5">
        <w:rPr>
          <w:szCs w:val="24"/>
        </w:rPr>
        <w:t>.  The parties must confer before commencement of the hearings to schedule their witnesses so as to avoid “holes” or “dead time” during the hearings.</w:t>
      </w:r>
    </w:p>
    <w:p w14:paraId="6D250E1F" w14:textId="77777777" w:rsidR="009123FE" w:rsidRDefault="009123FE" w:rsidP="002D36EB">
      <w:pPr>
        <w:ind w:firstLine="1440"/>
        <w:rPr>
          <w:szCs w:val="24"/>
        </w:rPr>
      </w:pPr>
    </w:p>
    <w:p w14:paraId="52305144" w14:textId="77777777" w:rsidR="00F437C0" w:rsidRPr="00F437C0" w:rsidRDefault="00F437C0" w:rsidP="00F437C0">
      <w:pPr>
        <w:jc w:val="center"/>
        <w:rPr>
          <w:b/>
          <w:bCs/>
          <w:szCs w:val="24"/>
          <w:u w:val="single"/>
        </w:rPr>
      </w:pPr>
      <w:r w:rsidRPr="00F437C0">
        <w:rPr>
          <w:b/>
          <w:bCs/>
          <w:szCs w:val="24"/>
          <w:u w:val="single"/>
        </w:rPr>
        <w:t>Intervention</w:t>
      </w:r>
    </w:p>
    <w:p w14:paraId="22AA6EC7" w14:textId="77777777" w:rsidR="00F437C0" w:rsidRPr="00F437C0" w:rsidRDefault="00F437C0" w:rsidP="00F437C0">
      <w:pPr>
        <w:jc w:val="center"/>
        <w:rPr>
          <w:szCs w:val="24"/>
        </w:rPr>
      </w:pPr>
    </w:p>
    <w:p w14:paraId="5D058D01" w14:textId="26E2109C" w:rsidR="00E02280" w:rsidRPr="00AE3BF5" w:rsidRDefault="00AD0404" w:rsidP="00E02280">
      <w:pPr>
        <w:rPr>
          <w:szCs w:val="24"/>
        </w:rPr>
      </w:pPr>
      <w:r>
        <w:rPr>
          <w:szCs w:val="24"/>
        </w:rPr>
        <w:tab/>
      </w:r>
      <w:r>
        <w:rPr>
          <w:szCs w:val="24"/>
        </w:rPr>
        <w:tab/>
      </w:r>
      <w:r w:rsidR="00F437C0" w:rsidRPr="00F437C0">
        <w:rPr>
          <w:szCs w:val="24"/>
        </w:rPr>
        <w:t xml:space="preserve">There was no objection to the Petitions to Intervene filed by </w:t>
      </w:r>
      <w:r w:rsidR="006044B9">
        <w:t xml:space="preserve">CAUSE-PA, </w:t>
      </w:r>
      <w:r w:rsidR="00BA6A17">
        <w:t xml:space="preserve">PSU, </w:t>
      </w:r>
      <w:r w:rsidR="006044B9">
        <w:t>Calpine</w:t>
      </w:r>
      <w:r w:rsidR="009A050D">
        <w:t>,</w:t>
      </w:r>
      <w:r w:rsidR="00BA6A17">
        <w:t xml:space="preserve"> and </w:t>
      </w:r>
      <w:r w:rsidR="006044B9">
        <w:t>RESA</w:t>
      </w:r>
      <w:r w:rsidR="00754279">
        <w:t xml:space="preserve">.  Accordingly, </w:t>
      </w:r>
      <w:r w:rsidR="00A72EF3">
        <w:t xml:space="preserve">those </w:t>
      </w:r>
      <w:r w:rsidR="009A050D">
        <w:t>Petition</w:t>
      </w:r>
      <w:r w:rsidR="00A72EF3">
        <w:t>s</w:t>
      </w:r>
      <w:r w:rsidR="009A050D">
        <w:t xml:space="preserve"> to Intervene w</w:t>
      </w:r>
      <w:r w:rsidR="00ED4D9C">
        <w:t>ere</w:t>
      </w:r>
      <w:r w:rsidR="009A050D">
        <w:t xml:space="preserve"> granted. </w:t>
      </w:r>
      <w:r w:rsidR="007B5098">
        <w:t xml:space="preserve"> The Petitions t</w:t>
      </w:r>
      <w:r w:rsidR="00913011">
        <w:t xml:space="preserve">o </w:t>
      </w:r>
      <w:r w:rsidR="007B5098">
        <w:t xml:space="preserve">Intervene filed by Industrial Customers Groups and </w:t>
      </w:r>
      <w:r w:rsidR="006044B9">
        <w:t>IECPA</w:t>
      </w:r>
      <w:r w:rsidR="00D17315">
        <w:t xml:space="preserve"> were grant</w:t>
      </w:r>
      <w:r w:rsidR="007E6892">
        <w:t>ed</w:t>
      </w:r>
      <w:r w:rsidR="00D17315">
        <w:t xml:space="preserve"> subject to there </w:t>
      </w:r>
      <w:r w:rsidR="00E02280">
        <w:rPr>
          <w:szCs w:val="24"/>
        </w:rPr>
        <w:t xml:space="preserve">not being a duplication of </w:t>
      </w:r>
      <w:r w:rsidR="00DD73A7">
        <w:rPr>
          <w:szCs w:val="24"/>
        </w:rPr>
        <w:t xml:space="preserve">an individual </w:t>
      </w:r>
      <w:r w:rsidR="00FF34B5">
        <w:rPr>
          <w:szCs w:val="24"/>
        </w:rPr>
        <w:t xml:space="preserve">intervening </w:t>
      </w:r>
      <w:r w:rsidR="00E02280">
        <w:rPr>
          <w:szCs w:val="24"/>
        </w:rPr>
        <w:t>party.</w:t>
      </w:r>
    </w:p>
    <w:p w14:paraId="516EC1D8" w14:textId="77777777" w:rsidR="00414854" w:rsidRDefault="00414854" w:rsidP="002D36EB">
      <w:pPr>
        <w:jc w:val="center"/>
        <w:rPr>
          <w:b/>
          <w:szCs w:val="24"/>
          <w:u w:val="single"/>
        </w:rPr>
      </w:pPr>
    </w:p>
    <w:p w14:paraId="17C37B56" w14:textId="68B3B68A" w:rsidR="002D36EB" w:rsidRPr="000D2D32" w:rsidRDefault="002D36EB" w:rsidP="002D36EB">
      <w:pPr>
        <w:jc w:val="center"/>
        <w:rPr>
          <w:b/>
          <w:szCs w:val="24"/>
          <w:u w:val="single"/>
        </w:rPr>
      </w:pPr>
      <w:r w:rsidRPr="00AE3BF5">
        <w:rPr>
          <w:b/>
          <w:szCs w:val="24"/>
          <w:u w:val="single"/>
        </w:rPr>
        <w:t>Parties</w:t>
      </w:r>
      <w:r>
        <w:rPr>
          <w:szCs w:val="24"/>
        </w:rPr>
        <w:t xml:space="preserve"> </w:t>
      </w:r>
    </w:p>
    <w:p w14:paraId="415F59CD" w14:textId="77777777" w:rsidR="002D36EB" w:rsidRDefault="002D36EB" w:rsidP="002D36EB">
      <w:pPr>
        <w:rPr>
          <w:szCs w:val="24"/>
        </w:rPr>
      </w:pPr>
    </w:p>
    <w:p w14:paraId="0204D2DC" w14:textId="408A4E0E" w:rsidR="002D36EB" w:rsidRPr="00AE3BF5" w:rsidRDefault="002D36EB" w:rsidP="002D36EB">
      <w:pPr>
        <w:rPr>
          <w:szCs w:val="24"/>
        </w:rPr>
      </w:pPr>
      <w:r>
        <w:rPr>
          <w:szCs w:val="24"/>
        </w:rPr>
        <w:tab/>
      </w:r>
      <w:r>
        <w:rPr>
          <w:szCs w:val="24"/>
        </w:rPr>
        <w:tab/>
      </w:r>
      <w:r w:rsidRPr="00AE3BF5">
        <w:rPr>
          <w:szCs w:val="24"/>
        </w:rPr>
        <w:t xml:space="preserve">As of the date of this Order, </w:t>
      </w:r>
      <w:r w:rsidR="0009092B">
        <w:t>Joint Applicants, OCA, I&amp;E,</w:t>
      </w:r>
      <w:r w:rsidR="0009092B" w:rsidRPr="002A2ED0">
        <w:t xml:space="preserve"> </w:t>
      </w:r>
      <w:r w:rsidR="0009092B">
        <w:t>OSBA, CAUSE-PA, the Industrial Customer Groups, PSU, Calpine, RESA, and IECPA</w:t>
      </w:r>
      <w:r>
        <w:rPr>
          <w:szCs w:val="24"/>
        </w:rPr>
        <w:t xml:space="preserve"> are </w:t>
      </w:r>
      <w:r w:rsidRPr="00AE3BF5">
        <w:rPr>
          <w:szCs w:val="24"/>
        </w:rPr>
        <w:t xml:space="preserve">the </w:t>
      </w:r>
      <w:r w:rsidR="00EC0ABA">
        <w:rPr>
          <w:szCs w:val="24"/>
        </w:rPr>
        <w:t xml:space="preserve">only </w:t>
      </w:r>
      <w:r w:rsidRPr="00AE3BF5">
        <w:rPr>
          <w:szCs w:val="24"/>
        </w:rPr>
        <w:t>parties involved in this case.  A Service List of these parties is appended to this Order</w:t>
      </w:r>
      <w:r w:rsidR="00711E62">
        <w:rPr>
          <w:szCs w:val="24"/>
        </w:rPr>
        <w:t>.</w:t>
      </w:r>
    </w:p>
    <w:p w14:paraId="0E19FD0B" w14:textId="77777777" w:rsidR="002D36EB" w:rsidRPr="00AE3BF5" w:rsidRDefault="002D36EB" w:rsidP="002D36EB">
      <w:pPr>
        <w:rPr>
          <w:szCs w:val="24"/>
        </w:rPr>
      </w:pPr>
      <w:r w:rsidRPr="00AE3BF5">
        <w:rPr>
          <w:szCs w:val="24"/>
        </w:rPr>
        <w:tab/>
      </w:r>
      <w:r w:rsidRPr="00AE3BF5">
        <w:rPr>
          <w:szCs w:val="24"/>
        </w:rPr>
        <w:tab/>
      </w:r>
    </w:p>
    <w:p w14:paraId="160D4E8A" w14:textId="77777777" w:rsidR="002D36EB" w:rsidRPr="00AE3BF5" w:rsidRDefault="002D36EB" w:rsidP="002D36EB">
      <w:pPr>
        <w:jc w:val="center"/>
        <w:rPr>
          <w:b/>
          <w:szCs w:val="24"/>
          <w:u w:val="single"/>
        </w:rPr>
      </w:pPr>
      <w:r w:rsidRPr="00AE3BF5">
        <w:rPr>
          <w:b/>
          <w:szCs w:val="24"/>
          <w:u w:val="single"/>
        </w:rPr>
        <w:t>Consolidation</w:t>
      </w:r>
    </w:p>
    <w:p w14:paraId="178ACFD0" w14:textId="77777777" w:rsidR="002D36EB" w:rsidRPr="00AE3BF5" w:rsidRDefault="002D36EB" w:rsidP="002D36EB">
      <w:pPr>
        <w:rPr>
          <w:szCs w:val="24"/>
        </w:rPr>
      </w:pPr>
    </w:p>
    <w:p w14:paraId="3A81DA86" w14:textId="616FF2CE" w:rsidR="00C562F4" w:rsidRPr="00AE3BF5" w:rsidRDefault="00C13A6C" w:rsidP="00C562F4">
      <w:pPr>
        <w:rPr>
          <w:szCs w:val="24"/>
        </w:rPr>
      </w:pPr>
      <w:r>
        <w:tab/>
      </w:r>
      <w:r>
        <w:tab/>
      </w:r>
      <w:r w:rsidR="002D36EB">
        <w:t xml:space="preserve">At the prehearing conference, </w:t>
      </w:r>
      <w:r w:rsidR="00A80D1C">
        <w:t xml:space="preserve">all twelve </w:t>
      </w:r>
      <w:r w:rsidR="00C72050">
        <w:t>of the above-captioned cases were</w:t>
      </w:r>
      <w:r w:rsidR="002D36EB">
        <w:t xml:space="preserve"> consolidated </w:t>
      </w:r>
      <w:r w:rsidR="00C72050">
        <w:t xml:space="preserve">under </w:t>
      </w:r>
      <w:r w:rsidR="00C14363">
        <w:t xml:space="preserve">Docket Number </w:t>
      </w:r>
      <w:r w:rsidR="00C72050" w:rsidRPr="00887DD7">
        <w:rPr>
          <w:color w:val="000000"/>
          <w:szCs w:val="24"/>
        </w:rPr>
        <w:t>A-2023-3038771</w:t>
      </w:r>
      <w:bookmarkStart w:id="2" w:name="_Hlk133491063"/>
      <w:r w:rsidR="00C562F4">
        <w:rPr>
          <w:szCs w:val="24"/>
        </w:rPr>
        <w:t>.</w:t>
      </w:r>
    </w:p>
    <w:bookmarkEnd w:id="2"/>
    <w:p w14:paraId="7A31E323" w14:textId="77777777" w:rsidR="002D36EB" w:rsidRPr="00AE3BF5" w:rsidRDefault="002D36EB" w:rsidP="002D36EB">
      <w:pPr>
        <w:jc w:val="center"/>
        <w:rPr>
          <w:b/>
          <w:szCs w:val="24"/>
          <w:u w:val="single"/>
        </w:rPr>
      </w:pPr>
      <w:r w:rsidRPr="00AE3BF5">
        <w:rPr>
          <w:b/>
          <w:szCs w:val="24"/>
          <w:u w:val="single"/>
        </w:rPr>
        <w:lastRenderedPageBreak/>
        <w:t>Public Input Hearings</w:t>
      </w:r>
    </w:p>
    <w:p w14:paraId="66E3B53E" w14:textId="77777777" w:rsidR="002D36EB" w:rsidRPr="00AE3BF5" w:rsidRDefault="002D36EB" w:rsidP="002D36EB">
      <w:pPr>
        <w:jc w:val="center"/>
        <w:rPr>
          <w:szCs w:val="24"/>
        </w:rPr>
      </w:pPr>
    </w:p>
    <w:p w14:paraId="48ACEB5B" w14:textId="4C600616" w:rsidR="002D36EB" w:rsidRDefault="002D36EB" w:rsidP="002D36EB">
      <w:pPr>
        <w:rPr>
          <w:szCs w:val="24"/>
        </w:rPr>
      </w:pPr>
      <w:r w:rsidRPr="00AE3BF5">
        <w:rPr>
          <w:szCs w:val="24"/>
        </w:rPr>
        <w:tab/>
      </w:r>
      <w:r w:rsidRPr="00AE3BF5">
        <w:rPr>
          <w:szCs w:val="24"/>
        </w:rPr>
        <w:tab/>
        <w:t>At present, no party has identified a need to conduct a public input</w:t>
      </w:r>
      <w:r w:rsidR="00D51BCB">
        <w:rPr>
          <w:szCs w:val="24"/>
        </w:rPr>
        <w:t xml:space="preserve"> hearing</w:t>
      </w:r>
      <w:r w:rsidRPr="00AE3BF5">
        <w:rPr>
          <w:szCs w:val="24"/>
        </w:rPr>
        <w:t xml:space="preserve">.  If consumer interest arises, however, the parties are hereby directed to give this matter their prompt attention and notify the </w:t>
      </w:r>
      <w:r w:rsidR="00690A50">
        <w:rPr>
          <w:szCs w:val="24"/>
        </w:rPr>
        <w:t>Presiding</w:t>
      </w:r>
      <w:r w:rsidRPr="00AE3BF5">
        <w:rPr>
          <w:szCs w:val="24"/>
        </w:rPr>
        <w:t xml:space="preserve"> ALJ</w:t>
      </w:r>
      <w:r w:rsidR="00FA1EE7">
        <w:rPr>
          <w:szCs w:val="24"/>
        </w:rPr>
        <w:t>s</w:t>
      </w:r>
      <w:r w:rsidRPr="00AE3BF5">
        <w:rPr>
          <w:szCs w:val="24"/>
        </w:rPr>
        <w:t xml:space="preserve"> immediately of the change in circumstances. </w:t>
      </w:r>
    </w:p>
    <w:p w14:paraId="6964FFC7" w14:textId="77777777" w:rsidR="000A2419" w:rsidRDefault="000A2419" w:rsidP="002D36EB">
      <w:pPr>
        <w:rPr>
          <w:szCs w:val="24"/>
        </w:rPr>
      </w:pPr>
    </w:p>
    <w:p w14:paraId="2CCDE81D" w14:textId="77777777" w:rsidR="002D36EB" w:rsidRPr="00AE3BF5" w:rsidRDefault="002D36EB" w:rsidP="002D36EB">
      <w:pPr>
        <w:pStyle w:val="Heading2"/>
        <w:jc w:val="center"/>
        <w:rPr>
          <w:sz w:val="24"/>
          <w:szCs w:val="24"/>
        </w:rPr>
      </w:pPr>
      <w:r w:rsidRPr="00AE3BF5">
        <w:rPr>
          <w:sz w:val="24"/>
          <w:szCs w:val="24"/>
        </w:rPr>
        <w:t>Issues</w:t>
      </w:r>
    </w:p>
    <w:p w14:paraId="724E6325" w14:textId="77777777" w:rsidR="002D36EB" w:rsidRPr="00AE3BF5" w:rsidRDefault="002D36EB" w:rsidP="002D36EB">
      <w:pPr>
        <w:rPr>
          <w:szCs w:val="24"/>
        </w:rPr>
      </w:pPr>
    </w:p>
    <w:p w14:paraId="443E6EA3" w14:textId="77777777" w:rsidR="002D36EB" w:rsidRDefault="002D36EB" w:rsidP="002D36EB">
      <w:pPr>
        <w:rPr>
          <w:szCs w:val="24"/>
        </w:rPr>
      </w:pPr>
      <w:r w:rsidRPr="00AE3BF5">
        <w:rPr>
          <w:szCs w:val="24"/>
        </w:rPr>
        <w:tab/>
      </w:r>
      <w:r w:rsidRPr="00AE3BF5">
        <w:rPr>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14:paraId="2A274825" w14:textId="77777777" w:rsidR="002D36EB" w:rsidRPr="00AE3BF5" w:rsidRDefault="002D36EB" w:rsidP="002D36EB">
      <w:pPr>
        <w:rPr>
          <w:szCs w:val="24"/>
        </w:rPr>
      </w:pPr>
    </w:p>
    <w:p w14:paraId="4007809E" w14:textId="77777777" w:rsidR="002D36EB" w:rsidRPr="00AE3BF5" w:rsidRDefault="002D36EB" w:rsidP="002D36EB">
      <w:pPr>
        <w:jc w:val="center"/>
        <w:rPr>
          <w:b/>
          <w:u w:val="single"/>
        </w:rPr>
      </w:pPr>
      <w:r w:rsidRPr="00AE3BF5">
        <w:rPr>
          <w:b/>
          <w:u w:val="single"/>
        </w:rPr>
        <w:t>Discovery</w:t>
      </w:r>
    </w:p>
    <w:p w14:paraId="7ADE0AAE" w14:textId="77777777" w:rsidR="002D36EB" w:rsidRPr="00AE3BF5" w:rsidRDefault="002D36EB" w:rsidP="002D36EB">
      <w:pPr>
        <w:rPr>
          <w:szCs w:val="24"/>
        </w:rPr>
      </w:pPr>
    </w:p>
    <w:p w14:paraId="334CBAE2" w14:textId="5A91368A" w:rsidR="002D36EB" w:rsidRDefault="002D36EB" w:rsidP="002D36EB">
      <w:pPr>
        <w:rPr>
          <w:szCs w:val="24"/>
        </w:rPr>
      </w:pPr>
      <w:r w:rsidRPr="00AE3BF5">
        <w:rPr>
          <w:szCs w:val="24"/>
        </w:rPr>
        <w:tab/>
      </w:r>
      <w:r w:rsidRPr="00AE3BF5">
        <w:rPr>
          <w:szCs w:val="24"/>
        </w:rPr>
        <w:tab/>
        <w:t xml:space="preserve">The parties shall engage in informal discovery whenever and wherever possible in an attempt to resolve any discovery disputes amicably.  52 Pa.Code § 5.322.  If this process fails, the parties have recourse to the Commission’s procedures for formal discovery, as herein modified.  52 Pa.Code §§ 5.321, </w:t>
      </w:r>
      <w:r w:rsidRPr="00AE3BF5">
        <w:rPr>
          <w:i/>
          <w:szCs w:val="24"/>
        </w:rPr>
        <w:t>et</w:t>
      </w:r>
      <w:r w:rsidRPr="00AE3BF5">
        <w:rPr>
          <w:szCs w:val="24"/>
        </w:rPr>
        <w:t xml:space="preserve"> </w:t>
      </w:r>
      <w:r w:rsidRPr="00AE3BF5">
        <w:rPr>
          <w:i/>
          <w:szCs w:val="24"/>
        </w:rPr>
        <w:t>seq</w:t>
      </w:r>
      <w:r w:rsidRPr="00AE3BF5">
        <w:rPr>
          <w:szCs w:val="24"/>
        </w:rPr>
        <w:t xml:space="preserve">.  The parties must not send the </w:t>
      </w:r>
      <w:r w:rsidR="00690A50">
        <w:rPr>
          <w:szCs w:val="24"/>
        </w:rPr>
        <w:t>Presiding</w:t>
      </w:r>
      <w:r w:rsidRPr="00AE3BF5">
        <w:rPr>
          <w:szCs w:val="24"/>
        </w:rPr>
        <w:t xml:space="preserve"> ALJ</w:t>
      </w:r>
      <w:r w:rsidR="00FA1EE7">
        <w:rPr>
          <w:szCs w:val="24"/>
        </w:rPr>
        <w:t>s</w:t>
      </w:r>
      <w:r w:rsidRPr="00AE3BF5">
        <w:rPr>
          <w:szCs w:val="24"/>
        </w:rPr>
        <w:t xml:space="preserve"> discovery material or cover letters, unless attached to a motion to compel.  </w:t>
      </w:r>
      <w:r w:rsidRPr="00AE3BF5">
        <w:rPr>
          <w:b/>
          <w:szCs w:val="24"/>
        </w:rPr>
        <w:t>All motions to compel must contain a certification of counsel of the informal discovery undertaken and their efforts to resolve their discovery disputes informally.</w:t>
      </w:r>
      <w:r w:rsidRPr="00AE3BF5">
        <w:rPr>
          <w:szCs w:val="24"/>
        </w:rPr>
        <w:t xml:space="preserve">  If a motion to compel fails to contain such certification, the </w:t>
      </w:r>
      <w:r w:rsidR="00690A50">
        <w:rPr>
          <w:szCs w:val="24"/>
        </w:rPr>
        <w:t>Presiding</w:t>
      </w:r>
      <w:r w:rsidRPr="00AE3BF5">
        <w:rPr>
          <w:szCs w:val="24"/>
        </w:rPr>
        <w:t xml:space="preserve"> ALJ</w:t>
      </w:r>
      <w:r w:rsidR="00FA1EE7">
        <w:rPr>
          <w:szCs w:val="24"/>
        </w:rPr>
        <w:t>s</w:t>
      </w:r>
      <w:r w:rsidRPr="00AE3BF5">
        <w:rPr>
          <w:szCs w:val="24"/>
        </w:rPr>
        <w:t xml:space="preserve"> will contact the parties and direct them to pursue informal discovery.</w:t>
      </w:r>
    </w:p>
    <w:p w14:paraId="21AA4BBE" w14:textId="77777777" w:rsidR="002D36EB" w:rsidRDefault="002D36EB" w:rsidP="002D36EB">
      <w:pPr>
        <w:rPr>
          <w:szCs w:val="24"/>
        </w:rPr>
      </w:pPr>
    </w:p>
    <w:p w14:paraId="1D28711F" w14:textId="3CDD4BC1" w:rsidR="002D36EB" w:rsidRPr="0033180B" w:rsidRDefault="002D36EB" w:rsidP="002D36EB">
      <w:pPr>
        <w:rPr>
          <w:szCs w:val="24"/>
        </w:rPr>
      </w:pPr>
      <w:r w:rsidRPr="00C055EF">
        <w:rPr>
          <w:szCs w:val="24"/>
        </w:rPr>
        <w:tab/>
      </w:r>
      <w:r w:rsidRPr="00C055EF">
        <w:rPr>
          <w:szCs w:val="24"/>
        </w:rPr>
        <w:tab/>
      </w:r>
      <w:r>
        <w:rPr>
          <w:szCs w:val="24"/>
        </w:rPr>
        <w:t xml:space="preserve">At the prehearing conference, the </w:t>
      </w:r>
      <w:r w:rsidR="0004051F">
        <w:rPr>
          <w:szCs w:val="24"/>
        </w:rPr>
        <w:t xml:space="preserve">following modifications of </w:t>
      </w:r>
      <w:r w:rsidRPr="00AD30FA">
        <w:rPr>
          <w:szCs w:val="24"/>
        </w:rPr>
        <w:t>the</w:t>
      </w:r>
      <w:r w:rsidRPr="0033180B">
        <w:rPr>
          <w:szCs w:val="24"/>
        </w:rPr>
        <w:t xml:space="preserve"> Commission’s procedures for formal discovery</w:t>
      </w:r>
      <w:r>
        <w:rPr>
          <w:szCs w:val="24"/>
        </w:rPr>
        <w:t xml:space="preserve"> were adopted</w:t>
      </w:r>
      <w:r w:rsidR="00E350A6">
        <w:rPr>
          <w:szCs w:val="24"/>
        </w:rPr>
        <w:t>, effective upon the conclusion of the prehearing conference</w:t>
      </w:r>
      <w:r w:rsidRPr="0033180B">
        <w:rPr>
          <w:szCs w:val="24"/>
        </w:rPr>
        <w:t>:</w:t>
      </w:r>
    </w:p>
    <w:p w14:paraId="33887579" w14:textId="77777777" w:rsidR="002D36EB" w:rsidRPr="0033180B" w:rsidRDefault="002D36EB" w:rsidP="002D36EB">
      <w:pPr>
        <w:rPr>
          <w:szCs w:val="24"/>
        </w:rPr>
      </w:pPr>
    </w:p>
    <w:p w14:paraId="42BEA9CC" w14:textId="77777777" w:rsidR="00701E62" w:rsidRDefault="00701E62" w:rsidP="00701E62">
      <w:pPr>
        <w:pStyle w:val="ListParagraph"/>
        <w:numPr>
          <w:ilvl w:val="0"/>
          <w:numId w:val="1"/>
        </w:numPr>
        <w:spacing w:line="240" w:lineRule="auto"/>
        <w:ind w:right="1440"/>
      </w:pPr>
      <w:r>
        <w:t xml:space="preserve">Answers to interrogatories and responses to requests for document production, entry for inspection, or other purposes shall be served within ten (10) calendar days of service of the interrogatories or requests for production. </w:t>
      </w:r>
    </w:p>
    <w:p w14:paraId="2FBA7FD7" w14:textId="77777777" w:rsidR="00CC31BD" w:rsidRDefault="00701E62" w:rsidP="00701E62">
      <w:pPr>
        <w:pStyle w:val="ListParagraph"/>
        <w:numPr>
          <w:ilvl w:val="0"/>
          <w:numId w:val="1"/>
        </w:numPr>
        <w:spacing w:line="240" w:lineRule="auto"/>
        <w:ind w:right="1440"/>
      </w:pPr>
      <w:r>
        <w:lastRenderedPageBreak/>
        <w:t xml:space="preserve">Objections to interrogatories and/or requests for production shall be communicated orally to the propounding party within three (3) calendar days of service; unresolved objections shall be served in writing on the propounding party within five (5) calendar days of service of the interrogatories and/or requests for production. </w:t>
      </w:r>
    </w:p>
    <w:p w14:paraId="05083FB9" w14:textId="77777777" w:rsidR="00BC7138" w:rsidRDefault="00BC7138" w:rsidP="00BC7138">
      <w:pPr>
        <w:pStyle w:val="ListParagraph"/>
        <w:spacing w:line="240" w:lineRule="auto"/>
        <w:ind w:left="1800" w:right="1440"/>
      </w:pPr>
    </w:p>
    <w:p w14:paraId="05D7779B" w14:textId="77777777" w:rsidR="00CC31BD" w:rsidRDefault="00701E62" w:rsidP="00701E62">
      <w:pPr>
        <w:pStyle w:val="ListParagraph"/>
        <w:numPr>
          <w:ilvl w:val="0"/>
          <w:numId w:val="1"/>
        </w:numPr>
        <w:spacing w:line="240" w:lineRule="auto"/>
        <w:ind w:right="1440"/>
      </w:pPr>
      <w:r>
        <w:t xml:space="preserve">Motions to dismiss objections and/or direct the answering of interrogatories and/or requests for production shall be filed within three (3) calendar days of service of written objections. </w:t>
      </w:r>
    </w:p>
    <w:p w14:paraId="0AB261A7" w14:textId="77777777" w:rsidR="00BC7138" w:rsidRDefault="00BC7138" w:rsidP="00BC7138">
      <w:pPr>
        <w:pStyle w:val="ListParagraph"/>
        <w:spacing w:line="240" w:lineRule="auto"/>
        <w:ind w:left="1800" w:right="1440"/>
      </w:pPr>
    </w:p>
    <w:p w14:paraId="50A791A6" w14:textId="77777777" w:rsidR="00201B3C" w:rsidRDefault="00701E62" w:rsidP="00201B3C">
      <w:pPr>
        <w:pStyle w:val="ListParagraph"/>
        <w:numPr>
          <w:ilvl w:val="0"/>
          <w:numId w:val="1"/>
        </w:numPr>
        <w:spacing w:line="240" w:lineRule="auto"/>
        <w:ind w:right="1440"/>
      </w:pPr>
      <w:r>
        <w:t xml:space="preserve">Answers to motions to dismiss objections and/or direct the answering of interrogatories and/or requests for production shall be filed within three (3) calendar days of service of such motions. </w:t>
      </w:r>
    </w:p>
    <w:p w14:paraId="478B766E" w14:textId="77777777" w:rsidR="00201B3C" w:rsidRDefault="00201B3C" w:rsidP="00201B3C">
      <w:pPr>
        <w:pStyle w:val="ListParagraph"/>
      </w:pPr>
    </w:p>
    <w:p w14:paraId="533EA5EE" w14:textId="590EA4F7" w:rsidR="00201B3C" w:rsidRDefault="00701E62" w:rsidP="00201B3C">
      <w:pPr>
        <w:pStyle w:val="ListParagraph"/>
        <w:numPr>
          <w:ilvl w:val="0"/>
          <w:numId w:val="1"/>
        </w:numPr>
        <w:spacing w:line="240" w:lineRule="auto"/>
        <w:ind w:right="1440"/>
      </w:pPr>
      <w:r>
        <w:t xml:space="preserve">Requests for admission be deemed admitted unless answered within ten (10) days or objected to within five (5) days of service. </w:t>
      </w:r>
    </w:p>
    <w:p w14:paraId="2D6693BE" w14:textId="7C8F2977" w:rsidR="00201B3C" w:rsidRDefault="00201B3C" w:rsidP="00201B3C">
      <w:pPr>
        <w:pStyle w:val="ListParagraph"/>
        <w:spacing w:line="240" w:lineRule="auto"/>
        <w:ind w:left="1800" w:right="1440"/>
      </w:pPr>
    </w:p>
    <w:p w14:paraId="13E76687" w14:textId="77777777" w:rsidR="00BC7138" w:rsidRDefault="00701E62" w:rsidP="00701E62">
      <w:pPr>
        <w:pStyle w:val="ListParagraph"/>
        <w:numPr>
          <w:ilvl w:val="0"/>
          <w:numId w:val="1"/>
        </w:numPr>
        <w:spacing w:line="240" w:lineRule="auto"/>
        <w:ind w:right="1440"/>
      </w:pPr>
      <w:r>
        <w:t xml:space="preserve">Discovery requests and discovery related pleadings (such as objections, motions, and answers to same) served after 4:30 p.m. Monday through Thursday or after 12:00 p.m. on a Friday or the day preceding a holiday shall be deemed to have been served on the next business day. </w:t>
      </w:r>
    </w:p>
    <w:p w14:paraId="1ACC6668" w14:textId="77777777" w:rsidR="00201B3C" w:rsidRDefault="00201B3C" w:rsidP="00201B3C">
      <w:pPr>
        <w:pStyle w:val="ListParagraph"/>
        <w:spacing w:line="240" w:lineRule="auto"/>
        <w:ind w:left="1800" w:right="1440"/>
      </w:pPr>
    </w:p>
    <w:p w14:paraId="000B436E" w14:textId="7067E217" w:rsidR="002D36EB" w:rsidRDefault="00701E62" w:rsidP="00701E62">
      <w:pPr>
        <w:pStyle w:val="ListParagraph"/>
        <w:numPr>
          <w:ilvl w:val="0"/>
          <w:numId w:val="1"/>
        </w:numPr>
        <w:spacing w:line="240" w:lineRule="auto"/>
        <w:ind w:right="1440"/>
      </w:pPr>
      <w:r>
        <w:t xml:space="preserve">Answers to on the Record Data requests will be served within five (5) calendar days. </w:t>
      </w:r>
    </w:p>
    <w:p w14:paraId="471D88A2" w14:textId="77777777" w:rsidR="00701E62" w:rsidRPr="00701E62" w:rsidRDefault="00701E62" w:rsidP="000A2419">
      <w:pPr>
        <w:ind w:right="1440"/>
        <w:rPr>
          <w:szCs w:val="24"/>
        </w:rPr>
      </w:pPr>
    </w:p>
    <w:p w14:paraId="4B2693B3" w14:textId="77777777" w:rsidR="002D36EB" w:rsidRPr="00AE3BF5" w:rsidRDefault="002D36EB" w:rsidP="002D36EB">
      <w:pPr>
        <w:pStyle w:val="Footer"/>
        <w:tabs>
          <w:tab w:val="clear" w:pos="4320"/>
          <w:tab w:val="clear" w:pos="8640"/>
        </w:tabs>
        <w:jc w:val="center"/>
        <w:rPr>
          <w:b/>
          <w:szCs w:val="24"/>
          <w:u w:val="single"/>
        </w:rPr>
      </w:pPr>
      <w:r w:rsidRPr="00AE3BF5">
        <w:rPr>
          <w:b/>
          <w:szCs w:val="24"/>
          <w:u w:val="single"/>
        </w:rPr>
        <w:t>Protective Order</w:t>
      </w:r>
    </w:p>
    <w:p w14:paraId="21FD1FD8" w14:textId="77777777" w:rsidR="002D36EB" w:rsidRPr="00AE3BF5" w:rsidRDefault="002D36EB" w:rsidP="002D36EB">
      <w:pPr>
        <w:pStyle w:val="Footer"/>
        <w:tabs>
          <w:tab w:val="clear" w:pos="4320"/>
          <w:tab w:val="clear" w:pos="8640"/>
        </w:tabs>
        <w:jc w:val="center"/>
        <w:rPr>
          <w:b/>
          <w:szCs w:val="24"/>
          <w:u w:val="single"/>
        </w:rPr>
      </w:pPr>
    </w:p>
    <w:p w14:paraId="06BB6F2C" w14:textId="77777777" w:rsidR="002D36EB" w:rsidRPr="00AE3BF5" w:rsidRDefault="002D36EB" w:rsidP="002D36EB">
      <w:pPr>
        <w:pStyle w:val="Footer"/>
        <w:tabs>
          <w:tab w:val="clear" w:pos="4320"/>
          <w:tab w:val="clear" w:pos="8640"/>
        </w:tabs>
        <w:rPr>
          <w:szCs w:val="24"/>
        </w:rPr>
      </w:pPr>
      <w:r w:rsidRPr="00AE3BF5">
        <w:rPr>
          <w:szCs w:val="24"/>
        </w:rPr>
        <w:tab/>
      </w:r>
      <w:r w:rsidRPr="00AE3BF5">
        <w:rPr>
          <w:szCs w:val="24"/>
        </w:rPr>
        <w:tab/>
        <w:t xml:space="preserve">The parties must comply with 52 Pa.Code § 5.362 regarding the preparation and filing of a motion for a protective order.  If a party files a motion for a protective order, it must submit </w:t>
      </w:r>
      <w:r>
        <w:rPr>
          <w:szCs w:val="24"/>
        </w:rPr>
        <w:t>a copy of the proposed protective order</w:t>
      </w:r>
      <w:r w:rsidRPr="00AE3BF5">
        <w:rPr>
          <w:szCs w:val="24"/>
        </w:rPr>
        <w:t xml:space="preserve"> to the Presiding A</w:t>
      </w:r>
      <w:r>
        <w:rPr>
          <w:szCs w:val="24"/>
        </w:rPr>
        <w:t xml:space="preserve">LJ by email </w:t>
      </w:r>
      <w:r w:rsidRPr="00AE3BF5">
        <w:rPr>
          <w:b/>
          <w:szCs w:val="24"/>
        </w:rPr>
        <w:t xml:space="preserve">in </w:t>
      </w:r>
      <w:r>
        <w:rPr>
          <w:b/>
          <w:szCs w:val="24"/>
        </w:rPr>
        <w:t xml:space="preserve">a </w:t>
      </w:r>
      <w:r w:rsidRPr="00AE3BF5">
        <w:rPr>
          <w:b/>
          <w:i/>
          <w:szCs w:val="24"/>
        </w:rPr>
        <w:t xml:space="preserve">Microsoft Office Word </w:t>
      </w:r>
      <w:r w:rsidRPr="00AE3BF5">
        <w:rPr>
          <w:b/>
          <w:szCs w:val="24"/>
        </w:rPr>
        <w:t>format.</w:t>
      </w:r>
      <w:r w:rsidRPr="00AE3BF5">
        <w:rPr>
          <w:szCs w:val="24"/>
        </w:rPr>
        <w:t xml:space="preserve">  </w:t>
      </w:r>
    </w:p>
    <w:p w14:paraId="5FA4AC52" w14:textId="77777777" w:rsidR="002D36EB" w:rsidRDefault="002D36EB" w:rsidP="002D36EB">
      <w:pPr>
        <w:pStyle w:val="Footer"/>
        <w:tabs>
          <w:tab w:val="clear" w:pos="4320"/>
          <w:tab w:val="clear" w:pos="8640"/>
        </w:tabs>
        <w:jc w:val="center"/>
        <w:rPr>
          <w:b/>
          <w:szCs w:val="24"/>
          <w:u w:val="single"/>
        </w:rPr>
      </w:pPr>
    </w:p>
    <w:p w14:paraId="4B73AE9D" w14:textId="77777777" w:rsidR="002D36EB" w:rsidRDefault="002D36EB" w:rsidP="002D36EB">
      <w:pPr>
        <w:pStyle w:val="Footer"/>
        <w:tabs>
          <w:tab w:val="clear" w:pos="4320"/>
          <w:tab w:val="clear" w:pos="8640"/>
        </w:tabs>
        <w:jc w:val="center"/>
        <w:rPr>
          <w:b/>
          <w:szCs w:val="24"/>
          <w:u w:val="single"/>
        </w:rPr>
      </w:pPr>
      <w:r w:rsidRPr="00AE3BF5">
        <w:rPr>
          <w:b/>
          <w:szCs w:val="24"/>
          <w:u w:val="single"/>
        </w:rPr>
        <w:t xml:space="preserve">Settlement </w:t>
      </w:r>
    </w:p>
    <w:p w14:paraId="2FFE9B4C" w14:textId="77777777" w:rsidR="002D36EB" w:rsidRPr="00AE3BF5" w:rsidRDefault="002D36EB" w:rsidP="002D36EB">
      <w:pPr>
        <w:pStyle w:val="Footer"/>
        <w:tabs>
          <w:tab w:val="clear" w:pos="4320"/>
          <w:tab w:val="clear" w:pos="8640"/>
        </w:tabs>
        <w:jc w:val="center"/>
        <w:rPr>
          <w:szCs w:val="24"/>
        </w:rPr>
      </w:pPr>
    </w:p>
    <w:p w14:paraId="014C8A90" w14:textId="77777777" w:rsidR="00733312" w:rsidRDefault="002D36EB" w:rsidP="002D36EB">
      <w:pPr>
        <w:pStyle w:val="Footer"/>
        <w:tabs>
          <w:tab w:val="clear" w:pos="4320"/>
          <w:tab w:val="clear" w:pos="8640"/>
        </w:tabs>
        <w:rPr>
          <w:szCs w:val="24"/>
        </w:rPr>
      </w:pPr>
      <w:r w:rsidRPr="00AE3BF5">
        <w:rPr>
          <w:szCs w:val="24"/>
        </w:rPr>
        <w:tab/>
      </w:r>
      <w:r w:rsidRPr="00AE3BF5">
        <w:rPr>
          <w:szCs w:val="24"/>
        </w:rPr>
        <w:tab/>
        <w:t xml:space="preserve">The parties are reminded it is the Commission’s policy to encourage settlements.  </w:t>
      </w:r>
    </w:p>
    <w:p w14:paraId="5598796A" w14:textId="02F16216" w:rsidR="002D36EB" w:rsidRPr="00AE3BF5" w:rsidRDefault="002D36EB" w:rsidP="002D36EB">
      <w:pPr>
        <w:pStyle w:val="Footer"/>
        <w:tabs>
          <w:tab w:val="clear" w:pos="4320"/>
          <w:tab w:val="clear" w:pos="8640"/>
        </w:tabs>
        <w:rPr>
          <w:szCs w:val="24"/>
        </w:rPr>
      </w:pPr>
      <w:r w:rsidRPr="00AE3BF5">
        <w:rPr>
          <w:szCs w:val="24"/>
        </w:rPr>
        <w:t xml:space="preserve">52 Pa.Code § 5.231(a).  The parties are strongly urged to seriously explore this possibility.  </w:t>
      </w:r>
    </w:p>
    <w:p w14:paraId="493BA9F0" w14:textId="77777777" w:rsidR="002D36EB" w:rsidRPr="00235FAB" w:rsidRDefault="002D36EB" w:rsidP="002D36EB">
      <w:pPr>
        <w:pStyle w:val="Footer"/>
        <w:tabs>
          <w:tab w:val="clear" w:pos="4320"/>
          <w:tab w:val="clear" w:pos="8640"/>
        </w:tabs>
        <w:rPr>
          <w:bCs/>
          <w:szCs w:val="24"/>
        </w:rPr>
      </w:pPr>
      <w:r w:rsidRPr="00AE3BF5">
        <w:rPr>
          <w:szCs w:val="24"/>
        </w:rPr>
        <w:lastRenderedPageBreak/>
        <w:tab/>
      </w:r>
      <w:r w:rsidRPr="00AE3BF5">
        <w:rPr>
          <w:szCs w:val="24"/>
        </w:rPr>
        <w:tab/>
      </w:r>
      <w:r w:rsidRPr="00235FAB">
        <w:rPr>
          <w:bCs/>
          <w:szCs w:val="24"/>
        </w:rPr>
        <w:t xml:space="preserve">In the event that a </w:t>
      </w:r>
      <w:r w:rsidRPr="00235FAB">
        <w:rPr>
          <w:bCs/>
          <w:szCs w:val="24"/>
          <w:u w:val="single"/>
        </w:rPr>
        <w:t>partial settlement</w:t>
      </w:r>
      <w:r w:rsidRPr="00235FAB">
        <w:rPr>
          <w:bCs/>
          <w:szCs w:val="24"/>
        </w:rPr>
        <w:t xml:space="preserve"> is achieved, the parties should be prepared to proceed on the first scheduled day of hearing to present evidence on the non-resolved issues.</w:t>
      </w:r>
    </w:p>
    <w:p w14:paraId="10F33E59" w14:textId="77777777" w:rsidR="002D36EB" w:rsidRDefault="002D36EB" w:rsidP="002D36EB">
      <w:pPr>
        <w:ind w:firstLine="1440"/>
        <w:rPr>
          <w:b/>
          <w:szCs w:val="24"/>
        </w:rPr>
      </w:pPr>
    </w:p>
    <w:p w14:paraId="5EAB8DDC" w14:textId="0B2914AF" w:rsidR="002D36EB" w:rsidRDefault="002D36EB" w:rsidP="002D36EB">
      <w:pPr>
        <w:ind w:firstLine="1440"/>
        <w:rPr>
          <w:bCs/>
          <w:szCs w:val="24"/>
        </w:rPr>
      </w:pPr>
      <w:r w:rsidRPr="00235FAB">
        <w:rPr>
          <w:bCs/>
          <w:szCs w:val="24"/>
        </w:rPr>
        <w:t xml:space="preserve">In the event that a </w:t>
      </w:r>
      <w:r w:rsidRPr="00235FAB">
        <w:rPr>
          <w:bCs/>
          <w:szCs w:val="24"/>
          <w:u w:val="single"/>
        </w:rPr>
        <w:t>full settlement</w:t>
      </w:r>
      <w:r w:rsidRPr="00235FAB">
        <w:rPr>
          <w:bCs/>
          <w:szCs w:val="24"/>
        </w:rPr>
        <w:t xml:space="preserve"> is achieved, the parties should notify the </w:t>
      </w:r>
      <w:r w:rsidR="00690A50">
        <w:rPr>
          <w:bCs/>
          <w:szCs w:val="24"/>
        </w:rPr>
        <w:t>Presiding</w:t>
      </w:r>
      <w:r>
        <w:rPr>
          <w:bCs/>
          <w:szCs w:val="24"/>
        </w:rPr>
        <w:t xml:space="preserve"> ALJ</w:t>
      </w:r>
      <w:r w:rsidR="00346D8E">
        <w:rPr>
          <w:bCs/>
          <w:szCs w:val="24"/>
        </w:rPr>
        <w:t>s</w:t>
      </w:r>
      <w:r>
        <w:rPr>
          <w:bCs/>
          <w:szCs w:val="24"/>
        </w:rPr>
        <w:t xml:space="preserve"> as soon as possible prior to the scheduled hearings, but no later than </w:t>
      </w:r>
      <w:r w:rsidR="000B54A4">
        <w:rPr>
          <w:b/>
          <w:szCs w:val="24"/>
          <w:u w:val="single"/>
        </w:rPr>
        <w:t>4:00</w:t>
      </w:r>
      <w:r>
        <w:rPr>
          <w:b/>
          <w:szCs w:val="24"/>
          <w:u w:val="single"/>
        </w:rPr>
        <w:t xml:space="preserve"> </w:t>
      </w:r>
      <w:r w:rsidR="000B54A4">
        <w:rPr>
          <w:b/>
          <w:szCs w:val="24"/>
          <w:u w:val="single"/>
        </w:rPr>
        <w:t>p</w:t>
      </w:r>
      <w:r>
        <w:rPr>
          <w:b/>
          <w:szCs w:val="24"/>
          <w:u w:val="single"/>
        </w:rPr>
        <w:t>.m.</w:t>
      </w:r>
      <w:r w:rsidRPr="00235FAB">
        <w:rPr>
          <w:b/>
          <w:szCs w:val="24"/>
          <w:u w:val="single"/>
        </w:rPr>
        <w:t xml:space="preserve"> </w:t>
      </w:r>
      <w:r>
        <w:rPr>
          <w:b/>
          <w:szCs w:val="24"/>
          <w:u w:val="single"/>
        </w:rPr>
        <w:t>on</w:t>
      </w:r>
      <w:r w:rsidRPr="00F75C5C">
        <w:rPr>
          <w:b/>
          <w:bCs/>
          <w:szCs w:val="24"/>
          <w:u w:val="single"/>
        </w:rPr>
        <w:t xml:space="preserve"> </w:t>
      </w:r>
      <w:r>
        <w:rPr>
          <w:b/>
          <w:bCs/>
          <w:szCs w:val="24"/>
          <w:u w:val="single"/>
        </w:rPr>
        <w:t>Monday</w:t>
      </w:r>
      <w:r w:rsidRPr="00AE3BF5">
        <w:rPr>
          <w:b/>
          <w:bCs/>
          <w:szCs w:val="24"/>
          <w:u w:val="single"/>
        </w:rPr>
        <w:t xml:space="preserve">, </w:t>
      </w:r>
      <w:r w:rsidR="000B54A4">
        <w:rPr>
          <w:b/>
          <w:bCs/>
          <w:szCs w:val="24"/>
          <w:u w:val="single"/>
        </w:rPr>
        <w:t>August</w:t>
      </w:r>
      <w:r w:rsidRPr="00AE3BF5">
        <w:rPr>
          <w:b/>
          <w:bCs/>
          <w:szCs w:val="24"/>
          <w:u w:val="single"/>
        </w:rPr>
        <w:t xml:space="preserve"> </w:t>
      </w:r>
      <w:r w:rsidR="00713665">
        <w:rPr>
          <w:b/>
          <w:bCs/>
          <w:szCs w:val="24"/>
          <w:u w:val="single"/>
        </w:rPr>
        <w:t>7</w:t>
      </w:r>
      <w:r w:rsidRPr="00AE3BF5">
        <w:rPr>
          <w:b/>
          <w:bCs/>
          <w:szCs w:val="24"/>
          <w:u w:val="single"/>
        </w:rPr>
        <w:t>, 202</w:t>
      </w:r>
      <w:r>
        <w:rPr>
          <w:b/>
          <w:bCs/>
          <w:szCs w:val="24"/>
          <w:u w:val="single"/>
        </w:rPr>
        <w:t>3</w:t>
      </w:r>
      <w:r>
        <w:rPr>
          <w:bCs/>
          <w:szCs w:val="24"/>
        </w:rPr>
        <w:t xml:space="preserve">.  If the parties reach a full settlement, they </w:t>
      </w:r>
      <w:r w:rsidR="00713665">
        <w:rPr>
          <w:bCs/>
          <w:szCs w:val="24"/>
        </w:rPr>
        <w:t xml:space="preserve">must still plan on convening </w:t>
      </w:r>
      <w:r w:rsidR="00AC3056">
        <w:rPr>
          <w:bCs/>
          <w:szCs w:val="24"/>
        </w:rPr>
        <w:t xml:space="preserve">as scheduled on August 10, 2023.  </w:t>
      </w:r>
      <w:r>
        <w:rPr>
          <w:bCs/>
          <w:szCs w:val="24"/>
        </w:rPr>
        <w:t xml:space="preserve"> </w:t>
      </w:r>
    </w:p>
    <w:p w14:paraId="766E0D3B" w14:textId="77777777" w:rsidR="002D36EB" w:rsidRDefault="002D36EB" w:rsidP="002D36EB">
      <w:pPr>
        <w:ind w:firstLine="1440"/>
        <w:rPr>
          <w:bCs/>
          <w:szCs w:val="24"/>
        </w:rPr>
      </w:pPr>
    </w:p>
    <w:p w14:paraId="0E4E000D" w14:textId="40127B09" w:rsidR="002D36EB" w:rsidRPr="00F06A8E" w:rsidRDefault="002D36EB" w:rsidP="002D36EB">
      <w:pPr>
        <w:pStyle w:val="Footer"/>
        <w:tabs>
          <w:tab w:val="clear" w:pos="4320"/>
          <w:tab w:val="clear" w:pos="8640"/>
        </w:tabs>
        <w:ind w:firstLine="1440"/>
        <w:rPr>
          <w:b/>
          <w:bCs/>
          <w:szCs w:val="24"/>
          <w:u w:val="single"/>
        </w:rPr>
      </w:pPr>
      <w:r>
        <w:rPr>
          <w:szCs w:val="24"/>
        </w:rPr>
        <w:t>A</w:t>
      </w:r>
      <w:r w:rsidRPr="00AE3BF5">
        <w:rPr>
          <w:szCs w:val="24"/>
        </w:rPr>
        <w:t xml:space="preserve"> Joint Settlement Petition</w:t>
      </w:r>
      <w:r>
        <w:rPr>
          <w:szCs w:val="24"/>
        </w:rPr>
        <w:t>, if any, must be</w:t>
      </w:r>
      <w:r w:rsidRPr="00AE3BF5">
        <w:rPr>
          <w:szCs w:val="24"/>
        </w:rPr>
        <w:t xml:space="preserve"> executed by representatives of all parties, </w:t>
      </w:r>
      <w:r>
        <w:rPr>
          <w:szCs w:val="24"/>
        </w:rPr>
        <w:t xml:space="preserve">and, </w:t>
      </w:r>
      <w:r w:rsidRPr="00AE3BF5">
        <w:rPr>
          <w:szCs w:val="24"/>
        </w:rPr>
        <w:t xml:space="preserve">together with all parties’ Statements In Support of Settlement, must be filed with the </w:t>
      </w:r>
      <w:r>
        <w:rPr>
          <w:szCs w:val="24"/>
        </w:rPr>
        <w:t>Secretary’s Bureau</w:t>
      </w:r>
      <w:r w:rsidRPr="00AE3BF5">
        <w:rPr>
          <w:szCs w:val="24"/>
        </w:rPr>
        <w:t xml:space="preserve"> and received in-hand by the Presiding ALJ</w:t>
      </w:r>
      <w:r w:rsidR="001F5F9F">
        <w:rPr>
          <w:szCs w:val="24"/>
        </w:rPr>
        <w:t>s</w:t>
      </w:r>
      <w:r w:rsidRPr="00AE3BF5">
        <w:rPr>
          <w:szCs w:val="24"/>
        </w:rPr>
        <w:t xml:space="preserve"> no later than </w:t>
      </w:r>
      <w:r w:rsidRPr="00F06A8E">
        <w:rPr>
          <w:b/>
          <w:bCs/>
          <w:szCs w:val="24"/>
          <w:u w:val="single"/>
        </w:rPr>
        <w:t xml:space="preserve">4:00 p.m. on </w:t>
      </w:r>
      <w:r w:rsidR="00892351">
        <w:rPr>
          <w:b/>
          <w:bCs/>
          <w:szCs w:val="24"/>
          <w:u w:val="single"/>
        </w:rPr>
        <w:t>September 12, 2023.</w:t>
      </w:r>
      <w:r w:rsidRPr="00F06A8E">
        <w:rPr>
          <w:b/>
          <w:bCs/>
          <w:szCs w:val="24"/>
          <w:u w:val="single"/>
        </w:rPr>
        <w:t xml:space="preserve"> </w:t>
      </w:r>
    </w:p>
    <w:p w14:paraId="616499D5" w14:textId="77777777" w:rsidR="002D36EB" w:rsidRDefault="002D36EB" w:rsidP="002D36EB">
      <w:pPr>
        <w:jc w:val="center"/>
        <w:rPr>
          <w:b/>
          <w:szCs w:val="24"/>
          <w:u w:val="single"/>
        </w:rPr>
      </w:pPr>
    </w:p>
    <w:p w14:paraId="6B6E7989" w14:textId="77777777" w:rsidR="002D36EB" w:rsidRPr="006811A0" w:rsidRDefault="002D36EB" w:rsidP="002D36EB">
      <w:pPr>
        <w:jc w:val="center"/>
        <w:rPr>
          <w:b/>
          <w:szCs w:val="24"/>
          <w:u w:val="single"/>
        </w:rPr>
      </w:pPr>
      <w:r>
        <w:rPr>
          <w:b/>
          <w:szCs w:val="24"/>
          <w:u w:val="single"/>
        </w:rPr>
        <w:t>Stipulations</w:t>
      </w:r>
    </w:p>
    <w:p w14:paraId="083971F6" w14:textId="77777777" w:rsidR="002D36EB" w:rsidRDefault="002D36EB" w:rsidP="002D36EB">
      <w:pPr>
        <w:pStyle w:val="Footer"/>
        <w:tabs>
          <w:tab w:val="clear" w:pos="4320"/>
          <w:tab w:val="clear" w:pos="8640"/>
        </w:tabs>
        <w:rPr>
          <w:szCs w:val="24"/>
        </w:rPr>
      </w:pPr>
      <w:r>
        <w:rPr>
          <w:szCs w:val="24"/>
        </w:rPr>
        <w:tab/>
      </w:r>
      <w:r>
        <w:rPr>
          <w:szCs w:val="24"/>
        </w:rPr>
        <w:tab/>
      </w:r>
    </w:p>
    <w:p w14:paraId="1ED5A124" w14:textId="77777777" w:rsidR="002D36EB" w:rsidRDefault="002D36EB" w:rsidP="002D36EB">
      <w:pPr>
        <w:pStyle w:val="Footer"/>
        <w:tabs>
          <w:tab w:val="clear" w:pos="4320"/>
          <w:tab w:val="clear" w:pos="8640"/>
        </w:tabs>
        <w:rPr>
          <w:szCs w:val="24"/>
        </w:rPr>
      </w:pPr>
      <w:r>
        <w:rPr>
          <w:szCs w:val="24"/>
        </w:rPr>
        <w:tab/>
      </w:r>
      <w:r>
        <w:rPr>
          <w:szCs w:val="24"/>
        </w:rPr>
        <w:tab/>
      </w:r>
      <w:r w:rsidRPr="00AE3BF5">
        <w:rPr>
          <w:szCs w:val="24"/>
        </w:rPr>
        <w:t xml:space="preserve">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w:t>
      </w:r>
    </w:p>
    <w:p w14:paraId="0493B374" w14:textId="77777777" w:rsidR="002D36EB" w:rsidRDefault="002D36EB" w:rsidP="002D36EB">
      <w:pPr>
        <w:pStyle w:val="Footer"/>
        <w:tabs>
          <w:tab w:val="clear" w:pos="4320"/>
          <w:tab w:val="clear" w:pos="8640"/>
        </w:tabs>
        <w:rPr>
          <w:szCs w:val="24"/>
        </w:rPr>
      </w:pPr>
    </w:p>
    <w:p w14:paraId="315826A8" w14:textId="77777777" w:rsidR="002D36EB" w:rsidRDefault="002D36EB" w:rsidP="002D36EB">
      <w:pPr>
        <w:pStyle w:val="Footer"/>
        <w:tabs>
          <w:tab w:val="clear" w:pos="4320"/>
          <w:tab w:val="clear" w:pos="8640"/>
        </w:tabs>
        <w:rPr>
          <w:szCs w:val="24"/>
        </w:rPr>
      </w:pPr>
      <w:r>
        <w:rPr>
          <w:szCs w:val="24"/>
        </w:rPr>
        <w:tab/>
      </w:r>
      <w:r>
        <w:rPr>
          <w:szCs w:val="24"/>
        </w:rPr>
        <w:tab/>
      </w:r>
      <w:r w:rsidRPr="00AE3BF5">
        <w:rPr>
          <w:szCs w:val="24"/>
        </w:rPr>
        <w:t>All stipulations entered into by the parties must be reduced to writing, signed by the parties to be bound thereby, and moved into the record in this case</w:t>
      </w:r>
      <w:r>
        <w:rPr>
          <w:szCs w:val="24"/>
        </w:rPr>
        <w:t xml:space="preserve"> either orally at an evidentiary hearing or through a motion filed with the Secretary’s Bureau.  </w:t>
      </w:r>
    </w:p>
    <w:p w14:paraId="1DCFD9BE" w14:textId="77777777" w:rsidR="002D36EB" w:rsidRPr="00AE3BF5" w:rsidRDefault="002D36EB" w:rsidP="002D36EB">
      <w:pPr>
        <w:pStyle w:val="Footer"/>
        <w:tabs>
          <w:tab w:val="clear" w:pos="4320"/>
          <w:tab w:val="clear" w:pos="8640"/>
        </w:tabs>
        <w:jc w:val="center"/>
        <w:rPr>
          <w:b/>
          <w:szCs w:val="24"/>
          <w:u w:val="single"/>
        </w:rPr>
      </w:pPr>
    </w:p>
    <w:p w14:paraId="49E11847" w14:textId="77777777" w:rsidR="002D36EB" w:rsidRPr="00AE3BF5" w:rsidRDefault="002D36EB" w:rsidP="002D36EB">
      <w:pPr>
        <w:jc w:val="center"/>
        <w:rPr>
          <w:b/>
          <w:szCs w:val="24"/>
          <w:u w:val="single"/>
        </w:rPr>
      </w:pPr>
      <w:r w:rsidRPr="00AE3BF5">
        <w:rPr>
          <w:b/>
          <w:szCs w:val="24"/>
          <w:u w:val="single"/>
        </w:rPr>
        <w:t>Cross-Examination</w:t>
      </w:r>
    </w:p>
    <w:p w14:paraId="5B6D35DB" w14:textId="77777777" w:rsidR="002D36EB" w:rsidRPr="00AE3BF5" w:rsidRDefault="002D36EB" w:rsidP="002D36EB">
      <w:pPr>
        <w:pStyle w:val="Footer"/>
        <w:tabs>
          <w:tab w:val="clear" w:pos="4320"/>
          <w:tab w:val="clear" w:pos="8640"/>
        </w:tabs>
        <w:rPr>
          <w:szCs w:val="24"/>
        </w:rPr>
      </w:pPr>
    </w:p>
    <w:p w14:paraId="07B7F924" w14:textId="77777777" w:rsidR="002D36EB" w:rsidRPr="00AE3BF5" w:rsidRDefault="002D36EB" w:rsidP="002D36EB">
      <w:pPr>
        <w:pStyle w:val="Footer"/>
        <w:tabs>
          <w:tab w:val="clear" w:pos="4320"/>
          <w:tab w:val="clear" w:pos="8640"/>
        </w:tabs>
        <w:rPr>
          <w:szCs w:val="24"/>
        </w:rPr>
      </w:pPr>
      <w:r w:rsidRPr="00AE3BF5">
        <w:rPr>
          <w:szCs w:val="24"/>
        </w:rPr>
        <w:tab/>
      </w:r>
      <w:r w:rsidRPr="00AE3BF5">
        <w:rPr>
          <w:szCs w:val="24"/>
        </w:rPr>
        <w:tab/>
        <w:t>Friendly cross-examination or cumulative cross-examination during hearings will not be permitted.  52 Pa.Code §§ 5.76 &amp; 5.243.</w:t>
      </w:r>
    </w:p>
    <w:p w14:paraId="37DD80BE" w14:textId="77777777" w:rsidR="002D36EB" w:rsidRDefault="002D36EB" w:rsidP="002D36EB">
      <w:pPr>
        <w:pStyle w:val="Footer"/>
        <w:tabs>
          <w:tab w:val="clear" w:pos="4320"/>
          <w:tab w:val="clear" w:pos="8640"/>
        </w:tabs>
        <w:rPr>
          <w:szCs w:val="24"/>
        </w:rPr>
      </w:pPr>
    </w:p>
    <w:p w14:paraId="0E1DCE84" w14:textId="77777777" w:rsidR="009B4AD1" w:rsidRDefault="009B4AD1" w:rsidP="002D36EB">
      <w:pPr>
        <w:pStyle w:val="Footer"/>
        <w:tabs>
          <w:tab w:val="clear" w:pos="4320"/>
          <w:tab w:val="clear" w:pos="8640"/>
        </w:tabs>
        <w:rPr>
          <w:szCs w:val="24"/>
        </w:rPr>
      </w:pPr>
    </w:p>
    <w:p w14:paraId="13211E2F" w14:textId="77777777" w:rsidR="009B4AD1" w:rsidRDefault="009B4AD1" w:rsidP="002D36EB">
      <w:pPr>
        <w:pStyle w:val="Footer"/>
        <w:tabs>
          <w:tab w:val="clear" w:pos="4320"/>
          <w:tab w:val="clear" w:pos="8640"/>
        </w:tabs>
        <w:rPr>
          <w:szCs w:val="24"/>
        </w:rPr>
      </w:pPr>
    </w:p>
    <w:p w14:paraId="7E33CC0F" w14:textId="77777777" w:rsidR="002D36EB" w:rsidRPr="00AE3BF5" w:rsidRDefault="002D36EB" w:rsidP="002D36EB">
      <w:pPr>
        <w:pStyle w:val="Footer"/>
        <w:tabs>
          <w:tab w:val="clear" w:pos="4320"/>
          <w:tab w:val="clear" w:pos="8640"/>
        </w:tabs>
        <w:jc w:val="center"/>
        <w:rPr>
          <w:szCs w:val="24"/>
        </w:rPr>
      </w:pPr>
      <w:r w:rsidRPr="00AE3BF5">
        <w:rPr>
          <w:b/>
          <w:szCs w:val="24"/>
          <w:u w:val="single"/>
        </w:rPr>
        <w:lastRenderedPageBreak/>
        <w:t>Briefs</w:t>
      </w:r>
    </w:p>
    <w:p w14:paraId="24285CB4" w14:textId="77777777" w:rsidR="002D36EB" w:rsidRPr="00AE3BF5" w:rsidRDefault="002D36EB" w:rsidP="002D36EB">
      <w:pPr>
        <w:pStyle w:val="Footer"/>
        <w:tabs>
          <w:tab w:val="clear" w:pos="4320"/>
          <w:tab w:val="clear" w:pos="8640"/>
        </w:tabs>
        <w:rPr>
          <w:szCs w:val="24"/>
        </w:rPr>
      </w:pPr>
    </w:p>
    <w:p w14:paraId="3B79259B" w14:textId="1CAD5E4B" w:rsidR="002D36EB" w:rsidRPr="00AE3BF5" w:rsidRDefault="002D36EB" w:rsidP="002D36EB">
      <w:pPr>
        <w:pStyle w:val="Footer"/>
        <w:tabs>
          <w:tab w:val="clear" w:pos="4320"/>
          <w:tab w:val="clear" w:pos="8640"/>
        </w:tabs>
        <w:rPr>
          <w:szCs w:val="24"/>
        </w:rPr>
      </w:pPr>
      <w:r w:rsidRPr="00AE3BF5">
        <w:rPr>
          <w:szCs w:val="24"/>
        </w:rPr>
        <w:tab/>
      </w:r>
      <w:r w:rsidRPr="00AE3BF5">
        <w:rPr>
          <w:szCs w:val="24"/>
        </w:rPr>
        <w:tab/>
        <w:t xml:space="preserve">The parties must comply with 52 Pa.Code §§ 5.501, </w:t>
      </w:r>
      <w:r w:rsidRPr="00AE3BF5">
        <w:rPr>
          <w:i/>
          <w:szCs w:val="24"/>
        </w:rPr>
        <w:t>et</w:t>
      </w:r>
      <w:r w:rsidRPr="00AE3BF5">
        <w:rPr>
          <w:szCs w:val="24"/>
        </w:rPr>
        <w:t xml:space="preserve"> </w:t>
      </w:r>
      <w:r w:rsidRPr="00AE3BF5">
        <w:rPr>
          <w:i/>
          <w:szCs w:val="24"/>
        </w:rPr>
        <w:t>seq</w:t>
      </w:r>
      <w:r w:rsidRPr="00AE3BF5">
        <w:rPr>
          <w:szCs w:val="24"/>
        </w:rPr>
        <w:t xml:space="preserve">., regarding the preparation and filing of briefs.  Page limitations on briefs will be discussed on or before the last day of hearing.  </w:t>
      </w:r>
      <w:r>
        <w:rPr>
          <w:szCs w:val="24"/>
        </w:rPr>
        <w:t>T</w:t>
      </w:r>
      <w:r w:rsidRPr="00AE3BF5">
        <w:rPr>
          <w:szCs w:val="24"/>
        </w:rPr>
        <w:t xml:space="preserve">he parties shall submit </w:t>
      </w:r>
      <w:r>
        <w:rPr>
          <w:szCs w:val="24"/>
        </w:rPr>
        <w:t xml:space="preserve">an electronic copy of all briefs to </w:t>
      </w:r>
      <w:r w:rsidRPr="00AE3BF5">
        <w:rPr>
          <w:szCs w:val="24"/>
        </w:rPr>
        <w:t>the Presiding ALJ</w:t>
      </w:r>
      <w:r w:rsidR="00D941AC">
        <w:rPr>
          <w:szCs w:val="24"/>
        </w:rPr>
        <w:t>s</w:t>
      </w:r>
      <w:r w:rsidRPr="00AE3BF5">
        <w:rPr>
          <w:szCs w:val="24"/>
        </w:rPr>
        <w:t xml:space="preserve"> </w:t>
      </w:r>
      <w:r>
        <w:rPr>
          <w:b/>
          <w:szCs w:val="24"/>
        </w:rPr>
        <w:t xml:space="preserve">in a </w:t>
      </w:r>
      <w:r w:rsidRPr="00AE3BF5">
        <w:rPr>
          <w:b/>
          <w:i/>
          <w:szCs w:val="24"/>
        </w:rPr>
        <w:t>Microsoft Office Word </w:t>
      </w:r>
      <w:r w:rsidRPr="00AE3BF5">
        <w:rPr>
          <w:b/>
          <w:szCs w:val="24"/>
        </w:rPr>
        <w:t>format.</w:t>
      </w:r>
      <w:r w:rsidRPr="00AE3BF5">
        <w:rPr>
          <w:szCs w:val="24"/>
        </w:rPr>
        <w:t xml:space="preserve">  </w:t>
      </w:r>
    </w:p>
    <w:p w14:paraId="31A47856" w14:textId="77777777" w:rsidR="002D36EB" w:rsidRPr="00AE3BF5" w:rsidRDefault="002D36EB" w:rsidP="002D36EB">
      <w:pPr>
        <w:pStyle w:val="Footer"/>
        <w:tabs>
          <w:tab w:val="clear" w:pos="4320"/>
          <w:tab w:val="clear" w:pos="8640"/>
        </w:tabs>
        <w:rPr>
          <w:b/>
          <w:szCs w:val="24"/>
          <w:u w:val="single"/>
        </w:rPr>
      </w:pPr>
    </w:p>
    <w:p w14:paraId="0DA94A98" w14:textId="77777777" w:rsidR="002D36EB" w:rsidRPr="00AE3BF5" w:rsidRDefault="002D36EB" w:rsidP="002D36EB">
      <w:pPr>
        <w:pStyle w:val="Footer"/>
        <w:tabs>
          <w:tab w:val="clear" w:pos="4320"/>
          <w:tab w:val="clear" w:pos="8640"/>
        </w:tabs>
        <w:jc w:val="center"/>
        <w:rPr>
          <w:szCs w:val="24"/>
        </w:rPr>
      </w:pPr>
      <w:r w:rsidRPr="00AE3BF5">
        <w:rPr>
          <w:b/>
          <w:szCs w:val="24"/>
          <w:u w:val="single"/>
        </w:rPr>
        <w:t>Modification</w:t>
      </w:r>
    </w:p>
    <w:p w14:paraId="329F6A68" w14:textId="77777777" w:rsidR="002D36EB" w:rsidRPr="00AE3BF5" w:rsidRDefault="002D36EB" w:rsidP="002D36EB">
      <w:pPr>
        <w:pStyle w:val="Footer"/>
        <w:tabs>
          <w:tab w:val="clear" w:pos="4320"/>
          <w:tab w:val="clear" w:pos="8640"/>
        </w:tabs>
        <w:rPr>
          <w:szCs w:val="24"/>
        </w:rPr>
      </w:pPr>
    </w:p>
    <w:p w14:paraId="28C1F2AC" w14:textId="77777777" w:rsidR="002D36EB" w:rsidRPr="00C055EF" w:rsidRDefault="002D36EB" w:rsidP="002D36EB">
      <w:pPr>
        <w:pStyle w:val="Footer"/>
        <w:tabs>
          <w:tab w:val="clear" w:pos="4320"/>
          <w:tab w:val="clear" w:pos="8640"/>
        </w:tabs>
        <w:rPr>
          <w:spacing w:val="-3"/>
          <w:szCs w:val="24"/>
        </w:rPr>
      </w:pPr>
      <w:r w:rsidRPr="00AE3BF5">
        <w:rPr>
          <w:szCs w:val="24"/>
        </w:rPr>
        <w:tab/>
      </w:r>
      <w:r w:rsidRPr="00AE3BF5">
        <w:rPr>
          <w:szCs w:val="24"/>
        </w:rPr>
        <w:tab/>
        <w:t xml:space="preserve">Any of the provisions of this </w:t>
      </w:r>
      <w:r w:rsidRPr="00AE3BF5">
        <w:rPr>
          <w:spacing w:val="-3"/>
          <w:szCs w:val="24"/>
        </w:rPr>
        <w:t>Prehearing Order may be modified upon motion and good cause shown by any party in interest.</w:t>
      </w:r>
    </w:p>
    <w:p w14:paraId="338770A0" w14:textId="36F194C7" w:rsidR="002D36EB" w:rsidRPr="00C055EF" w:rsidRDefault="002D36EB" w:rsidP="002D36EB">
      <w:pPr>
        <w:pStyle w:val="Footer"/>
        <w:tabs>
          <w:tab w:val="clear" w:pos="4320"/>
          <w:tab w:val="clear" w:pos="8640"/>
        </w:tabs>
        <w:rPr>
          <w:spacing w:val="-3"/>
          <w:szCs w:val="24"/>
        </w:rPr>
      </w:pPr>
    </w:p>
    <w:p w14:paraId="6DF8702E" w14:textId="6CE5548E" w:rsidR="002D36EB" w:rsidRDefault="00772B89" w:rsidP="002D36EB">
      <w:pPr>
        <w:tabs>
          <w:tab w:val="left" w:pos="0"/>
        </w:tabs>
        <w:jc w:val="both"/>
        <w:rPr>
          <w:szCs w:val="24"/>
        </w:rPr>
      </w:pPr>
      <w:r>
        <w:rPr>
          <w:noProof/>
          <w:spacing w:val="-3"/>
        </w:rPr>
        <w:drawing>
          <wp:anchor distT="0" distB="0" distL="114300" distR="114300" simplePos="0" relativeHeight="251658240" behindDoc="1" locked="0" layoutInCell="1" allowOverlap="1" wp14:anchorId="0D606961" wp14:editId="24EBBDC8">
            <wp:simplePos x="0" y="0"/>
            <wp:positionH relativeFrom="column">
              <wp:posOffset>3168650</wp:posOffset>
            </wp:positionH>
            <wp:positionV relativeFrom="paragraph">
              <wp:posOffset>17780</wp:posOffset>
            </wp:positionV>
            <wp:extent cx="2585085" cy="965200"/>
            <wp:effectExtent l="0" t="0" r="5715" b="635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085" cy="965200"/>
                    </a:xfrm>
                    <a:prstGeom prst="rect">
                      <a:avLst/>
                    </a:prstGeom>
                    <a:noFill/>
                  </pic:spPr>
                </pic:pic>
              </a:graphicData>
            </a:graphic>
            <wp14:sizeRelH relativeFrom="page">
              <wp14:pctWidth>0</wp14:pctWidth>
            </wp14:sizeRelH>
            <wp14:sizeRelV relativeFrom="page">
              <wp14:pctHeight>0</wp14:pctHeight>
            </wp14:sizeRelV>
          </wp:anchor>
        </w:drawing>
      </w:r>
    </w:p>
    <w:p w14:paraId="0F877097" w14:textId="413F0808" w:rsidR="002F6335" w:rsidRPr="002F6335" w:rsidRDefault="002D36EB" w:rsidP="002D36EB">
      <w:pPr>
        <w:spacing w:line="240" w:lineRule="auto"/>
        <w:rPr>
          <w:szCs w:val="24"/>
        </w:rPr>
      </w:pPr>
      <w:r w:rsidRPr="007612AD">
        <w:rPr>
          <w:szCs w:val="24"/>
        </w:rPr>
        <w:t xml:space="preserve">Date:  </w:t>
      </w:r>
      <w:r>
        <w:rPr>
          <w:szCs w:val="24"/>
          <w:u w:val="single"/>
        </w:rPr>
        <w:t xml:space="preserve">April </w:t>
      </w:r>
      <w:r w:rsidR="00D941AC">
        <w:rPr>
          <w:szCs w:val="24"/>
          <w:u w:val="single"/>
        </w:rPr>
        <w:t>2</w:t>
      </w:r>
      <w:r w:rsidR="00EC6798">
        <w:rPr>
          <w:szCs w:val="24"/>
          <w:u w:val="single"/>
        </w:rPr>
        <w:t>8</w:t>
      </w:r>
      <w:r>
        <w:rPr>
          <w:szCs w:val="24"/>
          <w:u w:val="single"/>
        </w:rPr>
        <w:t>, 2023</w:t>
      </w:r>
      <w:r w:rsidR="002F6335">
        <w:rPr>
          <w:szCs w:val="24"/>
        </w:rPr>
        <w:tab/>
      </w:r>
      <w:r w:rsidR="002F6335">
        <w:rPr>
          <w:szCs w:val="24"/>
        </w:rPr>
        <w:tab/>
      </w:r>
      <w:r w:rsidR="002F6335">
        <w:rPr>
          <w:szCs w:val="24"/>
        </w:rPr>
        <w:tab/>
      </w:r>
      <w:r w:rsidR="002F6335">
        <w:rPr>
          <w:szCs w:val="24"/>
        </w:rPr>
        <w:tab/>
      </w:r>
      <w:r w:rsidR="002F6335">
        <w:rPr>
          <w:szCs w:val="24"/>
        </w:rPr>
        <w:tab/>
      </w:r>
    </w:p>
    <w:p w14:paraId="779B7DF3" w14:textId="77777777" w:rsidR="002F6335" w:rsidRDefault="002F6335" w:rsidP="002D36EB">
      <w:pPr>
        <w:spacing w:line="240" w:lineRule="auto"/>
        <w:rPr>
          <w:szCs w:val="24"/>
          <w:u w:val="single"/>
        </w:rPr>
      </w:pPr>
    </w:p>
    <w:p w14:paraId="46CE62A5" w14:textId="77777777" w:rsidR="002F6335" w:rsidRDefault="002F6335" w:rsidP="002D36EB">
      <w:pPr>
        <w:spacing w:line="240" w:lineRule="auto"/>
        <w:rPr>
          <w:szCs w:val="24"/>
          <w:u w:val="single"/>
        </w:rPr>
      </w:pPr>
    </w:p>
    <w:p w14:paraId="345508AE" w14:textId="77777777" w:rsidR="002F6335" w:rsidRDefault="002F6335" w:rsidP="002D36EB">
      <w:pPr>
        <w:spacing w:line="240" w:lineRule="auto"/>
        <w:rPr>
          <w:szCs w:val="24"/>
        </w:rPr>
      </w:pPr>
    </w:p>
    <w:p w14:paraId="17E2DC69" w14:textId="77777777" w:rsidR="00772B89" w:rsidRDefault="00772B89" w:rsidP="002D36EB">
      <w:pPr>
        <w:spacing w:line="240" w:lineRule="auto"/>
        <w:rPr>
          <w:szCs w:val="24"/>
        </w:rPr>
      </w:pPr>
    </w:p>
    <w:p w14:paraId="42780703" w14:textId="77777777" w:rsidR="00772B89" w:rsidRDefault="00772B89" w:rsidP="002D36EB">
      <w:pPr>
        <w:spacing w:line="240" w:lineRule="auto"/>
        <w:rPr>
          <w:szCs w:val="24"/>
        </w:rPr>
      </w:pPr>
    </w:p>
    <w:p w14:paraId="6EF48E8B" w14:textId="1DBEF98B" w:rsidR="002D36EB" w:rsidRPr="00A04291" w:rsidRDefault="00772B89" w:rsidP="002D36EB">
      <w:pPr>
        <w:spacing w:line="240" w:lineRule="auto"/>
        <w:rPr>
          <w:szCs w:val="24"/>
        </w:rPr>
      </w:pPr>
      <w:r>
        <w:rPr>
          <w:szCs w:val="24"/>
        </w:rPr>
        <w:tab/>
      </w:r>
      <w:r>
        <w:rPr>
          <w:szCs w:val="24"/>
        </w:rPr>
        <w:tab/>
      </w:r>
      <w:r w:rsidR="002D36EB">
        <w:rPr>
          <w:szCs w:val="24"/>
        </w:rPr>
        <w:tab/>
      </w:r>
      <w:r w:rsidR="002D36EB">
        <w:rPr>
          <w:szCs w:val="24"/>
        </w:rPr>
        <w:tab/>
      </w:r>
      <w:r w:rsidR="002D36EB">
        <w:rPr>
          <w:szCs w:val="24"/>
        </w:rPr>
        <w:tab/>
      </w:r>
      <w:r w:rsidR="002D36EB">
        <w:rPr>
          <w:szCs w:val="24"/>
        </w:rPr>
        <w:tab/>
      </w:r>
      <w:bookmarkStart w:id="3" w:name="_Hlk6221482"/>
      <w:r w:rsidR="002D36EB">
        <w:rPr>
          <w:szCs w:val="24"/>
        </w:rPr>
        <w:tab/>
      </w:r>
      <w:r w:rsidR="002D36EB" w:rsidRPr="00A04291">
        <w:rPr>
          <w:szCs w:val="24"/>
          <w:u w:val="single"/>
        </w:rPr>
        <w:tab/>
      </w:r>
      <w:r w:rsidR="002D36EB" w:rsidRPr="00A04291">
        <w:rPr>
          <w:szCs w:val="24"/>
          <w:u w:val="single"/>
        </w:rPr>
        <w:tab/>
        <w:t>/s/</w:t>
      </w:r>
      <w:r w:rsidR="002D36EB" w:rsidRPr="00A04291">
        <w:rPr>
          <w:szCs w:val="24"/>
          <w:u w:val="single"/>
        </w:rPr>
        <w:tab/>
      </w:r>
      <w:r w:rsidR="002D36EB" w:rsidRPr="00A04291">
        <w:rPr>
          <w:szCs w:val="24"/>
          <w:u w:val="single"/>
        </w:rPr>
        <w:tab/>
      </w:r>
      <w:r w:rsidR="002D36EB" w:rsidRPr="00A04291">
        <w:rPr>
          <w:szCs w:val="24"/>
          <w:u w:val="single"/>
        </w:rPr>
        <w:tab/>
      </w:r>
      <w:r w:rsidR="002D36EB" w:rsidRPr="00A04291">
        <w:rPr>
          <w:szCs w:val="24"/>
          <w:u w:val="single"/>
        </w:rPr>
        <w:tab/>
      </w:r>
    </w:p>
    <w:p w14:paraId="370D51D3" w14:textId="77777777" w:rsidR="002D36EB" w:rsidRPr="00A04291" w:rsidRDefault="002D36EB" w:rsidP="002D36E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Pr>
          <w:szCs w:val="24"/>
        </w:rPr>
        <w:t>Emily I. DeVoe</w:t>
      </w:r>
    </w:p>
    <w:p w14:paraId="1DA814CB" w14:textId="77777777" w:rsidR="006404A2" w:rsidRDefault="002D36EB" w:rsidP="002D36EB">
      <w:pPr>
        <w:spacing w:line="240" w:lineRule="auto"/>
        <w:rPr>
          <w:szCs w:val="24"/>
        </w:rPr>
        <w:sectPr w:rsidR="006404A2" w:rsidSect="009B4AD1">
          <w:footerReference w:type="default" r:id="rId11"/>
          <w:pgSz w:w="12240" w:h="15840"/>
          <w:pgMar w:top="1440" w:right="1440" w:bottom="1440" w:left="1440" w:header="720" w:footer="720" w:gutter="0"/>
          <w:cols w:space="720"/>
          <w:titlePg/>
          <w:docGrid w:linePitch="360"/>
        </w:sect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3"/>
    </w:p>
    <w:p w14:paraId="0DCABD82" w14:textId="77777777" w:rsidR="006404A2" w:rsidRPr="006404A2" w:rsidRDefault="006404A2" w:rsidP="006404A2">
      <w:pPr>
        <w:tabs>
          <w:tab w:val="center" w:pos="4824"/>
        </w:tabs>
        <w:suppressAutoHyphens/>
        <w:spacing w:line="259" w:lineRule="auto"/>
        <w:rPr>
          <w:rFonts w:ascii="Microsoft Sans Serif" w:eastAsia="Microsoft Sans Serif" w:hAnsi="Microsoft Sans Serif" w:cs="Microsoft Sans Serif"/>
          <w:b/>
          <w:szCs w:val="22"/>
          <w:u w:val="single"/>
        </w:rPr>
      </w:pPr>
      <w:r w:rsidRPr="006404A2">
        <w:rPr>
          <w:rFonts w:ascii="Microsoft Sans Serif" w:eastAsia="Microsoft Sans Serif" w:hAnsi="Microsoft Sans Serif" w:cs="Microsoft Sans Serif"/>
          <w:b/>
          <w:szCs w:val="22"/>
          <w:u w:val="single"/>
        </w:rPr>
        <w:lastRenderedPageBreak/>
        <w:t xml:space="preserve">A-2023-3038771, A-2023-3038793, A-2023-3038794, A-2023-3038795, A-2023-8807, A-2023-3038808, G-2023-3038818, G-2023-3038819, G-2023-3038820, G-2023-8821, G-00020956 -  </w:t>
      </w:r>
      <w:r w:rsidRPr="006404A2">
        <w:rPr>
          <w:rFonts w:ascii="Microsoft Sans Serif" w:eastAsiaTheme="minorEastAsia" w:hAnsi="Microsoft Sans Serif" w:cs="Microsoft Sans Serif"/>
          <w:b/>
          <w:spacing w:val="-3"/>
          <w:szCs w:val="24"/>
          <w:u w:val="single"/>
        </w:rPr>
        <w:t>JOINT APPLICATION OF METROPOLITAN EDISON COMPANY, PENNSYLVANIA ELECTRIC COMPANY, PENNSYLVANIA POWER COMPANY, WEST PENN POWER COMPANY, KEYSTONE APPALACHIA TRANSMISSION COMPANY, MID-ATLANTIC INTERSTATE TRANSMISSION, LLC, AND FIRST ENERGY PENNSYLVANIA ELECTRIC COMPANY FOR ALL OF THE NECESSARY APPROVALS AND CERTIFICATES OF PUBLIC CONVENIENCE</w:t>
      </w:r>
    </w:p>
    <w:p w14:paraId="35D4E4F7" w14:textId="77777777" w:rsidR="006404A2" w:rsidRPr="006404A2" w:rsidRDefault="006404A2" w:rsidP="006404A2">
      <w:pPr>
        <w:tabs>
          <w:tab w:val="center" w:pos="4824"/>
        </w:tabs>
        <w:suppressAutoHyphens/>
        <w:spacing w:line="259" w:lineRule="auto"/>
        <w:rPr>
          <w:rFonts w:ascii="Microsoft Sans Serif" w:eastAsia="Microsoft Sans Serif" w:hAnsi="Microsoft Sans Serif" w:cs="Microsoft Sans Serif"/>
          <w:b/>
          <w:szCs w:val="22"/>
          <w:u w:val="single"/>
        </w:rPr>
      </w:pPr>
    </w:p>
    <w:p w14:paraId="4360AF2C" w14:textId="77777777" w:rsidR="006404A2" w:rsidRPr="006404A2" w:rsidRDefault="006404A2" w:rsidP="006404A2">
      <w:pPr>
        <w:tabs>
          <w:tab w:val="center" w:pos="4824"/>
        </w:tabs>
        <w:suppressAutoHyphens/>
        <w:spacing w:line="259" w:lineRule="auto"/>
        <w:rPr>
          <w:rFonts w:ascii="Microsoft Sans Serif" w:eastAsia="Microsoft Sans Serif" w:hAnsi="Microsoft Sans Serif" w:cs="Microsoft Sans Serif"/>
          <w:szCs w:val="22"/>
        </w:rPr>
      </w:pPr>
    </w:p>
    <w:p w14:paraId="6F2D03D9" w14:textId="77777777" w:rsidR="006404A2" w:rsidRPr="006404A2" w:rsidRDefault="006404A2" w:rsidP="006404A2">
      <w:pPr>
        <w:spacing w:line="259" w:lineRule="auto"/>
        <w:rPr>
          <w:rFonts w:ascii="Microsoft Sans Serif" w:eastAsia="Microsoft Sans Serif" w:hAnsi="Microsoft Sans Serif" w:cs="Microsoft Sans Serif"/>
          <w:szCs w:val="22"/>
        </w:rPr>
        <w:sectPr w:rsidR="006404A2" w:rsidRPr="006404A2" w:rsidSect="006404A2">
          <w:footerReference w:type="default" r:id="rId12"/>
          <w:pgSz w:w="12240" w:h="15840"/>
          <w:pgMar w:top="1440" w:right="1440" w:bottom="1440" w:left="1440" w:header="720" w:footer="720" w:gutter="0"/>
          <w:cols w:space="720"/>
          <w:docGrid w:linePitch="299"/>
        </w:sectPr>
      </w:pPr>
    </w:p>
    <w:p w14:paraId="2CF98602" w14:textId="77777777" w:rsidR="006404A2" w:rsidRPr="006404A2" w:rsidRDefault="006404A2" w:rsidP="006404A2">
      <w:pPr>
        <w:tabs>
          <w:tab w:val="center" w:pos="4824"/>
        </w:tabs>
        <w:suppressAutoHyphens/>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TORI L GIESLER ESQUIRE</w:t>
      </w:r>
    </w:p>
    <w:p w14:paraId="7B96BD09"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DARSH SINGH</w:t>
      </w:r>
    </w:p>
    <w:p w14:paraId="60DEF8F4"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FIRSTENERGY</w:t>
      </w:r>
    </w:p>
    <w:p w14:paraId="65019E0D"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2800 POTTSVILLE PIKE</w:t>
      </w:r>
    </w:p>
    <w:p w14:paraId="0A194AC4"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PO BOX 16001</w:t>
      </w:r>
    </w:p>
    <w:p w14:paraId="07560637"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READING PA  19612-6001</w:t>
      </w:r>
    </w:p>
    <w:p w14:paraId="0A392AA0"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610.921.6658</w:t>
      </w:r>
    </w:p>
    <w:p w14:paraId="4E24E9E8"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610.121.8331</w:t>
      </w:r>
    </w:p>
    <w:p w14:paraId="792E4271"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13" w:history="1">
        <w:r w:rsidRPr="006404A2">
          <w:rPr>
            <w:rFonts w:ascii="Microsoft Sans Serif" w:eastAsia="Microsoft Sans Serif" w:hAnsi="Microsoft Sans Serif" w:cs="Microsoft Sans Serif"/>
            <w:color w:val="0563C1" w:themeColor="hyperlink"/>
            <w:szCs w:val="22"/>
            <w:u w:val="single"/>
          </w:rPr>
          <w:t>tgiesler@firstenergycorp.com</w:t>
        </w:r>
      </w:hyperlink>
    </w:p>
    <w:p w14:paraId="7EB7EF18"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14" w:history="1">
        <w:r w:rsidRPr="006404A2">
          <w:rPr>
            <w:rFonts w:ascii="Microsoft Sans Serif" w:eastAsia="Microsoft Sans Serif" w:hAnsi="Microsoft Sans Serif" w:cs="Microsoft Sans Serif"/>
            <w:color w:val="0563C1" w:themeColor="hyperlink"/>
            <w:szCs w:val="22"/>
            <w:u w:val="single"/>
          </w:rPr>
          <w:t>singhd@firstenergycorp.com</w:t>
        </w:r>
      </w:hyperlink>
      <w:r w:rsidRPr="006404A2">
        <w:rPr>
          <w:rFonts w:ascii="Microsoft Sans Serif" w:eastAsia="Microsoft Sans Serif" w:hAnsi="Microsoft Sans Serif" w:cs="Microsoft Sans Serif"/>
          <w:szCs w:val="22"/>
        </w:rPr>
        <w:t xml:space="preserve">  </w:t>
      </w:r>
    </w:p>
    <w:p w14:paraId="715C6A45"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Accepts eService</w:t>
      </w:r>
    </w:p>
    <w:p w14:paraId="0165D155" w14:textId="77777777" w:rsidR="006404A2" w:rsidRPr="006404A2" w:rsidRDefault="006404A2" w:rsidP="006404A2">
      <w:pPr>
        <w:spacing w:line="259" w:lineRule="auto"/>
        <w:rPr>
          <w:rFonts w:ascii="Microsoft Sans Serif" w:eastAsia="Microsoft Sans Serif" w:hAnsi="Microsoft Sans Serif" w:cs="Microsoft Sans Serif"/>
          <w:szCs w:val="22"/>
        </w:rPr>
      </w:pPr>
    </w:p>
    <w:p w14:paraId="3A1C4B86"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DEVIN T RYAN ESQUIRE</w:t>
      </w:r>
    </w:p>
    <w:p w14:paraId="6A8A1C82"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GARRETT P LENT ESQUIRE</w:t>
      </w:r>
    </w:p>
    <w:p w14:paraId="4F74A1CF"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MEGAN E RULLI ESQUIRE</w:t>
      </w:r>
    </w:p>
    <w:p w14:paraId="48706255"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POST AND SCHELL PC</w:t>
      </w:r>
    </w:p>
    <w:p w14:paraId="1A793272"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17 N 2ND ST</w:t>
      </w:r>
    </w:p>
    <w:p w14:paraId="3690F18B"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12TH FL</w:t>
      </w:r>
    </w:p>
    <w:p w14:paraId="718F28D3"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HARRISBURG PA  17101-1601</w:t>
      </w:r>
    </w:p>
    <w:p w14:paraId="1C1E23DC"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717.612.6052</w:t>
      </w:r>
    </w:p>
    <w:p w14:paraId="4B52767A"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717.731.1970</w:t>
      </w:r>
    </w:p>
    <w:p w14:paraId="35981211"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717.612.6032</w:t>
      </w:r>
    </w:p>
    <w:p w14:paraId="25F9F7A9"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717.472.0466</w:t>
      </w:r>
    </w:p>
    <w:p w14:paraId="019ECDF0"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15" w:history="1">
        <w:r w:rsidRPr="006404A2">
          <w:rPr>
            <w:rFonts w:ascii="Microsoft Sans Serif" w:eastAsia="Microsoft Sans Serif" w:hAnsi="Microsoft Sans Serif" w:cs="Microsoft Sans Serif"/>
            <w:color w:val="0563C1" w:themeColor="hyperlink"/>
            <w:szCs w:val="22"/>
            <w:u w:val="single"/>
          </w:rPr>
          <w:t>dryan@postschell.com</w:t>
        </w:r>
      </w:hyperlink>
      <w:r w:rsidRPr="006404A2">
        <w:rPr>
          <w:rFonts w:ascii="Microsoft Sans Serif" w:eastAsia="Microsoft Sans Serif" w:hAnsi="Microsoft Sans Serif" w:cs="Microsoft Sans Serif"/>
          <w:szCs w:val="22"/>
        </w:rPr>
        <w:t xml:space="preserve"> </w:t>
      </w:r>
    </w:p>
    <w:p w14:paraId="444F24DD"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16" w:history="1">
        <w:r w:rsidRPr="006404A2">
          <w:rPr>
            <w:rFonts w:ascii="Microsoft Sans Serif" w:eastAsia="Microsoft Sans Serif" w:hAnsi="Microsoft Sans Serif" w:cs="Microsoft Sans Serif"/>
            <w:color w:val="0563C1" w:themeColor="hyperlink"/>
            <w:szCs w:val="22"/>
            <w:u w:val="single"/>
          </w:rPr>
          <w:t>glent@postschell.com</w:t>
        </w:r>
      </w:hyperlink>
    </w:p>
    <w:p w14:paraId="2B46005D"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17" w:history="1">
        <w:r w:rsidRPr="006404A2">
          <w:rPr>
            <w:rFonts w:ascii="Microsoft Sans Serif" w:eastAsia="Microsoft Sans Serif" w:hAnsi="Microsoft Sans Serif" w:cs="Microsoft Sans Serif"/>
            <w:color w:val="0563C1" w:themeColor="hyperlink"/>
            <w:szCs w:val="22"/>
            <w:u w:val="single"/>
          </w:rPr>
          <w:t>mrulli@postschell.com</w:t>
        </w:r>
      </w:hyperlink>
      <w:r w:rsidRPr="006404A2">
        <w:rPr>
          <w:rFonts w:ascii="Microsoft Sans Serif" w:eastAsia="Microsoft Sans Serif" w:hAnsi="Microsoft Sans Serif" w:cs="Microsoft Sans Serif"/>
          <w:szCs w:val="22"/>
        </w:rPr>
        <w:t xml:space="preserve">  </w:t>
      </w:r>
    </w:p>
    <w:p w14:paraId="3788B911"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Accepts eService </w:t>
      </w:r>
    </w:p>
    <w:p w14:paraId="1D977954" w14:textId="77777777" w:rsidR="00AB60CF" w:rsidRDefault="00AB60CF" w:rsidP="006404A2">
      <w:pPr>
        <w:spacing w:line="259" w:lineRule="auto"/>
        <w:rPr>
          <w:rFonts w:ascii="Microsoft Sans Serif" w:eastAsia="Microsoft Sans Serif" w:hAnsi="Microsoft Sans Serif" w:cs="Microsoft Sans Serif"/>
          <w:szCs w:val="22"/>
        </w:rPr>
      </w:pPr>
    </w:p>
    <w:p w14:paraId="0B6A28BA" w14:textId="77777777" w:rsidR="00AB60CF" w:rsidRDefault="00AB60CF" w:rsidP="006404A2">
      <w:pPr>
        <w:spacing w:line="259" w:lineRule="auto"/>
        <w:rPr>
          <w:rFonts w:ascii="Microsoft Sans Serif" w:eastAsia="Microsoft Sans Serif" w:hAnsi="Microsoft Sans Serif" w:cs="Microsoft Sans Serif"/>
          <w:szCs w:val="22"/>
        </w:rPr>
      </w:pPr>
    </w:p>
    <w:p w14:paraId="2A630559" w14:textId="77777777" w:rsidR="00AB60CF" w:rsidRDefault="00AB60CF" w:rsidP="006404A2">
      <w:pPr>
        <w:spacing w:line="259" w:lineRule="auto"/>
        <w:rPr>
          <w:rFonts w:ascii="Microsoft Sans Serif" w:eastAsia="Microsoft Sans Serif" w:hAnsi="Microsoft Sans Serif" w:cs="Microsoft Sans Serif"/>
          <w:szCs w:val="22"/>
        </w:rPr>
      </w:pPr>
    </w:p>
    <w:p w14:paraId="6F7553B7" w14:textId="77777777" w:rsidR="00AB60CF" w:rsidRDefault="00AB60CF" w:rsidP="006404A2">
      <w:pPr>
        <w:spacing w:line="259" w:lineRule="auto"/>
        <w:rPr>
          <w:rFonts w:ascii="Microsoft Sans Serif" w:eastAsia="Microsoft Sans Serif" w:hAnsi="Microsoft Sans Serif" w:cs="Microsoft Sans Serif"/>
          <w:szCs w:val="22"/>
        </w:rPr>
      </w:pPr>
    </w:p>
    <w:p w14:paraId="0546A94A" w14:textId="77777777" w:rsidR="00AB60CF" w:rsidRDefault="00AB60CF" w:rsidP="006404A2">
      <w:pPr>
        <w:spacing w:line="259" w:lineRule="auto"/>
        <w:rPr>
          <w:rFonts w:ascii="Microsoft Sans Serif" w:eastAsia="Microsoft Sans Serif" w:hAnsi="Microsoft Sans Serif" w:cs="Microsoft Sans Serif"/>
          <w:szCs w:val="22"/>
        </w:rPr>
      </w:pPr>
    </w:p>
    <w:p w14:paraId="63144CE7" w14:textId="77777777" w:rsidR="00AB60CF" w:rsidRDefault="00AB60CF" w:rsidP="006404A2">
      <w:pPr>
        <w:spacing w:line="259" w:lineRule="auto"/>
        <w:rPr>
          <w:rFonts w:ascii="Microsoft Sans Serif" w:eastAsia="Microsoft Sans Serif" w:hAnsi="Microsoft Sans Serif" w:cs="Microsoft Sans Serif"/>
          <w:szCs w:val="22"/>
        </w:rPr>
      </w:pPr>
    </w:p>
    <w:p w14:paraId="03A5E487" w14:textId="77777777" w:rsidR="00AB60CF" w:rsidRDefault="00AB60CF" w:rsidP="006404A2">
      <w:pPr>
        <w:spacing w:line="259" w:lineRule="auto"/>
        <w:rPr>
          <w:rFonts w:ascii="Microsoft Sans Serif" w:eastAsia="Microsoft Sans Serif" w:hAnsi="Microsoft Sans Serif" w:cs="Microsoft Sans Serif"/>
          <w:szCs w:val="22"/>
        </w:rPr>
      </w:pPr>
    </w:p>
    <w:p w14:paraId="6696645B" w14:textId="1CD71DFB"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SCOTT B GRANGER ESQUIRE</w:t>
      </w:r>
    </w:p>
    <w:p w14:paraId="3294F730"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PA PUC BUREAU OF INVESTIGATION &amp; ENFORCEMENT</w:t>
      </w:r>
    </w:p>
    <w:p w14:paraId="17DBB725"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SECOND FLOOR WEST</w:t>
      </w:r>
    </w:p>
    <w:p w14:paraId="630DBD96"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400 NORTH STREET</w:t>
      </w:r>
    </w:p>
    <w:p w14:paraId="212F17B5"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HARRISBURG PA  17120</w:t>
      </w:r>
    </w:p>
    <w:p w14:paraId="26AD4A08"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717.425.7593</w:t>
      </w:r>
    </w:p>
    <w:p w14:paraId="60FDCF20"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b/>
          <w:bCs/>
          <w:szCs w:val="22"/>
        </w:rPr>
        <w:t>717.884.1440</w:t>
      </w:r>
    </w:p>
    <w:p w14:paraId="03FFDDA3"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18" w:history="1">
        <w:r w:rsidRPr="006404A2">
          <w:rPr>
            <w:rFonts w:ascii="Microsoft Sans Serif" w:eastAsia="Microsoft Sans Serif" w:hAnsi="Microsoft Sans Serif" w:cs="Microsoft Sans Serif"/>
            <w:color w:val="0563C1" w:themeColor="hyperlink"/>
            <w:szCs w:val="22"/>
            <w:u w:val="single"/>
          </w:rPr>
          <w:t>sgranger@pa.gov</w:t>
        </w:r>
      </w:hyperlink>
      <w:r w:rsidRPr="006404A2">
        <w:rPr>
          <w:rFonts w:ascii="Microsoft Sans Serif" w:eastAsia="Microsoft Sans Serif" w:hAnsi="Microsoft Sans Serif" w:cs="Microsoft Sans Serif"/>
          <w:szCs w:val="22"/>
        </w:rPr>
        <w:t xml:space="preserve">  </w:t>
      </w:r>
    </w:p>
    <w:p w14:paraId="09E675FC" w14:textId="77777777" w:rsidR="006404A2" w:rsidRPr="006404A2" w:rsidRDefault="006404A2" w:rsidP="006404A2">
      <w:pPr>
        <w:spacing w:line="259" w:lineRule="auto"/>
        <w:rPr>
          <w:sz w:val="20"/>
          <w:szCs w:val="22"/>
        </w:rPr>
      </w:pPr>
      <w:r w:rsidRPr="006404A2">
        <w:rPr>
          <w:rFonts w:ascii="Microsoft Sans Serif" w:eastAsia="Microsoft Sans Serif" w:hAnsi="Microsoft Sans Serif" w:cs="Microsoft Sans Serif"/>
          <w:szCs w:val="22"/>
        </w:rPr>
        <w:t>Accepts eService</w:t>
      </w:r>
    </w:p>
    <w:p w14:paraId="6948E7C3" w14:textId="77777777" w:rsidR="006404A2" w:rsidRPr="006404A2" w:rsidRDefault="006404A2" w:rsidP="006404A2">
      <w:pPr>
        <w:spacing w:line="259" w:lineRule="auto"/>
        <w:rPr>
          <w:rFonts w:ascii="Microsoft Sans Serif" w:eastAsia="Microsoft Sans Serif" w:hAnsi="Microsoft Sans Serif" w:cs="Microsoft Sans Serif"/>
          <w:szCs w:val="22"/>
        </w:rPr>
      </w:pPr>
    </w:p>
    <w:p w14:paraId="2CF00BEB"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RIA PEREIRA ESQUIRE</w:t>
      </w:r>
    </w:p>
    <w:p w14:paraId="1005F550"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ELIZABETH R MARX ESQUIRE</w:t>
      </w:r>
    </w:p>
    <w:p w14:paraId="4FA0C7B7"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JOHN SWEET ESQUIRE</w:t>
      </w:r>
    </w:p>
    <w:p w14:paraId="661AA686"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LAUREN BERMAN</w:t>
      </w:r>
    </w:p>
    <w:p w14:paraId="277343DD"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PA UTILITY LAW PROJECT</w:t>
      </w:r>
    </w:p>
    <w:p w14:paraId="0BFF3F51"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118 Locust Street</w:t>
      </w:r>
    </w:p>
    <w:p w14:paraId="5A2CCB95"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HARRISBURG PA  17101</w:t>
      </w:r>
    </w:p>
    <w:p w14:paraId="038B0613"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717.710.3825</w:t>
      </w:r>
    </w:p>
    <w:p w14:paraId="0774AC72"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717.236.9486</w:t>
      </w:r>
    </w:p>
    <w:p w14:paraId="220844F8"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b/>
          <w:bCs/>
          <w:szCs w:val="22"/>
        </w:rPr>
        <w:t>717.701.3837</w:t>
      </w:r>
    </w:p>
    <w:p w14:paraId="719161C7" w14:textId="4FC4AFD8" w:rsidR="006404A2" w:rsidRPr="006404A2" w:rsidRDefault="009A4150" w:rsidP="006404A2">
      <w:pPr>
        <w:spacing w:line="259" w:lineRule="auto"/>
        <w:rPr>
          <w:rFonts w:ascii="Microsoft Sans Serif" w:eastAsia="Microsoft Sans Serif" w:hAnsi="Microsoft Sans Serif" w:cs="Microsoft Sans Serif"/>
          <w:szCs w:val="22"/>
        </w:rPr>
      </w:pPr>
      <w:hyperlink r:id="rId19" w:history="1">
        <w:r w:rsidRPr="009A4150">
          <w:rPr>
            <w:rStyle w:val="Hyperlink"/>
            <w:rFonts w:ascii="Microsoft Sans Serif" w:eastAsiaTheme="minorEastAsia" w:hAnsi="Microsoft Sans Serif" w:cs="Microsoft Sans Serif"/>
            <w:color w:val="0070C0"/>
            <w:szCs w:val="24"/>
          </w:rPr>
          <w:t>pulp@pautilitylawproject.org</w:t>
        </w:r>
      </w:hyperlink>
      <w:r>
        <w:rPr>
          <w:rFonts w:asciiTheme="minorHAnsi" w:eastAsiaTheme="minorEastAsia" w:hAnsiTheme="minorHAnsi" w:cstheme="minorBidi"/>
          <w:sz w:val="22"/>
          <w:szCs w:val="22"/>
        </w:rPr>
        <w:br/>
      </w:r>
      <w:hyperlink r:id="rId20" w:history="1">
        <w:r w:rsidR="006404A2" w:rsidRPr="006404A2">
          <w:rPr>
            <w:rFonts w:ascii="Microsoft Sans Serif" w:eastAsia="Microsoft Sans Serif" w:hAnsi="Microsoft Sans Serif" w:cs="Microsoft Sans Serif"/>
            <w:color w:val="0563C1" w:themeColor="hyperlink"/>
            <w:szCs w:val="22"/>
            <w:u w:val="single"/>
          </w:rPr>
          <w:t>emarx@pautilitylawproject.org</w:t>
        </w:r>
      </w:hyperlink>
      <w:r w:rsidR="006404A2" w:rsidRPr="006404A2">
        <w:rPr>
          <w:rFonts w:ascii="Microsoft Sans Serif" w:eastAsia="Microsoft Sans Serif" w:hAnsi="Microsoft Sans Serif" w:cs="Microsoft Sans Serif"/>
          <w:szCs w:val="22"/>
        </w:rPr>
        <w:t xml:space="preserve"> </w:t>
      </w:r>
    </w:p>
    <w:p w14:paraId="71610441" w14:textId="62586F96" w:rsidR="006404A2" w:rsidRPr="006404A2" w:rsidRDefault="00CD328A" w:rsidP="006404A2">
      <w:pPr>
        <w:spacing w:line="259" w:lineRule="auto"/>
        <w:rPr>
          <w:rFonts w:ascii="Microsoft Sans Serif" w:eastAsia="Microsoft Sans Serif" w:hAnsi="Microsoft Sans Serif" w:cs="Microsoft Sans Serif"/>
          <w:szCs w:val="22"/>
        </w:rPr>
      </w:pPr>
      <w:hyperlink r:id="rId21" w:history="1">
        <w:r w:rsidRPr="006404A2">
          <w:rPr>
            <w:rStyle w:val="Hyperlink"/>
            <w:rFonts w:ascii="Microsoft Sans Serif" w:eastAsia="Microsoft Sans Serif" w:hAnsi="Microsoft Sans Serif" w:cs="Microsoft Sans Serif"/>
            <w:szCs w:val="22"/>
          </w:rPr>
          <w:t>jsweet@pautilitylawproject.org</w:t>
        </w:r>
      </w:hyperlink>
      <w:r w:rsidR="006404A2" w:rsidRPr="006404A2">
        <w:rPr>
          <w:rFonts w:ascii="Microsoft Sans Serif" w:eastAsia="Microsoft Sans Serif" w:hAnsi="Microsoft Sans Serif" w:cs="Microsoft Sans Serif"/>
          <w:szCs w:val="22"/>
        </w:rPr>
        <w:t xml:space="preserve">  </w:t>
      </w:r>
    </w:p>
    <w:p w14:paraId="31ED2049"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Accepts eService</w:t>
      </w:r>
    </w:p>
    <w:p w14:paraId="70FC4EEF" w14:textId="77777777" w:rsidR="006404A2" w:rsidRDefault="006404A2" w:rsidP="006404A2">
      <w:pPr>
        <w:spacing w:line="259" w:lineRule="auto"/>
        <w:rPr>
          <w:rFonts w:ascii="Microsoft Sans Serif" w:eastAsia="Microsoft Sans Serif" w:hAnsi="Microsoft Sans Serif" w:cs="Microsoft Sans Serif"/>
          <w:szCs w:val="22"/>
        </w:rPr>
      </w:pPr>
    </w:p>
    <w:p w14:paraId="67D9620E" w14:textId="77777777" w:rsidR="006404A2" w:rsidRDefault="006404A2" w:rsidP="006404A2">
      <w:pPr>
        <w:spacing w:line="259" w:lineRule="auto"/>
        <w:rPr>
          <w:rFonts w:ascii="Microsoft Sans Serif" w:eastAsia="Microsoft Sans Serif" w:hAnsi="Microsoft Sans Serif" w:cs="Microsoft Sans Serif"/>
          <w:szCs w:val="22"/>
        </w:rPr>
      </w:pPr>
    </w:p>
    <w:p w14:paraId="51DEF4BA" w14:textId="77777777" w:rsidR="006404A2" w:rsidRDefault="006404A2" w:rsidP="006404A2">
      <w:pPr>
        <w:spacing w:line="259" w:lineRule="auto"/>
        <w:rPr>
          <w:rFonts w:ascii="Microsoft Sans Serif" w:eastAsia="Microsoft Sans Serif" w:hAnsi="Microsoft Sans Serif" w:cs="Microsoft Sans Serif"/>
          <w:szCs w:val="22"/>
        </w:rPr>
      </w:pPr>
    </w:p>
    <w:p w14:paraId="743303EF" w14:textId="77777777" w:rsidR="006404A2" w:rsidRDefault="006404A2" w:rsidP="006404A2">
      <w:pPr>
        <w:spacing w:line="259" w:lineRule="auto"/>
        <w:rPr>
          <w:rFonts w:ascii="Microsoft Sans Serif" w:eastAsia="Microsoft Sans Serif" w:hAnsi="Microsoft Sans Serif" w:cs="Microsoft Sans Serif"/>
          <w:szCs w:val="22"/>
        </w:rPr>
      </w:pPr>
    </w:p>
    <w:p w14:paraId="5914D454" w14:textId="77777777" w:rsidR="006404A2" w:rsidRDefault="006404A2" w:rsidP="006404A2">
      <w:pPr>
        <w:spacing w:line="259" w:lineRule="auto"/>
        <w:rPr>
          <w:rFonts w:ascii="Microsoft Sans Serif" w:eastAsia="Microsoft Sans Serif" w:hAnsi="Microsoft Sans Serif" w:cs="Microsoft Sans Serif"/>
          <w:szCs w:val="22"/>
        </w:rPr>
      </w:pPr>
    </w:p>
    <w:p w14:paraId="3A351D71" w14:textId="77777777" w:rsidR="006404A2" w:rsidRDefault="006404A2" w:rsidP="006404A2">
      <w:pPr>
        <w:spacing w:line="259" w:lineRule="auto"/>
        <w:rPr>
          <w:rFonts w:ascii="Microsoft Sans Serif" w:eastAsia="Microsoft Sans Serif" w:hAnsi="Microsoft Sans Serif" w:cs="Microsoft Sans Serif"/>
          <w:szCs w:val="22"/>
        </w:rPr>
      </w:pPr>
    </w:p>
    <w:p w14:paraId="6FA7B429" w14:textId="77777777" w:rsidR="006404A2" w:rsidRDefault="006404A2" w:rsidP="006404A2">
      <w:pPr>
        <w:spacing w:line="259" w:lineRule="auto"/>
        <w:rPr>
          <w:rFonts w:ascii="Microsoft Sans Serif" w:eastAsia="Microsoft Sans Serif" w:hAnsi="Microsoft Sans Serif" w:cs="Microsoft Sans Serif"/>
          <w:szCs w:val="22"/>
        </w:rPr>
      </w:pPr>
    </w:p>
    <w:p w14:paraId="0AD7A6AA" w14:textId="77777777" w:rsidR="006404A2" w:rsidRDefault="006404A2" w:rsidP="006404A2">
      <w:pPr>
        <w:spacing w:line="259" w:lineRule="auto"/>
        <w:rPr>
          <w:rFonts w:ascii="Microsoft Sans Serif" w:eastAsia="Microsoft Sans Serif" w:hAnsi="Microsoft Sans Serif" w:cs="Microsoft Sans Serif"/>
          <w:szCs w:val="22"/>
        </w:rPr>
      </w:pPr>
    </w:p>
    <w:p w14:paraId="34A4286E" w14:textId="77777777" w:rsidR="006404A2" w:rsidRPr="006404A2" w:rsidRDefault="006404A2" w:rsidP="006404A2">
      <w:pPr>
        <w:spacing w:line="259" w:lineRule="auto"/>
        <w:rPr>
          <w:rFonts w:ascii="Microsoft Sans Serif" w:eastAsia="Microsoft Sans Serif" w:hAnsi="Microsoft Sans Serif" w:cs="Microsoft Sans Serif"/>
          <w:szCs w:val="22"/>
        </w:rPr>
      </w:pPr>
    </w:p>
    <w:p w14:paraId="1A6D0C6E"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lastRenderedPageBreak/>
        <w:t>SHARON E WEBB ESQUIRE</w:t>
      </w:r>
    </w:p>
    <w:p w14:paraId="64829720"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NAKEA HURDLE</w:t>
      </w:r>
    </w:p>
    <w:p w14:paraId="00EC8530"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OFFICE OF SMALL BUSINESS ADVOCATE</w:t>
      </w:r>
    </w:p>
    <w:p w14:paraId="0CBE3EC2"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FORUM PLACE</w:t>
      </w:r>
    </w:p>
    <w:p w14:paraId="797A546B"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555 WALNUT STREET 1ST FLOOR</w:t>
      </w:r>
    </w:p>
    <w:p w14:paraId="65057E33"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HARRISBURG PA  17101</w:t>
      </w:r>
    </w:p>
    <w:p w14:paraId="1EC74D5C"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717.783.2525</w:t>
      </w:r>
    </w:p>
    <w:p w14:paraId="5EEF8C4D"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b/>
          <w:bCs/>
          <w:szCs w:val="22"/>
        </w:rPr>
        <w:t>717.783.2831</w:t>
      </w:r>
    </w:p>
    <w:p w14:paraId="26E6438F"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22" w:history="1">
        <w:r w:rsidRPr="006404A2">
          <w:rPr>
            <w:rFonts w:ascii="Microsoft Sans Serif" w:eastAsia="Microsoft Sans Serif" w:hAnsi="Microsoft Sans Serif" w:cs="Microsoft Sans Serif"/>
            <w:color w:val="0563C1" w:themeColor="hyperlink"/>
            <w:szCs w:val="22"/>
            <w:u w:val="single"/>
          </w:rPr>
          <w:t>swebb@pa.gov</w:t>
        </w:r>
      </w:hyperlink>
    </w:p>
    <w:p w14:paraId="6ABA99C4"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23" w:history="1">
        <w:r w:rsidRPr="006404A2">
          <w:rPr>
            <w:rFonts w:ascii="Microsoft Sans Serif" w:eastAsia="Microsoft Sans Serif" w:hAnsi="Microsoft Sans Serif" w:cs="Microsoft Sans Serif"/>
            <w:color w:val="0563C1" w:themeColor="hyperlink"/>
            <w:szCs w:val="22"/>
            <w:u w:val="single"/>
          </w:rPr>
          <w:t>nhurdle@pa.gov</w:t>
        </w:r>
      </w:hyperlink>
      <w:r w:rsidRPr="006404A2">
        <w:rPr>
          <w:rFonts w:ascii="Microsoft Sans Serif" w:eastAsia="Microsoft Sans Serif" w:hAnsi="Microsoft Sans Serif" w:cs="Microsoft Sans Serif"/>
          <w:szCs w:val="22"/>
        </w:rPr>
        <w:t xml:space="preserve">  </w:t>
      </w:r>
    </w:p>
    <w:p w14:paraId="13A9E5B9" w14:textId="77777777" w:rsidR="006404A2" w:rsidRPr="006404A2" w:rsidRDefault="006404A2" w:rsidP="006404A2">
      <w:pPr>
        <w:spacing w:line="259" w:lineRule="auto"/>
        <w:rPr>
          <w:rFonts w:ascii="Microsoft Sans Serif" w:eastAsia="Microsoft Sans Serif" w:hAnsi="Microsoft Sans Serif" w:cs="Microsoft Sans Serif"/>
          <w:szCs w:val="22"/>
        </w:rPr>
      </w:pPr>
    </w:p>
    <w:p w14:paraId="77DEA4CC"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ARON BEATTY </w:t>
      </w:r>
    </w:p>
    <w:p w14:paraId="336527F6"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CHRISTY APPLEBY </w:t>
      </w:r>
    </w:p>
    <w:p w14:paraId="4ABAD9F7"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ANDREW ZERBY </w:t>
      </w:r>
    </w:p>
    <w:p w14:paraId="7D48AB26"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OFFICE OF CONSUMER ADVOCATE </w:t>
      </w:r>
    </w:p>
    <w:p w14:paraId="67DAC983"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5TH FLOOR, FORUM PLACE </w:t>
      </w:r>
    </w:p>
    <w:p w14:paraId="4F719868"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555 WALNUT STREET </w:t>
      </w:r>
    </w:p>
    <w:p w14:paraId="53F0A43F"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HARRISBURG, PA 17101 </w:t>
      </w:r>
    </w:p>
    <w:p w14:paraId="51D9F641"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abeatty@paoca.org </w:t>
      </w:r>
    </w:p>
    <w:p w14:paraId="31C8EEA3"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 xml:space="preserve">cappleby@paoca.org </w:t>
      </w:r>
    </w:p>
    <w:p w14:paraId="0477A096"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24" w:history="1">
        <w:r w:rsidRPr="006404A2">
          <w:rPr>
            <w:rFonts w:ascii="Microsoft Sans Serif" w:eastAsia="Microsoft Sans Serif" w:hAnsi="Microsoft Sans Serif" w:cs="Microsoft Sans Serif"/>
            <w:color w:val="0563C1" w:themeColor="hyperlink"/>
            <w:szCs w:val="22"/>
            <w:u w:val="single"/>
          </w:rPr>
          <w:t>azerby@paoca.org</w:t>
        </w:r>
      </w:hyperlink>
    </w:p>
    <w:p w14:paraId="7C5844E6" w14:textId="77777777" w:rsidR="006404A2" w:rsidRPr="006404A2" w:rsidRDefault="006404A2" w:rsidP="006404A2">
      <w:pPr>
        <w:spacing w:line="259" w:lineRule="auto"/>
        <w:rPr>
          <w:rFonts w:ascii="Microsoft Sans Serif" w:eastAsia="Microsoft Sans Serif" w:hAnsi="Microsoft Sans Serif" w:cs="Microsoft Sans Serif"/>
          <w:szCs w:val="22"/>
        </w:rPr>
      </w:pPr>
    </w:p>
    <w:p w14:paraId="6158246A" w14:textId="77777777" w:rsidR="006404A2" w:rsidRPr="006404A2" w:rsidRDefault="006404A2" w:rsidP="006404A2">
      <w:pPr>
        <w:spacing w:line="259" w:lineRule="auto"/>
        <w:rPr>
          <w:rFonts w:ascii="Microsoft Sans Serif" w:hAnsi="Microsoft Sans Serif" w:cs="Microsoft Sans Serif"/>
          <w:szCs w:val="24"/>
        </w:rPr>
      </w:pPr>
      <w:r w:rsidRPr="006404A2">
        <w:rPr>
          <w:rFonts w:ascii="Microsoft Sans Serif" w:eastAsiaTheme="minorEastAsia" w:hAnsi="Microsoft Sans Serif" w:cs="Microsoft Sans Serif"/>
          <w:szCs w:val="24"/>
        </w:rPr>
        <w:t>BARRY A NAUM ESQUIRE</w:t>
      </w:r>
    </w:p>
    <w:p w14:paraId="0D79CFE7" w14:textId="77777777" w:rsidR="006404A2" w:rsidRPr="006404A2" w:rsidRDefault="006404A2" w:rsidP="006404A2">
      <w:pPr>
        <w:spacing w:line="259" w:lineRule="auto"/>
        <w:rPr>
          <w:rFonts w:ascii="Microsoft Sans Serif" w:eastAsiaTheme="minorEastAsia" w:hAnsi="Microsoft Sans Serif" w:cs="Microsoft Sans Serif"/>
          <w:szCs w:val="24"/>
        </w:rPr>
      </w:pPr>
      <w:r w:rsidRPr="006404A2">
        <w:rPr>
          <w:rFonts w:ascii="Microsoft Sans Serif" w:eastAsiaTheme="minorEastAsia" w:hAnsi="Microsoft Sans Serif" w:cs="Microsoft Sans Serif"/>
          <w:szCs w:val="24"/>
        </w:rPr>
        <w:t>DERRICK P. WILLIAMSON ESQUIRE</w:t>
      </w:r>
    </w:p>
    <w:p w14:paraId="152978C8" w14:textId="77777777" w:rsidR="006404A2" w:rsidRPr="006404A2" w:rsidRDefault="006404A2" w:rsidP="006404A2">
      <w:pPr>
        <w:spacing w:line="259" w:lineRule="auto"/>
        <w:rPr>
          <w:rFonts w:ascii="Microsoft Sans Serif" w:eastAsiaTheme="minorEastAsia" w:hAnsi="Microsoft Sans Serif" w:cs="Microsoft Sans Serif"/>
          <w:szCs w:val="24"/>
        </w:rPr>
      </w:pPr>
      <w:r w:rsidRPr="006404A2">
        <w:rPr>
          <w:rFonts w:ascii="Microsoft Sans Serif" w:eastAsiaTheme="minorEastAsia" w:hAnsi="Microsoft Sans Serif" w:cs="Microsoft Sans Serif"/>
          <w:szCs w:val="24"/>
        </w:rPr>
        <w:t>STEVEN W. LEE ESQUIRE</w:t>
      </w:r>
    </w:p>
    <w:p w14:paraId="730B5C68" w14:textId="77777777" w:rsidR="006404A2" w:rsidRPr="006404A2" w:rsidRDefault="006404A2" w:rsidP="006404A2">
      <w:pPr>
        <w:spacing w:line="259" w:lineRule="auto"/>
        <w:rPr>
          <w:rFonts w:ascii="Microsoft Sans Serif" w:eastAsiaTheme="minorEastAsia" w:hAnsi="Microsoft Sans Serif" w:cs="Microsoft Sans Serif"/>
          <w:szCs w:val="24"/>
        </w:rPr>
      </w:pPr>
      <w:r w:rsidRPr="006404A2">
        <w:rPr>
          <w:rFonts w:ascii="Microsoft Sans Serif" w:eastAsiaTheme="minorEastAsia" w:hAnsi="Microsoft Sans Serif" w:cs="Microsoft Sans Serif"/>
          <w:szCs w:val="24"/>
        </w:rPr>
        <w:t>SPILMAN THOMAS &amp;BATTLE PLLP</w:t>
      </w:r>
    </w:p>
    <w:p w14:paraId="15E4F420" w14:textId="77777777" w:rsidR="006404A2" w:rsidRPr="006404A2" w:rsidRDefault="006404A2" w:rsidP="006404A2">
      <w:pPr>
        <w:spacing w:line="259" w:lineRule="auto"/>
        <w:rPr>
          <w:rFonts w:ascii="Microsoft Sans Serif" w:eastAsiaTheme="minorEastAsia" w:hAnsi="Microsoft Sans Serif" w:cs="Microsoft Sans Serif"/>
          <w:szCs w:val="24"/>
        </w:rPr>
      </w:pPr>
      <w:r w:rsidRPr="006404A2">
        <w:rPr>
          <w:rFonts w:ascii="Microsoft Sans Serif" w:eastAsiaTheme="minorEastAsia" w:hAnsi="Microsoft Sans Serif" w:cs="Microsoft Sans Serif"/>
          <w:szCs w:val="24"/>
        </w:rPr>
        <w:t>1100 BENT CREEK BOULEVARD</w:t>
      </w:r>
    </w:p>
    <w:p w14:paraId="0B762A4C" w14:textId="77777777" w:rsidR="006404A2" w:rsidRPr="006404A2" w:rsidRDefault="006404A2" w:rsidP="006404A2">
      <w:pPr>
        <w:spacing w:line="259" w:lineRule="auto"/>
        <w:rPr>
          <w:rFonts w:ascii="Microsoft Sans Serif" w:eastAsiaTheme="minorEastAsia" w:hAnsi="Microsoft Sans Serif" w:cs="Microsoft Sans Serif"/>
          <w:szCs w:val="24"/>
        </w:rPr>
      </w:pPr>
      <w:r w:rsidRPr="006404A2">
        <w:rPr>
          <w:rFonts w:ascii="Microsoft Sans Serif" w:eastAsiaTheme="minorEastAsia" w:hAnsi="Microsoft Sans Serif" w:cs="Microsoft Sans Serif"/>
          <w:szCs w:val="24"/>
        </w:rPr>
        <w:t>SUITE 101</w:t>
      </w:r>
    </w:p>
    <w:p w14:paraId="4F4161B4" w14:textId="77777777" w:rsidR="006404A2" w:rsidRPr="006404A2" w:rsidRDefault="006404A2" w:rsidP="006404A2">
      <w:pPr>
        <w:spacing w:line="259" w:lineRule="auto"/>
        <w:rPr>
          <w:rFonts w:ascii="Microsoft Sans Serif" w:eastAsiaTheme="minorEastAsia" w:hAnsi="Microsoft Sans Serif" w:cs="Microsoft Sans Serif"/>
          <w:szCs w:val="24"/>
        </w:rPr>
      </w:pPr>
      <w:r w:rsidRPr="006404A2">
        <w:rPr>
          <w:rFonts w:ascii="Microsoft Sans Serif" w:eastAsiaTheme="minorEastAsia" w:hAnsi="Microsoft Sans Serif" w:cs="Microsoft Sans Serif"/>
          <w:szCs w:val="24"/>
        </w:rPr>
        <w:t>MECHANICSBURG PA 17050</w:t>
      </w:r>
    </w:p>
    <w:p w14:paraId="1A4E03CB" w14:textId="77777777" w:rsidR="006404A2" w:rsidRPr="006404A2" w:rsidRDefault="006404A2" w:rsidP="006404A2">
      <w:pPr>
        <w:spacing w:line="259" w:lineRule="auto"/>
        <w:rPr>
          <w:rFonts w:ascii="Microsoft Sans Serif" w:eastAsiaTheme="minorEastAsia" w:hAnsi="Microsoft Sans Serif" w:cs="Microsoft Sans Serif"/>
          <w:szCs w:val="24"/>
        </w:rPr>
      </w:pPr>
      <w:r w:rsidRPr="006404A2">
        <w:rPr>
          <w:rFonts w:ascii="Microsoft Sans Serif" w:eastAsiaTheme="minorEastAsia" w:hAnsi="Microsoft Sans Serif" w:cs="Microsoft Sans Serif"/>
          <w:szCs w:val="24"/>
        </w:rPr>
        <w:t>717.795.2742</w:t>
      </w:r>
    </w:p>
    <w:p w14:paraId="3DF44E93" w14:textId="77777777" w:rsidR="006404A2" w:rsidRPr="006404A2" w:rsidRDefault="006404A2" w:rsidP="006404A2">
      <w:pPr>
        <w:spacing w:line="259" w:lineRule="auto"/>
        <w:rPr>
          <w:rFonts w:ascii="Microsoft Sans Serif" w:eastAsiaTheme="minorEastAsia" w:hAnsi="Microsoft Sans Serif" w:cs="Microsoft Sans Serif"/>
          <w:szCs w:val="24"/>
        </w:rPr>
      </w:pPr>
      <w:r w:rsidRPr="006404A2">
        <w:rPr>
          <w:rFonts w:ascii="Microsoft Sans Serif" w:eastAsiaTheme="minorEastAsia" w:hAnsi="Microsoft Sans Serif" w:cs="Microsoft Sans Serif"/>
          <w:szCs w:val="24"/>
        </w:rPr>
        <w:t>717.795.2743</w:t>
      </w:r>
    </w:p>
    <w:p w14:paraId="60773059" w14:textId="77777777" w:rsidR="006404A2" w:rsidRPr="006404A2" w:rsidRDefault="006404A2" w:rsidP="006404A2">
      <w:pPr>
        <w:spacing w:line="259" w:lineRule="auto"/>
        <w:rPr>
          <w:rFonts w:asciiTheme="minorHAnsi" w:eastAsiaTheme="minorEastAsia" w:hAnsiTheme="minorHAnsi" w:cstheme="minorBidi"/>
          <w:color w:val="0563C1" w:themeColor="hyperlink"/>
          <w:sz w:val="22"/>
          <w:szCs w:val="22"/>
          <w:u w:val="single"/>
        </w:rPr>
      </w:pPr>
      <w:hyperlink r:id="rId25" w:history="1">
        <w:r w:rsidRPr="006404A2">
          <w:rPr>
            <w:rFonts w:ascii="Microsoft Sans Serif" w:eastAsiaTheme="minorEastAsia" w:hAnsi="Microsoft Sans Serif" w:cs="Microsoft Sans Serif"/>
            <w:color w:val="0563C1" w:themeColor="hyperlink"/>
            <w:szCs w:val="24"/>
            <w:u w:val="single"/>
          </w:rPr>
          <w:t>bnaum@spilmanlaw.com</w:t>
        </w:r>
      </w:hyperlink>
    </w:p>
    <w:p w14:paraId="5786A318" w14:textId="77777777" w:rsidR="006404A2" w:rsidRPr="006404A2" w:rsidRDefault="006404A2" w:rsidP="006404A2">
      <w:pPr>
        <w:spacing w:line="259" w:lineRule="auto"/>
        <w:rPr>
          <w:rFonts w:ascii="Microsoft Sans Serif" w:eastAsiaTheme="minorEastAsia" w:hAnsi="Microsoft Sans Serif" w:cs="Microsoft Sans Serif"/>
          <w:color w:val="0563C1" w:themeColor="hyperlink"/>
          <w:szCs w:val="24"/>
          <w:u w:val="single"/>
        </w:rPr>
      </w:pPr>
      <w:hyperlink r:id="rId26" w:history="1">
        <w:r w:rsidRPr="006404A2">
          <w:rPr>
            <w:rFonts w:ascii="Microsoft Sans Serif" w:eastAsiaTheme="minorEastAsia" w:hAnsi="Microsoft Sans Serif" w:cs="Microsoft Sans Serif"/>
            <w:color w:val="0563C1" w:themeColor="hyperlink"/>
            <w:szCs w:val="24"/>
            <w:u w:val="single"/>
          </w:rPr>
          <w:t>dwilliamson@spilmanlaw.com</w:t>
        </w:r>
      </w:hyperlink>
    </w:p>
    <w:p w14:paraId="632BA49C" w14:textId="77777777" w:rsidR="006404A2" w:rsidRPr="006404A2" w:rsidRDefault="006404A2" w:rsidP="006404A2">
      <w:pPr>
        <w:spacing w:line="259" w:lineRule="auto"/>
        <w:rPr>
          <w:rFonts w:asciiTheme="minorHAnsi" w:eastAsiaTheme="minorEastAsia" w:hAnsiTheme="minorHAnsi" w:cstheme="minorBidi"/>
          <w:sz w:val="22"/>
          <w:szCs w:val="22"/>
        </w:rPr>
      </w:pPr>
      <w:r w:rsidRPr="006404A2">
        <w:rPr>
          <w:rFonts w:ascii="Microsoft Sans Serif" w:eastAsiaTheme="minorEastAsia" w:hAnsi="Microsoft Sans Serif" w:cs="Microsoft Sans Serif"/>
          <w:color w:val="0563C1" w:themeColor="hyperlink"/>
          <w:szCs w:val="24"/>
          <w:u w:val="single"/>
        </w:rPr>
        <w:t>slee@spilmanlaw.com</w:t>
      </w:r>
    </w:p>
    <w:p w14:paraId="1C56ED29" w14:textId="77777777" w:rsidR="006404A2" w:rsidRPr="006404A2" w:rsidRDefault="006404A2" w:rsidP="006404A2">
      <w:pPr>
        <w:spacing w:line="259" w:lineRule="auto"/>
        <w:rPr>
          <w:rFonts w:ascii="Microsoft Sans Serif" w:eastAsiaTheme="minorEastAsia" w:hAnsi="Microsoft Sans Serif" w:cs="Microsoft Sans Serif"/>
          <w:i/>
          <w:iCs/>
          <w:szCs w:val="24"/>
        </w:rPr>
      </w:pPr>
      <w:r w:rsidRPr="006404A2">
        <w:rPr>
          <w:rFonts w:ascii="Microsoft Sans Serif" w:eastAsiaTheme="minorEastAsia" w:hAnsi="Microsoft Sans Serif" w:cs="Microsoft Sans Serif"/>
          <w:i/>
          <w:iCs/>
          <w:szCs w:val="24"/>
        </w:rPr>
        <w:t>Representing Intervenors, Industrial</w:t>
      </w:r>
    </w:p>
    <w:p w14:paraId="4DD4F45E" w14:textId="77777777" w:rsidR="006404A2" w:rsidRPr="006404A2" w:rsidRDefault="006404A2" w:rsidP="006404A2">
      <w:pPr>
        <w:spacing w:line="259" w:lineRule="auto"/>
        <w:rPr>
          <w:rFonts w:ascii="Microsoft Sans Serif" w:eastAsia="Microsoft Sans Serif" w:hAnsi="Microsoft Sans Serif" w:cs="Microsoft Sans Serif"/>
          <w:i/>
          <w:iCs/>
          <w:szCs w:val="24"/>
        </w:rPr>
      </w:pPr>
      <w:r w:rsidRPr="006404A2">
        <w:rPr>
          <w:rFonts w:ascii="Microsoft Sans Serif" w:eastAsia="Microsoft Sans Serif" w:hAnsi="Microsoft Sans Serif" w:cs="Microsoft Sans Serif"/>
          <w:i/>
          <w:iCs/>
          <w:szCs w:val="24"/>
        </w:rPr>
        <w:t>Energy Consumers of Pennsylvania</w:t>
      </w:r>
    </w:p>
    <w:p w14:paraId="7DAF9602" w14:textId="77777777" w:rsidR="006404A2" w:rsidRDefault="006404A2" w:rsidP="006404A2">
      <w:pPr>
        <w:spacing w:line="259" w:lineRule="auto"/>
        <w:rPr>
          <w:rFonts w:ascii="Microsoft Sans Serif" w:eastAsia="Microsoft Sans Serif" w:hAnsi="Microsoft Sans Serif" w:cs="Microsoft Sans Serif"/>
          <w:i/>
          <w:iCs/>
          <w:szCs w:val="24"/>
        </w:rPr>
      </w:pPr>
    </w:p>
    <w:p w14:paraId="299B6429" w14:textId="77777777" w:rsidR="006404A2" w:rsidRDefault="006404A2" w:rsidP="006404A2">
      <w:pPr>
        <w:spacing w:line="259" w:lineRule="auto"/>
        <w:rPr>
          <w:rFonts w:ascii="Microsoft Sans Serif" w:eastAsia="Microsoft Sans Serif" w:hAnsi="Microsoft Sans Serif" w:cs="Microsoft Sans Serif"/>
          <w:i/>
          <w:iCs/>
          <w:szCs w:val="24"/>
        </w:rPr>
      </w:pPr>
    </w:p>
    <w:p w14:paraId="40E0FBC1" w14:textId="77777777" w:rsidR="006404A2" w:rsidRDefault="006404A2" w:rsidP="006404A2">
      <w:pPr>
        <w:spacing w:line="259" w:lineRule="auto"/>
        <w:rPr>
          <w:rFonts w:ascii="Microsoft Sans Serif" w:eastAsia="Microsoft Sans Serif" w:hAnsi="Microsoft Sans Serif" w:cs="Microsoft Sans Serif"/>
          <w:i/>
          <w:iCs/>
          <w:szCs w:val="24"/>
        </w:rPr>
      </w:pPr>
    </w:p>
    <w:p w14:paraId="7DFFCA3F" w14:textId="77777777" w:rsidR="006404A2" w:rsidRDefault="006404A2" w:rsidP="006404A2">
      <w:pPr>
        <w:spacing w:line="259" w:lineRule="auto"/>
        <w:rPr>
          <w:rFonts w:ascii="Microsoft Sans Serif" w:eastAsia="Microsoft Sans Serif" w:hAnsi="Microsoft Sans Serif" w:cs="Microsoft Sans Serif"/>
          <w:i/>
          <w:iCs/>
          <w:szCs w:val="24"/>
        </w:rPr>
      </w:pPr>
    </w:p>
    <w:p w14:paraId="411AA084" w14:textId="77777777" w:rsidR="006404A2" w:rsidRDefault="006404A2" w:rsidP="006404A2">
      <w:pPr>
        <w:spacing w:line="259" w:lineRule="auto"/>
        <w:rPr>
          <w:rFonts w:ascii="Microsoft Sans Serif" w:eastAsia="Microsoft Sans Serif" w:hAnsi="Microsoft Sans Serif" w:cs="Microsoft Sans Serif"/>
          <w:i/>
          <w:iCs/>
          <w:szCs w:val="24"/>
        </w:rPr>
      </w:pPr>
    </w:p>
    <w:p w14:paraId="7463755F" w14:textId="77777777" w:rsidR="006404A2" w:rsidRDefault="006404A2" w:rsidP="006404A2">
      <w:pPr>
        <w:spacing w:line="259" w:lineRule="auto"/>
        <w:rPr>
          <w:rFonts w:ascii="Microsoft Sans Serif" w:eastAsia="Microsoft Sans Serif" w:hAnsi="Microsoft Sans Serif" w:cs="Microsoft Sans Serif"/>
          <w:i/>
          <w:iCs/>
          <w:szCs w:val="24"/>
        </w:rPr>
      </w:pPr>
    </w:p>
    <w:p w14:paraId="1844D47A" w14:textId="77777777" w:rsidR="006404A2" w:rsidRPr="006404A2" w:rsidRDefault="006404A2" w:rsidP="006404A2">
      <w:pPr>
        <w:spacing w:line="259" w:lineRule="auto"/>
        <w:rPr>
          <w:rFonts w:ascii="Microsoft Sans Serif" w:eastAsia="Microsoft Sans Serif" w:hAnsi="Microsoft Sans Serif" w:cs="Microsoft Sans Serif"/>
          <w:i/>
          <w:iCs/>
          <w:szCs w:val="24"/>
        </w:rPr>
      </w:pPr>
    </w:p>
    <w:p w14:paraId="541ABF17"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SUSAN E BRUCE ESQUIRE</w:t>
      </w:r>
    </w:p>
    <w:p w14:paraId="2121B2A5"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CHARIS MINCAVAGE ESQUIRE</w:t>
      </w:r>
      <w:r w:rsidRPr="006404A2">
        <w:rPr>
          <w:rFonts w:ascii="Microsoft Sans Serif" w:eastAsia="Microsoft Sans Serif" w:hAnsi="Microsoft Sans Serif" w:cs="Microsoft Sans Serif"/>
          <w:szCs w:val="22"/>
        </w:rPr>
        <w:cr/>
        <w:t>MCNEES WALLACE &amp; NURICK LLC</w:t>
      </w:r>
      <w:r w:rsidRPr="006404A2">
        <w:rPr>
          <w:rFonts w:ascii="Microsoft Sans Serif" w:eastAsia="Microsoft Sans Serif" w:hAnsi="Microsoft Sans Serif" w:cs="Microsoft Sans Serif"/>
          <w:szCs w:val="22"/>
        </w:rPr>
        <w:cr/>
        <w:t>100 Pine Street</w:t>
      </w:r>
      <w:r w:rsidRPr="006404A2">
        <w:rPr>
          <w:rFonts w:ascii="Microsoft Sans Serif" w:eastAsia="Microsoft Sans Serif" w:hAnsi="Microsoft Sans Serif" w:cs="Microsoft Sans Serif"/>
          <w:szCs w:val="22"/>
        </w:rPr>
        <w:cr/>
        <w:t>P O BOX 1166</w:t>
      </w:r>
      <w:r w:rsidRPr="006404A2">
        <w:rPr>
          <w:rFonts w:ascii="Microsoft Sans Serif" w:eastAsia="Microsoft Sans Serif" w:hAnsi="Microsoft Sans Serif" w:cs="Microsoft Sans Serif"/>
          <w:szCs w:val="22"/>
        </w:rPr>
        <w:cr/>
        <w:t>HARRISBURG PA  17108-1166</w:t>
      </w:r>
      <w:r w:rsidRPr="006404A2">
        <w:rPr>
          <w:rFonts w:ascii="Microsoft Sans Serif" w:eastAsia="Microsoft Sans Serif" w:hAnsi="Microsoft Sans Serif" w:cs="Microsoft Sans Serif"/>
          <w:szCs w:val="22"/>
        </w:rPr>
        <w:cr/>
      </w:r>
      <w:r w:rsidRPr="006404A2">
        <w:rPr>
          <w:rFonts w:ascii="Microsoft Sans Serif" w:eastAsia="Microsoft Sans Serif" w:hAnsi="Microsoft Sans Serif" w:cs="Microsoft Sans Serif"/>
          <w:b/>
          <w:bCs/>
          <w:szCs w:val="22"/>
        </w:rPr>
        <w:t>717.237.5254</w:t>
      </w:r>
      <w:r w:rsidRPr="006404A2">
        <w:rPr>
          <w:rFonts w:ascii="Microsoft Sans Serif" w:eastAsia="Microsoft Sans Serif" w:hAnsi="Microsoft Sans Serif" w:cs="Microsoft Sans Serif"/>
          <w:b/>
          <w:bCs/>
          <w:szCs w:val="22"/>
        </w:rPr>
        <w:cr/>
        <w:t>717.503.6892</w:t>
      </w:r>
    </w:p>
    <w:p w14:paraId="24CF1CE4" w14:textId="77777777"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b/>
          <w:bCs/>
          <w:szCs w:val="22"/>
        </w:rPr>
        <w:t>717.237.5437</w:t>
      </w:r>
      <w:r w:rsidRPr="006404A2">
        <w:rPr>
          <w:rFonts w:ascii="Microsoft Sans Serif" w:eastAsia="Microsoft Sans Serif" w:hAnsi="Microsoft Sans Serif" w:cs="Microsoft Sans Serif"/>
          <w:b/>
          <w:bCs/>
          <w:szCs w:val="22"/>
        </w:rPr>
        <w:cr/>
        <w:t>717.232.8000</w:t>
      </w:r>
    </w:p>
    <w:p w14:paraId="38940C1A"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27" w:history="1">
        <w:r w:rsidRPr="006404A2">
          <w:rPr>
            <w:rFonts w:ascii="Microsoft Sans Serif" w:eastAsia="Microsoft Sans Serif" w:hAnsi="Microsoft Sans Serif" w:cs="Microsoft Sans Serif"/>
            <w:color w:val="0563C1" w:themeColor="hyperlink"/>
            <w:szCs w:val="22"/>
            <w:u w:val="single"/>
          </w:rPr>
          <w:t>sbruce@mcneeslaw.com</w:t>
        </w:r>
      </w:hyperlink>
      <w:r w:rsidRPr="006404A2">
        <w:rPr>
          <w:rFonts w:ascii="Microsoft Sans Serif" w:eastAsia="Microsoft Sans Serif" w:hAnsi="Microsoft Sans Serif" w:cs="Microsoft Sans Serif"/>
          <w:szCs w:val="22"/>
        </w:rPr>
        <w:t xml:space="preserve">  </w:t>
      </w:r>
    </w:p>
    <w:p w14:paraId="22A120E8"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28" w:history="1">
        <w:r w:rsidRPr="006404A2">
          <w:rPr>
            <w:rFonts w:ascii="Microsoft Sans Serif" w:eastAsia="Microsoft Sans Serif" w:hAnsi="Microsoft Sans Serif" w:cs="Microsoft Sans Serif"/>
            <w:color w:val="0563C1" w:themeColor="hyperlink"/>
            <w:szCs w:val="22"/>
            <w:u w:val="single"/>
          </w:rPr>
          <w:t>cmincavage@mwn.com</w:t>
        </w:r>
      </w:hyperlink>
      <w:r w:rsidRPr="006404A2">
        <w:rPr>
          <w:rFonts w:ascii="Microsoft Sans Serif" w:eastAsia="Microsoft Sans Serif" w:hAnsi="Microsoft Sans Serif" w:cs="Microsoft Sans Serif"/>
          <w:szCs w:val="22"/>
        </w:rPr>
        <w:t xml:space="preserve"> </w:t>
      </w:r>
      <w:r w:rsidRPr="006404A2">
        <w:rPr>
          <w:rFonts w:ascii="Microsoft Sans Serif" w:eastAsia="Microsoft Sans Serif" w:hAnsi="Microsoft Sans Serif" w:cs="Microsoft Sans Serif"/>
          <w:szCs w:val="22"/>
        </w:rPr>
        <w:cr/>
        <w:t xml:space="preserve">Accepts eService </w:t>
      </w:r>
    </w:p>
    <w:p w14:paraId="1A78277F" w14:textId="77777777" w:rsidR="006404A2" w:rsidRPr="006404A2" w:rsidRDefault="006404A2" w:rsidP="006404A2">
      <w:pPr>
        <w:spacing w:line="259" w:lineRule="auto"/>
        <w:rPr>
          <w:rFonts w:ascii="Microsoft Sans Serif" w:eastAsia="Microsoft Sans Serif" w:hAnsi="Microsoft Sans Serif" w:cs="Microsoft Sans Serif"/>
          <w:i/>
          <w:iCs/>
          <w:szCs w:val="22"/>
        </w:rPr>
      </w:pPr>
      <w:r w:rsidRPr="006404A2">
        <w:rPr>
          <w:rFonts w:ascii="Microsoft Sans Serif" w:eastAsia="Microsoft Sans Serif" w:hAnsi="Microsoft Sans Serif" w:cs="Microsoft Sans Serif"/>
          <w:i/>
          <w:iCs/>
          <w:szCs w:val="22"/>
        </w:rPr>
        <w:t>(Counsel for Industrial Customer’s Group)</w:t>
      </w:r>
    </w:p>
    <w:p w14:paraId="2443E6FA" w14:textId="77777777" w:rsidR="006404A2" w:rsidRPr="006404A2" w:rsidRDefault="006404A2" w:rsidP="006404A2">
      <w:pPr>
        <w:spacing w:line="259" w:lineRule="auto"/>
        <w:rPr>
          <w:rFonts w:ascii="Microsoft Sans Serif" w:eastAsia="Microsoft Sans Serif" w:hAnsi="Microsoft Sans Serif" w:cs="Microsoft Sans Serif"/>
          <w:szCs w:val="22"/>
        </w:rPr>
      </w:pPr>
    </w:p>
    <w:p w14:paraId="5C00DA3D"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DEANNE M O'DELL ESQUIRE</w:t>
      </w:r>
    </w:p>
    <w:p w14:paraId="27C132B3"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KAREN O MOURY ESQUIRE</w:t>
      </w:r>
    </w:p>
    <w:p w14:paraId="39C2BD04"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ECKERT SEAMANS CHERIN &amp; MELLOTT LLC</w:t>
      </w:r>
      <w:r w:rsidRPr="006404A2">
        <w:rPr>
          <w:rFonts w:ascii="Microsoft Sans Serif" w:eastAsia="Microsoft Sans Serif" w:hAnsi="Microsoft Sans Serif" w:cs="Microsoft Sans Serif"/>
          <w:szCs w:val="22"/>
        </w:rPr>
        <w:cr/>
        <w:t>213 MARKET STREET  8TH FLOOR</w:t>
      </w:r>
      <w:r w:rsidRPr="006404A2">
        <w:rPr>
          <w:rFonts w:ascii="Microsoft Sans Serif" w:eastAsia="Microsoft Sans Serif" w:hAnsi="Microsoft Sans Serif" w:cs="Microsoft Sans Serif"/>
          <w:szCs w:val="22"/>
        </w:rPr>
        <w:cr/>
        <w:t>HARRISBURG PA  17101</w:t>
      </w:r>
      <w:r w:rsidRPr="006404A2">
        <w:rPr>
          <w:rFonts w:ascii="Microsoft Sans Serif" w:eastAsia="Microsoft Sans Serif" w:hAnsi="Microsoft Sans Serif" w:cs="Microsoft Sans Serif"/>
          <w:szCs w:val="22"/>
        </w:rPr>
        <w:cr/>
      </w:r>
      <w:r w:rsidRPr="006404A2">
        <w:rPr>
          <w:rFonts w:ascii="Microsoft Sans Serif" w:eastAsia="Microsoft Sans Serif" w:hAnsi="Microsoft Sans Serif" w:cs="Microsoft Sans Serif"/>
          <w:b/>
          <w:bCs/>
          <w:szCs w:val="22"/>
        </w:rPr>
        <w:t>717.255.3744</w:t>
      </w:r>
      <w:r w:rsidRPr="006404A2">
        <w:rPr>
          <w:rFonts w:ascii="Microsoft Sans Serif" w:eastAsia="Microsoft Sans Serif" w:hAnsi="Microsoft Sans Serif" w:cs="Microsoft Sans Serif"/>
          <w:szCs w:val="22"/>
        </w:rPr>
        <w:cr/>
      </w:r>
      <w:r w:rsidRPr="006404A2">
        <w:rPr>
          <w:rFonts w:ascii="Microsoft Sans Serif" w:eastAsia="Microsoft Sans Serif" w:hAnsi="Microsoft Sans Serif" w:cs="Microsoft Sans Serif"/>
          <w:b/>
          <w:bCs/>
          <w:szCs w:val="22"/>
        </w:rPr>
        <w:t>717.571.1420</w:t>
      </w:r>
    </w:p>
    <w:p w14:paraId="7EDA20EF"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29" w:history="1">
        <w:r w:rsidRPr="006404A2">
          <w:rPr>
            <w:rFonts w:ascii="Microsoft Sans Serif" w:eastAsia="Microsoft Sans Serif" w:hAnsi="Microsoft Sans Serif" w:cs="Microsoft Sans Serif"/>
            <w:color w:val="0563C1" w:themeColor="hyperlink"/>
            <w:szCs w:val="22"/>
            <w:u w:val="single"/>
          </w:rPr>
          <w:t>dodell@eckertseamans.com</w:t>
        </w:r>
      </w:hyperlink>
      <w:r w:rsidRPr="006404A2">
        <w:rPr>
          <w:rFonts w:ascii="Microsoft Sans Serif" w:eastAsia="Microsoft Sans Serif" w:hAnsi="Microsoft Sans Serif" w:cs="Microsoft Sans Serif"/>
          <w:szCs w:val="22"/>
        </w:rPr>
        <w:t xml:space="preserve"> </w:t>
      </w:r>
    </w:p>
    <w:p w14:paraId="112E72E7"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30" w:history="1">
        <w:r w:rsidRPr="006404A2">
          <w:rPr>
            <w:rFonts w:ascii="Microsoft Sans Serif" w:eastAsia="Microsoft Sans Serif" w:hAnsi="Microsoft Sans Serif" w:cs="Microsoft Sans Serif"/>
            <w:color w:val="0563C1" w:themeColor="hyperlink"/>
            <w:szCs w:val="22"/>
            <w:u w:val="single"/>
          </w:rPr>
          <w:t>kmoury@eckertseamans.com</w:t>
        </w:r>
      </w:hyperlink>
      <w:r w:rsidRPr="006404A2">
        <w:rPr>
          <w:rFonts w:ascii="Microsoft Sans Serif" w:eastAsia="Microsoft Sans Serif" w:hAnsi="Microsoft Sans Serif" w:cs="Microsoft Sans Serif"/>
          <w:szCs w:val="22"/>
        </w:rPr>
        <w:t xml:space="preserve"> </w:t>
      </w:r>
      <w:r w:rsidRPr="006404A2">
        <w:rPr>
          <w:rFonts w:ascii="Microsoft Sans Serif" w:eastAsia="Microsoft Sans Serif" w:hAnsi="Microsoft Sans Serif" w:cs="Microsoft Sans Serif"/>
          <w:szCs w:val="22"/>
        </w:rPr>
        <w:cr/>
        <w:t>Accepts eService</w:t>
      </w:r>
    </w:p>
    <w:p w14:paraId="3DFAC7FB" w14:textId="77777777" w:rsidR="006404A2" w:rsidRPr="006404A2" w:rsidRDefault="006404A2" w:rsidP="006404A2">
      <w:pPr>
        <w:spacing w:line="259" w:lineRule="auto"/>
        <w:rPr>
          <w:rFonts w:ascii="Microsoft Sans Serif" w:eastAsia="Microsoft Sans Serif" w:hAnsi="Microsoft Sans Serif" w:cs="Microsoft Sans Serif"/>
          <w:i/>
          <w:iCs/>
          <w:szCs w:val="22"/>
        </w:rPr>
      </w:pPr>
      <w:r w:rsidRPr="006404A2">
        <w:rPr>
          <w:rFonts w:ascii="Microsoft Sans Serif" w:eastAsia="Microsoft Sans Serif" w:hAnsi="Microsoft Sans Serif" w:cs="Microsoft Sans Serif"/>
          <w:i/>
          <w:iCs/>
          <w:szCs w:val="22"/>
        </w:rPr>
        <w:t>(Counsel for RESA)</w:t>
      </w:r>
      <w:r w:rsidRPr="006404A2">
        <w:rPr>
          <w:rFonts w:ascii="Microsoft Sans Serif" w:eastAsia="Microsoft Sans Serif" w:hAnsi="Microsoft Sans Serif" w:cs="Microsoft Sans Serif"/>
          <w:i/>
          <w:iCs/>
          <w:szCs w:val="22"/>
        </w:rPr>
        <w:cr/>
      </w:r>
    </w:p>
    <w:p w14:paraId="58D6CDA3" w14:textId="77777777" w:rsidR="006404A2" w:rsidRP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t>WHITNEY E SNYDER ESQUIRE</w:t>
      </w:r>
      <w:r w:rsidRPr="006404A2">
        <w:rPr>
          <w:rFonts w:ascii="Microsoft Sans Serif" w:eastAsia="Microsoft Sans Serif" w:hAnsi="Microsoft Sans Serif" w:cs="Microsoft Sans Serif"/>
          <w:szCs w:val="22"/>
        </w:rPr>
        <w:cr/>
        <w:t>THOMAS J SNISCAK ESQUIRE</w:t>
      </w:r>
      <w:r w:rsidRPr="006404A2">
        <w:rPr>
          <w:rFonts w:ascii="Microsoft Sans Serif" w:eastAsia="Microsoft Sans Serif" w:hAnsi="Microsoft Sans Serif" w:cs="Microsoft Sans Serif"/>
          <w:szCs w:val="22"/>
        </w:rPr>
        <w:cr/>
        <w:t>HAWKE MCKEON AND SNISCAK LLP</w:t>
      </w:r>
      <w:r w:rsidRPr="006404A2">
        <w:rPr>
          <w:rFonts w:ascii="Microsoft Sans Serif" w:eastAsia="Microsoft Sans Serif" w:hAnsi="Microsoft Sans Serif" w:cs="Microsoft Sans Serif"/>
          <w:szCs w:val="22"/>
        </w:rPr>
        <w:cr/>
        <w:t>100 N Tenth Street</w:t>
      </w:r>
      <w:r w:rsidRPr="006404A2">
        <w:rPr>
          <w:rFonts w:ascii="Microsoft Sans Serif" w:eastAsia="Microsoft Sans Serif" w:hAnsi="Microsoft Sans Serif" w:cs="Microsoft Sans Serif"/>
          <w:szCs w:val="22"/>
        </w:rPr>
        <w:cr/>
        <w:t>HARRISBURG PA  17101</w:t>
      </w:r>
      <w:r w:rsidRPr="006404A2">
        <w:rPr>
          <w:rFonts w:ascii="Microsoft Sans Serif" w:eastAsia="Microsoft Sans Serif" w:hAnsi="Microsoft Sans Serif" w:cs="Microsoft Sans Serif"/>
          <w:szCs w:val="22"/>
        </w:rPr>
        <w:cr/>
      </w:r>
      <w:r w:rsidRPr="006404A2">
        <w:rPr>
          <w:rFonts w:ascii="Microsoft Sans Serif" w:eastAsia="Microsoft Sans Serif" w:hAnsi="Microsoft Sans Serif" w:cs="Microsoft Sans Serif"/>
          <w:b/>
          <w:bCs/>
          <w:szCs w:val="22"/>
        </w:rPr>
        <w:t>717.236.1300</w:t>
      </w:r>
    </w:p>
    <w:p w14:paraId="439BBDCE"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31" w:history="1">
        <w:r w:rsidRPr="006404A2">
          <w:rPr>
            <w:rFonts w:ascii="Microsoft Sans Serif" w:eastAsia="Microsoft Sans Serif" w:hAnsi="Microsoft Sans Serif" w:cs="Microsoft Sans Serif"/>
            <w:color w:val="0563C1" w:themeColor="hyperlink"/>
            <w:szCs w:val="22"/>
            <w:u w:val="single"/>
          </w:rPr>
          <w:t>tjsniscak@hmslegal.com</w:t>
        </w:r>
      </w:hyperlink>
      <w:r w:rsidRPr="006404A2">
        <w:rPr>
          <w:rFonts w:ascii="Microsoft Sans Serif" w:eastAsia="Microsoft Sans Serif" w:hAnsi="Microsoft Sans Serif" w:cs="Microsoft Sans Serif"/>
          <w:szCs w:val="22"/>
        </w:rPr>
        <w:t xml:space="preserve">   </w:t>
      </w:r>
    </w:p>
    <w:p w14:paraId="48CD6EA3"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32" w:history="1">
        <w:r w:rsidRPr="006404A2">
          <w:rPr>
            <w:rFonts w:ascii="Microsoft Sans Serif" w:eastAsia="Microsoft Sans Serif" w:hAnsi="Microsoft Sans Serif" w:cs="Microsoft Sans Serif"/>
            <w:color w:val="0563C1" w:themeColor="hyperlink"/>
            <w:szCs w:val="22"/>
            <w:u w:val="single"/>
          </w:rPr>
          <w:t>wesnyder@hmslegal.com</w:t>
        </w:r>
      </w:hyperlink>
      <w:r w:rsidRPr="006404A2">
        <w:rPr>
          <w:rFonts w:ascii="Microsoft Sans Serif" w:eastAsia="Microsoft Sans Serif" w:hAnsi="Microsoft Sans Serif" w:cs="Microsoft Sans Serif"/>
          <w:szCs w:val="22"/>
        </w:rPr>
        <w:t xml:space="preserve"> </w:t>
      </w:r>
      <w:r w:rsidRPr="006404A2">
        <w:rPr>
          <w:rFonts w:ascii="Microsoft Sans Serif" w:eastAsia="Microsoft Sans Serif" w:hAnsi="Microsoft Sans Serif" w:cs="Microsoft Sans Serif"/>
          <w:szCs w:val="22"/>
        </w:rPr>
        <w:cr/>
        <w:t>Accepts eService</w:t>
      </w:r>
    </w:p>
    <w:p w14:paraId="0C1A4526" w14:textId="77777777" w:rsidR="006404A2" w:rsidRPr="006404A2" w:rsidRDefault="006404A2" w:rsidP="006404A2">
      <w:pPr>
        <w:spacing w:line="259" w:lineRule="auto"/>
        <w:rPr>
          <w:rFonts w:ascii="Microsoft Sans Serif" w:eastAsia="Microsoft Sans Serif" w:hAnsi="Microsoft Sans Serif" w:cs="Microsoft Sans Serif"/>
          <w:i/>
          <w:iCs/>
          <w:szCs w:val="24"/>
        </w:rPr>
      </w:pPr>
      <w:r w:rsidRPr="006404A2">
        <w:rPr>
          <w:rFonts w:ascii="Microsoft Sans Serif" w:eastAsia="Microsoft Sans Serif" w:hAnsi="Microsoft Sans Serif" w:cs="Microsoft Sans Serif"/>
          <w:i/>
          <w:iCs/>
          <w:szCs w:val="24"/>
        </w:rPr>
        <w:t>(Counsel for Penn State University)</w:t>
      </w:r>
    </w:p>
    <w:p w14:paraId="66DB85CA" w14:textId="77777777" w:rsidR="006404A2" w:rsidRPr="006404A2" w:rsidRDefault="006404A2" w:rsidP="006404A2">
      <w:pPr>
        <w:spacing w:line="259" w:lineRule="auto"/>
        <w:rPr>
          <w:rFonts w:ascii="Microsoft Sans Serif" w:eastAsia="Microsoft Sans Serif" w:hAnsi="Microsoft Sans Serif" w:cs="Microsoft Sans Serif"/>
          <w:i/>
          <w:iCs/>
          <w:szCs w:val="24"/>
        </w:rPr>
      </w:pPr>
    </w:p>
    <w:p w14:paraId="0AAAE96F" w14:textId="77777777" w:rsidR="006404A2" w:rsidRDefault="006404A2" w:rsidP="006404A2">
      <w:pPr>
        <w:spacing w:line="259" w:lineRule="auto"/>
        <w:rPr>
          <w:rFonts w:ascii="Microsoft Sans Serif" w:eastAsia="Microsoft Sans Serif" w:hAnsi="Microsoft Sans Serif" w:cs="Microsoft Sans Serif"/>
          <w:szCs w:val="22"/>
        </w:rPr>
      </w:pPr>
      <w:r w:rsidRPr="006404A2">
        <w:rPr>
          <w:rFonts w:ascii="Microsoft Sans Serif" w:eastAsia="Microsoft Sans Serif" w:hAnsi="Microsoft Sans Serif" w:cs="Microsoft Sans Serif"/>
          <w:szCs w:val="22"/>
        </w:rPr>
        <w:cr/>
      </w:r>
    </w:p>
    <w:p w14:paraId="35C3FAD8" w14:textId="77777777" w:rsidR="006404A2" w:rsidRDefault="006404A2" w:rsidP="006404A2">
      <w:pPr>
        <w:spacing w:line="259" w:lineRule="auto"/>
        <w:rPr>
          <w:rFonts w:ascii="Microsoft Sans Serif" w:eastAsia="Microsoft Sans Serif" w:hAnsi="Microsoft Sans Serif" w:cs="Microsoft Sans Serif"/>
          <w:szCs w:val="22"/>
        </w:rPr>
      </w:pPr>
    </w:p>
    <w:p w14:paraId="0EA87F10" w14:textId="59CA0238" w:rsidR="006404A2" w:rsidRPr="006404A2" w:rsidRDefault="006404A2" w:rsidP="006404A2">
      <w:pPr>
        <w:spacing w:line="259" w:lineRule="auto"/>
        <w:rPr>
          <w:rFonts w:ascii="Microsoft Sans Serif" w:eastAsia="Microsoft Sans Serif" w:hAnsi="Microsoft Sans Serif" w:cs="Microsoft Sans Serif"/>
          <w:b/>
          <w:bCs/>
          <w:szCs w:val="22"/>
        </w:rPr>
      </w:pPr>
      <w:r w:rsidRPr="006404A2">
        <w:rPr>
          <w:rFonts w:ascii="Microsoft Sans Serif" w:eastAsia="Microsoft Sans Serif" w:hAnsi="Microsoft Sans Serif" w:cs="Microsoft Sans Serif"/>
          <w:szCs w:val="22"/>
        </w:rPr>
        <w:lastRenderedPageBreak/>
        <w:t>JOHN F LUSHIS JR. ESQUIRE</w:t>
      </w:r>
      <w:r w:rsidRPr="006404A2">
        <w:rPr>
          <w:rFonts w:ascii="Microsoft Sans Serif" w:eastAsia="Microsoft Sans Serif" w:hAnsi="Microsoft Sans Serif" w:cs="Microsoft Sans Serif"/>
          <w:szCs w:val="22"/>
        </w:rPr>
        <w:br/>
        <w:t>NORRIS MCLAUGHLIN PA</w:t>
      </w:r>
      <w:r w:rsidRPr="006404A2">
        <w:rPr>
          <w:rFonts w:ascii="Microsoft Sans Serif" w:eastAsia="Microsoft Sans Serif" w:hAnsi="Microsoft Sans Serif" w:cs="Microsoft Sans Serif"/>
          <w:szCs w:val="22"/>
        </w:rPr>
        <w:cr/>
        <w:t>515 WEST HAMILTON STREET</w:t>
      </w:r>
      <w:r w:rsidRPr="006404A2">
        <w:rPr>
          <w:rFonts w:ascii="Microsoft Sans Serif" w:eastAsia="Microsoft Sans Serif" w:hAnsi="Microsoft Sans Serif" w:cs="Microsoft Sans Serif"/>
          <w:szCs w:val="22"/>
        </w:rPr>
        <w:cr/>
        <w:t>SUITE 502</w:t>
      </w:r>
      <w:r w:rsidRPr="006404A2">
        <w:rPr>
          <w:rFonts w:ascii="Microsoft Sans Serif" w:eastAsia="Microsoft Sans Serif" w:hAnsi="Microsoft Sans Serif" w:cs="Microsoft Sans Serif"/>
          <w:szCs w:val="22"/>
        </w:rPr>
        <w:cr/>
        <w:t>ALLENTOWN PA  18101</w:t>
      </w:r>
      <w:r w:rsidRPr="006404A2">
        <w:rPr>
          <w:rFonts w:ascii="Microsoft Sans Serif" w:eastAsia="Microsoft Sans Serif" w:hAnsi="Microsoft Sans Serif" w:cs="Microsoft Sans Serif"/>
          <w:szCs w:val="22"/>
        </w:rPr>
        <w:cr/>
      </w:r>
      <w:r w:rsidRPr="006404A2">
        <w:rPr>
          <w:rFonts w:ascii="Microsoft Sans Serif" w:eastAsia="Microsoft Sans Serif" w:hAnsi="Microsoft Sans Serif" w:cs="Microsoft Sans Serif"/>
          <w:b/>
          <w:bCs/>
          <w:szCs w:val="22"/>
        </w:rPr>
        <w:t>610.391.1800</w:t>
      </w:r>
    </w:p>
    <w:p w14:paraId="711F32C5" w14:textId="77777777" w:rsidR="006404A2" w:rsidRPr="006404A2" w:rsidRDefault="006404A2" w:rsidP="006404A2">
      <w:pPr>
        <w:spacing w:line="259" w:lineRule="auto"/>
        <w:rPr>
          <w:rFonts w:ascii="Microsoft Sans Serif" w:eastAsia="Microsoft Sans Serif" w:hAnsi="Microsoft Sans Serif" w:cs="Microsoft Sans Serif"/>
          <w:szCs w:val="22"/>
        </w:rPr>
      </w:pPr>
      <w:hyperlink r:id="rId33" w:history="1">
        <w:r w:rsidRPr="006404A2">
          <w:rPr>
            <w:rFonts w:ascii="Microsoft Sans Serif" w:eastAsia="Microsoft Sans Serif" w:hAnsi="Microsoft Sans Serif" w:cs="Microsoft Sans Serif"/>
            <w:color w:val="0563C1" w:themeColor="hyperlink"/>
            <w:szCs w:val="22"/>
            <w:u w:val="single"/>
          </w:rPr>
          <w:t>jlushis@norris-law.com</w:t>
        </w:r>
      </w:hyperlink>
      <w:r w:rsidRPr="006404A2">
        <w:rPr>
          <w:rFonts w:ascii="Microsoft Sans Serif" w:eastAsia="Microsoft Sans Serif" w:hAnsi="Microsoft Sans Serif" w:cs="Microsoft Sans Serif"/>
          <w:szCs w:val="22"/>
        </w:rPr>
        <w:t xml:space="preserve">  </w:t>
      </w:r>
      <w:r w:rsidRPr="006404A2">
        <w:rPr>
          <w:rFonts w:ascii="Microsoft Sans Serif" w:eastAsia="Microsoft Sans Serif" w:hAnsi="Microsoft Sans Serif" w:cs="Microsoft Sans Serif"/>
          <w:szCs w:val="22"/>
        </w:rPr>
        <w:cr/>
        <w:t>Accepts eService</w:t>
      </w:r>
    </w:p>
    <w:p w14:paraId="54EBA4FA" w14:textId="77777777" w:rsidR="006404A2" w:rsidRPr="006404A2" w:rsidRDefault="006404A2" w:rsidP="006404A2">
      <w:pPr>
        <w:spacing w:line="259" w:lineRule="auto"/>
        <w:rPr>
          <w:rFonts w:ascii="Microsoft Sans Serif" w:eastAsia="Microsoft Sans Serif" w:hAnsi="Microsoft Sans Serif" w:cs="Microsoft Sans Serif"/>
          <w:i/>
          <w:iCs/>
          <w:szCs w:val="24"/>
        </w:rPr>
      </w:pPr>
      <w:r w:rsidRPr="006404A2">
        <w:rPr>
          <w:rFonts w:ascii="Microsoft Sans Serif" w:eastAsia="Microsoft Sans Serif" w:hAnsi="Microsoft Sans Serif" w:cs="Microsoft Sans Serif"/>
          <w:i/>
          <w:iCs/>
          <w:szCs w:val="22"/>
        </w:rPr>
        <w:t>(Counsel for Calpine)</w:t>
      </w:r>
    </w:p>
    <w:p w14:paraId="6F24FCEF" w14:textId="77777777" w:rsidR="006404A2" w:rsidRPr="006404A2" w:rsidRDefault="006404A2" w:rsidP="006404A2">
      <w:pPr>
        <w:spacing w:line="259" w:lineRule="auto"/>
        <w:rPr>
          <w:rFonts w:asciiTheme="minorHAnsi" w:eastAsiaTheme="minorEastAsia" w:hAnsiTheme="minorHAnsi" w:cstheme="minorBidi"/>
          <w:sz w:val="22"/>
          <w:szCs w:val="22"/>
        </w:rPr>
      </w:pPr>
    </w:p>
    <w:p w14:paraId="1508D1B7" w14:textId="77777777" w:rsidR="002D36EB" w:rsidRPr="00A04291" w:rsidRDefault="002D36EB" w:rsidP="002D36EB">
      <w:pPr>
        <w:spacing w:line="240" w:lineRule="auto"/>
        <w:rPr>
          <w:szCs w:val="24"/>
        </w:rPr>
      </w:pPr>
    </w:p>
    <w:sectPr w:rsidR="002D36EB" w:rsidRPr="00A04291" w:rsidSect="002113C7">
      <w:footerReference w:type="default" r:id="rId3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22C2" w14:textId="77777777" w:rsidR="002942E9" w:rsidRDefault="002942E9" w:rsidP="002609B0">
      <w:pPr>
        <w:spacing w:line="240" w:lineRule="auto"/>
      </w:pPr>
      <w:r>
        <w:separator/>
      </w:r>
    </w:p>
  </w:endnote>
  <w:endnote w:type="continuationSeparator" w:id="0">
    <w:p w14:paraId="7B09368D" w14:textId="77777777" w:rsidR="002942E9" w:rsidRDefault="002942E9" w:rsidP="0026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83435"/>
      <w:docPartObj>
        <w:docPartGallery w:val="Page Numbers (Bottom of Page)"/>
        <w:docPartUnique/>
      </w:docPartObj>
    </w:sdtPr>
    <w:sdtEndPr>
      <w:rPr>
        <w:noProof/>
      </w:rPr>
    </w:sdtEndPr>
    <w:sdtContent>
      <w:p w14:paraId="06B1B2BB" w14:textId="52E6AFC9" w:rsidR="009B4AD1" w:rsidRDefault="009B4AD1">
        <w:pPr>
          <w:pStyle w:val="Footer"/>
          <w:jc w:val="center"/>
        </w:pPr>
        <w:r w:rsidRPr="009B4AD1">
          <w:rPr>
            <w:sz w:val="20"/>
          </w:rPr>
          <w:fldChar w:fldCharType="begin"/>
        </w:r>
        <w:r w:rsidRPr="009B4AD1">
          <w:rPr>
            <w:sz w:val="20"/>
          </w:rPr>
          <w:instrText xml:space="preserve"> PAGE   \* MERGEFORMAT </w:instrText>
        </w:r>
        <w:r w:rsidRPr="009B4AD1">
          <w:rPr>
            <w:sz w:val="20"/>
          </w:rPr>
          <w:fldChar w:fldCharType="separate"/>
        </w:r>
        <w:r w:rsidRPr="009B4AD1">
          <w:rPr>
            <w:noProof/>
            <w:sz w:val="20"/>
          </w:rPr>
          <w:t>2</w:t>
        </w:r>
        <w:r w:rsidRPr="009B4AD1">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6601" w14:textId="6E3092A3" w:rsidR="00873F6B" w:rsidRDefault="00873F6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51C8" w14:textId="5B6F3ADF" w:rsidR="006404A2" w:rsidRDefault="006404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2997" w14:textId="77777777" w:rsidR="002942E9" w:rsidRDefault="002942E9" w:rsidP="002609B0">
      <w:pPr>
        <w:spacing w:line="240" w:lineRule="auto"/>
      </w:pPr>
      <w:r>
        <w:separator/>
      </w:r>
    </w:p>
  </w:footnote>
  <w:footnote w:type="continuationSeparator" w:id="0">
    <w:p w14:paraId="6A7B7035" w14:textId="77777777" w:rsidR="002942E9" w:rsidRDefault="002942E9" w:rsidP="002609B0">
      <w:pPr>
        <w:spacing w:line="240" w:lineRule="auto"/>
      </w:pPr>
      <w:r>
        <w:continuationSeparator/>
      </w:r>
    </w:p>
  </w:footnote>
  <w:footnote w:id="1">
    <w:p w14:paraId="02ADCC1A" w14:textId="75E5A557" w:rsidR="00125387" w:rsidRPr="008526FA" w:rsidRDefault="00125387" w:rsidP="00393880">
      <w:pPr>
        <w:pStyle w:val="FootnoteText"/>
        <w:spacing w:line="240" w:lineRule="auto"/>
        <w:ind w:firstLine="720"/>
        <w:rPr>
          <w:sz w:val="20"/>
        </w:rPr>
      </w:pPr>
      <w:r w:rsidRPr="008526FA">
        <w:rPr>
          <w:rStyle w:val="FootnoteReference"/>
          <w:sz w:val="20"/>
        </w:rPr>
        <w:footnoteRef/>
      </w:r>
      <w:r w:rsidRPr="008526FA">
        <w:rPr>
          <w:sz w:val="20"/>
        </w:rPr>
        <w:t xml:space="preserve"> </w:t>
      </w:r>
      <w:r w:rsidRPr="008526FA">
        <w:rPr>
          <w:sz w:val="20"/>
        </w:rPr>
        <w:tab/>
        <w:t>Application ¶ ¶ 11, 19, 35, 48, 55, 47, 27, and 43.</w:t>
      </w:r>
    </w:p>
  </w:footnote>
  <w:footnote w:id="2">
    <w:p w14:paraId="13CA6E53" w14:textId="73463657" w:rsidR="00125387" w:rsidRDefault="00125387" w:rsidP="00393880">
      <w:pPr>
        <w:spacing w:line="240" w:lineRule="auto"/>
        <w:ind w:firstLine="720"/>
        <w:rPr>
          <w:sz w:val="20"/>
        </w:rPr>
      </w:pPr>
      <w:r w:rsidRPr="00A41236">
        <w:rPr>
          <w:rStyle w:val="FootnoteReference"/>
          <w:sz w:val="20"/>
        </w:rPr>
        <w:footnoteRef/>
      </w:r>
      <w:r w:rsidRPr="00A41236">
        <w:rPr>
          <w:sz w:val="20"/>
        </w:rPr>
        <w:t xml:space="preserve"> </w:t>
      </w:r>
      <w:r w:rsidRPr="00A41236">
        <w:rPr>
          <w:sz w:val="20"/>
        </w:rPr>
        <w:tab/>
      </w:r>
      <w:r w:rsidRPr="00A41236">
        <w:rPr>
          <w:i/>
          <w:iCs/>
          <w:sz w:val="20"/>
        </w:rPr>
        <w:t>Id.</w:t>
      </w:r>
      <w:r w:rsidRPr="00A41236">
        <w:rPr>
          <w:sz w:val="20"/>
        </w:rPr>
        <w:t xml:space="preserve"> ¶¶ 83 84. </w:t>
      </w:r>
    </w:p>
    <w:p w14:paraId="1BC2AE40" w14:textId="77777777" w:rsidR="00393880" w:rsidRPr="00A41236" w:rsidRDefault="00393880" w:rsidP="00393880">
      <w:pPr>
        <w:spacing w:line="240" w:lineRule="auto"/>
        <w:ind w:firstLine="720"/>
        <w:rPr>
          <w:sz w:val="20"/>
        </w:rPr>
      </w:pPr>
    </w:p>
  </w:footnote>
  <w:footnote w:id="3">
    <w:p w14:paraId="4843E7CB" w14:textId="6A07E138" w:rsidR="00125387" w:rsidRDefault="00125387" w:rsidP="00393880">
      <w:pPr>
        <w:pStyle w:val="FootnoteText"/>
        <w:spacing w:line="240" w:lineRule="auto"/>
        <w:ind w:firstLine="720"/>
        <w:rPr>
          <w:sz w:val="20"/>
        </w:rPr>
      </w:pPr>
      <w:r w:rsidRPr="00A41236">
        <w:rPr>
          <w:rStyle w:val="FootnoteReference"/>
          <w:sz w:val="20"/>
        </w:rPr>
        <w:footnoteRef/>
      </w:r>
      <w:r w:rsidRPr="00A41236">
        <w:rPr>
          <w:sz w:val="20"/>
        </w:rPr>
        <w:t xml:space="preserve"> </w:t>
      </w:r>
      <w:r w:rsidRPr="00A41236">
        <w:rPr>
          <w:sz w:val="20"/>
        </w:rPr>
        <w:tab/>
      </w:r>
      <w:r w:rsidRPr="00A41236">
        <w:rPr>
          <w:i/>
          <w:iCs/>
          <w:sz w:val="20"/>
        </w:rPr>
        <w:t>Id.</w:t>
      </w:r>
      <w:r w:rsidRPr="00A41236">
        <w:rPr>
          <w:sz w:val="20"/>
        </w:rPr>
        <w:t xml:space="preserve"> ¶ 64.</w:t>
      </w:r>
    </w:p>
    <w:p w14:paraId="59CACF40" w14:textId="77777777" w:rsidR="00393880" w:rsidRPr="00A41236" w:rsidRDefault="00393880" w:rsidP="00393880">
      <w:pPr>
        <w:pStyle w:val="FootnoteText"/>
        <w:spacing w:line="240" w:lineRule="auto"/>
        <w:ind w:firstLine="720"/>
        <w:rPr>
          <w:sz w:val="20"/>
        </w:rPr>
      </w:pPr>
    </w:p>
  </w:footnote>
  <w:footnote w:id="4">
    <w:p w14:paraId="47C7C326" w14:textId="336CEB8D" w:rsidR="00C607F4" w:rsidRDefault="00C607F4" w:rsidP="00393880">
      <w:pPr>
        <w:pStyle w:val="FootnoteText"/>
        <w:spacing w:line="240" w:lineRule="auto"/>
        <w:ind w:firstLine="720"/>
        <w:rPr>
          <w:sz w:val="20"/>
        </w:rPr>
      </w:pPr>
      <w:r w:rsidRPr="00A41236">
        <w:rPr>
          <w:rStyle w:val="FootnoteReference"/>
          <w:sz w:val="20"/>
        </w:rPr>
        <w:footnoteRef/>
      </w:r>
      <w:r w:rsidRPr="00A41236">
        <w:rPr>
          <w:sz w:val="20"/>
        </w:rPr>
        <w:t xml:space="preserve"> </w:t>
      </w:r>
      <w:r w:rsidRPr="00A41236">
        <w:rPr>
          <w:sz w:val="20"/>
        </w:rPr>
        <w:tab/>
      </w:r>
      <w:r w:rsidRPr="00A41236">
        <w:rPr>
          <w:i/>
          <w:iCs/>
          <w:sz w:val="20"/>
        </w:rPr>
        <w:t>Id.</w:t>
      </w:r>
      <w:r w:rsidRPr="00A41236">
        <w:rPr>
          <w:sz w:val="20"/>
        </w:rPr>
        <w:t xml:space="preserve"> ¶ 75.</w:t>
      </w:r>
    </w:p>
    <w:p w14:paraId="753D5ECE" w14:textId="77777777" w:rsidR="00393880" w:rsidRDefault="00393880" w:rsidP="00393880">
      <w:pPr>
        <w:pStyle w:val="FootnoteText"/>
        <w:spacing w:line="240" w:lineRule="auto"/>
        <w:ind w:firstLine="720"/>
      </w:pPr>
    </w:p>
  </w:footnote>
  <w:footnote w:id="5">
    <w:p w14:paraId="3E29F2C5" w14:textId="20311E7E" w:rsidR="00C9691D" w:rsidRPr="00C9691D" w:rsidRDefault="00C9691D" w:rsidP="00393880">
      <w:pPr>
        <w:pStyle w:val="FootnoteText"/>
        <w:spacing w:line="240" w:lineRule="auto"/>
        <w:ind w:firstLine="720"/>
        <w:rPr>
          <w:sz w:val="20"/>
        </w:rPr>
      </w:pPr>
      <w:r w:rsidRPr="00C9691D">
        <w:rPr>
          <w:rStyle w:val="FootnoteReference"/>
          <w:sz w:val="20"/>
        </w:rPr>
        <w:footnoteRef/>
      </w:r>
      <w:r w:rsidRPr="00C9691D">
        <w:rPr>
          <w:sz w:val="20"/>
        </w:rPr>
        <w:t xml:space="preserve"> </w:t>
      </w:r>
      <w:r w:rsidRPr="00C9691D">
        <w:rPr>
          <w:sz w:val="20"/>
        </w:rPr>
        <w:tab/>
      </w:r>
      <w:r w:rsidR="00A3009E">
        <w:rPr>
          <w:i/>
          <w:iCs/>
          <w:sz w:val="20"/>
        </w:rPr>
        <w:t>Id.</w:t>
      </w:r>
      <w:r w:rsidRPr="00C9691D">
        <w:rPr>
          <w:sz w:val="20"/>
        </w:rPr>
        <w:t xml:space="preserve"> ¶ 88.</w:t>
      </w:r>
    </w:p>
  </w:footnote>
  <w:footnote w:id="6">
    <w:p w14:paraId="42A0F380" w14:textId="561E3496" w:rsidR="00F91522" w:rsidRDefault="00F91522" w:rsidP="00393880">
      <w:pPr>
        <w:pStyle w:val="FootnoteText"/>
        <w:spacing w:line="240" w:lineRule="auto"/>
        <w:ind w:firstLine="720"/>
        <w:rPr>
          <w:sz w:val="20"/>
        </w:rPr>
      </w:pPr>
      <w:r>
        <w:rPr>
          <w:rStyle w:val="FootnoteReference"/>
        </w:rPr>
        <w:footnoteRef/>
      </w:r>
      <w:r>
        <w:t xml:space="preserve"> </w:t>
      </w:r>
      <w:r>
        <w:tab/>
      </w:r>
      <w:r w:rsidRPr="00033517">
        <w:rPr>
          <w:sz w:val="20"/>
        </w:rPr>
        <w:t>Application ¶ 4.</w:t>
      </w:r>
    </w:p>
    <w:p w14:paraId="7AE97F96" w14:textId="77777777" w:rsidR="00393880" w:rsidRPr="00033517" w:rsidRDefault="00393880" w:rsidP="00393880">
      <w:pPr>
        <w:pStyle w:val="FootnoteText"/>
        <w:spacing w:line="240" w:lineRule="auto"/>
        <w:ind w:firstLine="720"/>
        <w:rPr>
          <w:sz w:val="20"/>
        </w:rPr>
      </w:pPr>
    </w:p>
  </w:footnote>
  <w:footnote w:id="7">
    <w:p w14:paraId="2D7E0DA5" w14:textId="5902D372" w:rsidR="00B150F1" w:rsidRDefault="00B150F1" w:rsidP="00393880">
      <w:pPr>
        <w:pStyle w:val="FootnoteText"/>
        <w:spacing w:line="240" w:lineRule="auto"/>
        <w:ind w:firstLine="720"/>
        <w:rPr>
          <w:sz w:val="20"/>
        </w:rPr>
      </w:pPr>
      <w:r w:rsidRPr="00033517">
        <w:rPr>
          <w:rStyle w:val="FootnoteReference"/>
          <w:sz w:val="20"/>
        </w:rPr>
        <w:footnoteRef/>
      </w:r>
      <w:r w:rsidRPr="00033517">
        <w:rPr>
          <w:sz w:val="20"/>
        </w:rPr>
        <w:t xml:space="preserve"> </w:t>
      </w:r>
      <w:r w:rsidRPr="00033517">
        <w:rPr>
          <w:sz w:val="20"/>
        </w:rPr>
        <w:tab/>
      </w:r>
      <w:r w:rsidR="00033517" w:rsidRPr="00033517">
        <w:rPr>
          <w:i/>
          <w:iCs/>
          <w:sz w:val="20"/>
        </w:rPr>
        <w:t>Id.</w:t>
      </w:r>
      <w:r w:rsidRPr="00033517">
        <w:rPr>
          <w:sz w:val="20"/>
        </w:rPr>
        <w:t xml:space="preserve"> ¶ ¶ 66-74.</w:t>
      </w:r>
    </w:p>
    <w:p w14:paraId="5EB4B934" w14:textId="77777777" w:rsidR="00393880" w:rsidRPr="00033517" w:rsidRDefault="00393880" w:rsidP="00393880">
      <w:pPr>
        <w:pStyle w:val="FootnoteText"/>
        <w:spacing w:line="240" w:lineRule="auto"/>
        <w:ind w:firstLine="720"/>
        <w:rPr>
          <w:sz w:val="20"/>
        </w:rPr>
      </w:pPr>
    </w:p>
  </w:footnote>
  <w:footnote w:id="8">
    <w:p w14:paraId="770229FD" w14:textId="393F0FBE" w:rsidR="00B150F1" w:rsidRDefault="00B150F1" w:rsidP="00393880">
      <w:pPr>
        <w:pStyle w:val="FootnoteText"/>
        <w:spacing w:line="240" w:lineRule="auto"/>
        <w:ind w:firstLine="720"/>
        <w:rPr>
          <w:sz w:val="20"/>
        </w:rPr>
      </w:pPr>
      <w:r w:rsidRPr="00033517">
        <w:rPr>
          <w:rStyle w:val="FootnoteReference"/>
          <w:sz w:val="20"/>
        </w:rPr>
        <w:footnoteRef/>
      </w:r>
      <w:r w:rsidRPr="00033517">
        <w:rPr>
          <w:sz w:val="20"/>
        </w:rPr>
        <w:t xml:space="preserve"> </w:t>
      </w:r>
      <w:r w:rsidR="00C6027B" w:rsidRPr="00033517">
        <w:rPr>
          <w:sz w:val="20"/>
        </w:rPr>
        <w:tab/>
      </w:r>
      <w:r w:rsidR="00C6027B" w:rsidRPr="00033517">
        <w:rPr>
          <w:i/>
          <w:iCs/>
          <w:sz w:val="20"/>
        </w:rPr>
        <w:t>Id.</w:t>
      </w:r>
      <w:r w:rsidR="00C6027B" w:rsidRPr="00033517">
        <w:rPr>
          <w:sz w:val="20"/>
        </w:rPr>
        <w:t xml:space="preserve"> ¶ 141.</w:t>
      </w:r>
    </w:p>
    <w:p w14:paraId="51E227F3" w14:textId="77777777" w:rsidR="00393880" w:rsidRPr="00033517" w:rsidRDefault="00393880" w:rsidP="00393880">
      <w:pPr>
        <w:pStyle w:val="FootnoteText"/>
        <w:spacing w:line="240" w:lineRule="auto"/>
        <w:ind w:firstLine="720"/>
        <w:rPr>
          <w:sz w:val="20"/>
        </w:rPr>
      </w:pPr>
    </w:p>
  </w:footnote>
  <w:footnote w:id="9">
    <w:p w14:paraId="0B139A7E" w14:textId="579398A0" w:rsidR="00C6027B" w:rsidRDefault="00C6027B" w:rsidP="00393880">
      <w:pPr>
        <w:pStyle w:val="FootnoteText"/>
        <w:spacing w:line="240" w:lineRule="auto"/>
        <w:ind w:firstLine="720"/>
      </w:pPr>
      <w:r w:rsidRPr="00033517">
        <w:rPr>
          <w:rStyle w:val="FootnoteReference"/>
          <w:sz w:val="20"/>
        </w:rPr>
        <w:footnoteRef/>
      </w:r>
      <w:r w:rsidRPr="00033517">
        <w:rPr>
          <w:sz w:val="20"/>
        </w:rPr>
        <w:t xml:space="preserve"> </w:t>
      </w:r>
      <w:r w:rsidRPr="00033517">
        <w:rPr>
          <w:sz w:val="20"/>
        </w:rPr>
        <w:tab/>
      </w:r>
      <w:r w:rsidRPr="00033517">
        <w:rPr>
          <w:i/>
          <w:iCs/>
          <w:sz w:val="20"/>
        </w:rPr>
        <w:t>Id.</w:t>
      </w:r>
      <w:r w:rsidRPr="00033517">
        <w:rPr>
          <w:sz w:val="20"/>
        </w:rPr>
        <w:t xml:space="preserve"> ¶ 1</w:t>
      </w:r>
    </w:p>
  </w:footnote>
  <w:footnote w:id="10">
    <w:p w14:paraId="07A25F67" w14:textId="5DC773A9" w:rsidR="00106B67" w:rsidRDefault="00106B67" w:rsidP="00393880">
      <w:pPr>
        <w:pStyle w:val="FootnoteText"/>
        <w:spacing w:line="240" w:lineRule="auto"/>
        <w:ind w:firstLine="720"/>
        <w:rPr>
          <w:sz w:val="20"/>
        </w:rPr>
      </w:pPr>
      <w:r w:rsidRPr="00D653D2">
        <w:rPr>
          <w:rStyle w:val="FootnoteReference"/>
          <w:sz w:val="20"/>
        </w:rPr>
        <w:footnoteRef/>
      </w:r>
      <w:r w:rsidRPr="00D653D2">
        <w:rPr>
          <w:sz w:val="20"/>
        </w:rPr>
        <w:t xml:space="preserve"> </w:t>
      </w:r>
      <w:r w:rsidR="00D653D2" w:rsidRPr="00D653D2">
        <w:rPr>
          <w:sz w:val="20"/>
        </w:rPr>
        <w:tab/>
      </w:r>
      <w:r w:rsidR="00683D34" w:rsidRPr="00683D34">
        <w:rPr>
          <w:i/>
          <w:iCs/>
          <w:sz w:val="20"/>
        </w:rPr>
        <w:t>Id.</w:t>
      </w:r>
      <w:r w:rsidR="00D653D2" w:rsidRPr="00D653D2">
        <w:rPr>
          <w:sz w:val="20"/>
        </w:rPr>
        <w:t xml:space="preserve"> ¶ 140, 156.</w:t>
      </w:r>
    </w:p>
    <w:p w14:paraId="271CDB8E" w14:textId="77777777" w:rsidR="00393880" w:rsidRPr="00D653D2" w:rsidRDefault="00393880" w:rsidP="00393880">
      <w:pPr>
        <w:pStyle w:val="FootnoteText"/>
        <w:spacing w:line="240" w:lineRule="auto"/>
        <w:ind w:firstLine="720"/>
        <w:rPr>
          <w:sz w:val="20"/>
        </w:rPr>
      </w:pPr>
    </w:p>
  </w:footnote>
  <w:footnote w:id="11">
    <w:p w14:paraId="551BA50E" w14:textId="34AEE91D" w:rsidR="00D653D2" w:rsidRDefault="00D653D2" w:rsidP="00393880">
      <w:pPr>
        <w:pStyle w:val="FootnoteText"/>
        <w:spacing w:line="240" w:lineRule="auto"/>
        <w:ind w:firstLine="720"/>
        <w:rPr>
          <w:sz w:val="20"/>
        </w:rPr>
      </w:pPr>
      <w:r w:rsidRPr="00D653D2">
        <w:rPr>
          <w:rStyle w:val="FootnoteReference"/>
          <w:sz w:val="20"/>
        </w:rPr>
        <w:footnoteRef/>
      </w:r>
      <w:r w:rsidRPr="00D653D2">
        <w:rPr>
          <w:sz w:val="20"/>
        </w:rPr>
        <w:t xml:space="preserve"> </w:t>
      </w:r>
      <w:r w:rsidRPr="00D653D2">
        <w:rPr>
          <w:sz w:val="20"/>
        </w:rPr>
        <w:tab/>
      </w:r>
      <w:r w:rsidRPr="006A6480">
        <w:rPr>
          <w:i/>
          <w:iCs/>
          <w:sz w:val="20"/>
        </w:rPr>
        <w:t>Id.</w:t>
      </w:r>
      <w:r w:rsidRPr="00D653D2">
        <w:rPr>
          <w:sz w:val="20"/>
        </w:rPr>
        <w:t xml:space="preserve"> ¶ ¶ 11, 19, 27, 35.</w:t>
      </w:r>
    </w:p>
    <w:p w14:paraId="6BE343C1" w14:textId="77777777" w:rsidR="00393880" w:rsidRPr="00D653D2" w:rsidRDefault="00393880" w:rsidP="00393880">
      <w:pPr>
        <w:pStyle w:val="FootnoteText"/>
        <w:spacing w:line="240" w:lineRule="auto"/>
        <w:ind w:firstLine="720"/>
        <w:rPr>
          <w:sz w:val="20"/>
        </w:rPr>
      </w:pPr>
    </w:p>
  </w:footnote>
  <w:footnote w:id="12">
    <w:p w14:paraId="42D0C8E6" w14:textId="25C91A0A" w:rsidR="006A6480" w:rsidRDefault="006A6480" w:rsidP="00393880">
      <w:pPr>
        <w:pStyle w:val="FootnoteText"/>
        <w:spacing w:line="240" w:lineRule="auto"/>
        <w:ind w:firstLine="720"/>
        <w:rPr>
          <w:sz w:val="20"/>
        </w:rPr>
      </w:pPr>
      <w:r w:rsidRPr="006A6480">
        <w:rPr>
          <w:rStyle w:val="FootnoteReference"/>
          <w:sz w:val="20"/>
        </w:rPr>
        <w:footnoteRef/>
      </w:r>
      <w:r w:rsidRPr="006A6480">
        <w:rPr>
          <w:sz w:val="20"/>
        </w:rPr>
        <w:t xml:space="preserve"> </w:t>
      </w:r>
      <w:r w:rsidRPr="006A6480">
        <w:rPr>
          <w:i/>
          <w:iCs/>
          <w:sz w:val="20"/>
        </w:rPr>
        <w:tab/>
        <w:t>Id.</w:t>
      </w:r>
      <w:r w:rsidRPr="006A6480">
        <w:rPr>
          <w:sz w:val="20"/>
        </w:rPr>
        <w:t xml:space="preserve"> ¶ 75.</w:t>
      </w:r>
    </w:p>
    <w:p w14:paraId="2CEC100E" w14:textId="77777777" w:rsidR="00393880" w:rsidRPr="006A6480" w:rsidRDefault="00393880" w:rsidP="00393880">
      <w:pPr>
        <w:pStyle w:val="FootnoteText"/>
        <w:spacing w:line="240" w:lineRule="auto"/>
        <w:ind w:firstLine="720"/>
        <w:rPr>
          <w:sz w:val="20"/>
        </w:rPr>
      </w:pPr>
    </w:p>
  </w:footnote>
  <w:footnote w:id="13">
    <w:p w14:paraId="1CE90A98" w14:textId="6A35966A" w:rsidR="00E239CC" w:rsidRDefault="00E239CC" w:rsidP="00393880">
      <w:pPr>
        <w:pStyle w:val="FootnoteText"/>
        <w:spacing w:line="240" w:lineRule="auto"/>
        <w:ind w:firstLine="720"/>
        <w:rPr>
          <w:sz w:val="20"/>
        </w:rPr>
      </w:pPr>
      <w:r w:rsidRPr="002A76E1">
        <w:rPr>
          <w:rStyle w:val="FootnoteReference"/>
          <w:sz w:val="20"/>
        </w:rPr>
        <w:footnoteRef/>
      </w:r>
      <w:r w:rsidRPr="002A76E1">
        <w:rPr>
          <w:sz w:val="20"/>
        </w:rPr>
        <w:t xml:space="preserve"> </w:t>
      </w:r>
      <w:r w:rsidRPr="002A76E1">
        <w:rPr>
          <w:sz w:val="20"/>
        </w:rPr>
        <w:tab/>
      </w:r>
      <w:r w:rsidRPr="002A76E1">
        <w:rPr>
          <w:i/>
          <w:iCs/>
          <w:sz w:val="20"/>
        </w:rPr>
        <w:t>Id.</w:t>
      </w:r>
      <w:r w:rsidRPr="002A76E1">
        <w:rPr>
          <w:sz w:val="20"/>
        </w:rPr>
        <w:t xml:space="preserve"> ¶ 83.</w:t>
      </w:r>
    </w:p>
    <w:p w14:paraId="2134D7FE" w14:textId="77777777" w:rsidR="00393880" w:rsidRPr="002A76E1" w:rsidRDefault="00393880" w:rsidP="00393880">
      <w:pPr>
        <w:pStyle w:val="FootnoteText"/>
        <w:spacing w:line="240" w:lineRule="auto"/>
        <w:ind w:firstLine="720"/>
        <w:rPr>
          <w:sz w:val="20"/>
        </w:rPr>
      </w:pPr>
    </w:p>
  </w:footnote>
  <w:footnote w:id="14">
    <w:p w14:paraId="017204DD" w14:textId="7A919351" w:rsidR="00FC5DAA" w:rsidRDefault="00FC5DAA" w:rsidP="00393880">
      <w:pPr>
        <w:pStyle w:val="FootnoteText"/>
        <w:spacing w:line="240" w:lineRule="auto"/>
        <w:ind w:firstLine="720"/>
        <w:rPr>
          <w:sz w:val="20"/>
        </w:rPr>
      </w:pPr>
      <w:r w:rsidRPr="002A76E1">
        <w:rPr>
          <w:rStyle w:val="FootnoteReference"/>
          <w:sz w:val="20"/>
        </w:rPr>
        <w:footnoteRef/>
      </w:r>
      <w:r w:rsidRPr="002A76E1">
        <w:rPr>
          <w:sz w:val="20"/>
        </w:rPr>
        <w:t xml:space="preserve"> </w:t>
      </w:r>
      <w:r w:rsidRPr="002A76E1">
        <w:rPr>
          <w:sz w:val="20"/>
        </w:rPr>
        <w:tab/>
      </w:r>
      <w:r w:rsidRPr="002A76E1">
        <w:rPr>
          <w:i/>
          <w:iCs/>
          <w:sz w:val="20"/>
        </w:rPr>
        <w:t>Id.</w:t>
      </w:r>
      <w:r w:rsidRPr="002A76E1">
        <w:rPr>
          <w:sz w:val="20"/>
        </w:rPr>
        <w:t xml:space="preserve"> ¶ 128</w:t>
      </w:r>
      <w:r w:rsidR="00393880">
        <w:rPr>
          <w:sz w:val="20"/>
        </w:rPr>
        <w:t>.</w:t>
      </w:r>
    </w:p>
    <w:p w14:paraId="060EA30B" w14:textId="77777777" w:rsidR="00393880" w:rsidRPr="00303EE4" w:rsidRDefault="00393880" w:rsidP="00393880">
      <w:pPr>
        <w:pStyle w:val="FootnoteText"/>
        <w:spacing w:line="240" w:lineRule="auto"/>
        <w:ind w:firstLine="720"/>
        <w:rPr>
          <w:sz w:val="20"/>
        </w:rPr>
      </w:pPr>
    </w:p>
  </w:footnote>
  <w:footnote w:id="15">
    <w:p w14:paraId="542785DC" w14:textId="18E32166" w:rsidR="004D084D" w:rsidRPr="003D7E01" w:rsidRDefault="004D084D" w:rsidP="00393880">
      <w:pPr>
        <w:pStyle w:val="FootnoteText"/>
        <w:spacing w:line="240" w:lineRule="auto"/>
        <w:ind w:firstLine="720"/>
      </w:pPr>
      <w:r>
        <w:rPr>
          <w:rStyle w:val="FootnoteReference"/>
        </w:rPr>
        <w:footnoteRef/>
      </w:r>
      <w:r>
        <w:t xml:space="preserve"> </w:t>
      </w:r>
      <w:r>
        <w:tab/>
      </w:r>
      <w:r w:rsidRPr="001D4A42">
        <w:rPr>
          <w:i/>
          <w:iCs/>
          <w:sz w:val="20"/>
        </w:rPr>
        <w:t xml:space="preserve">See </w:t>
      </w:r>
      <w:r w:rsidR="001D4A42" w:rsidRPr="001D4A42">
        <w:rPr>
          <w:color w:val="333333"/>
          <w:sz w:val="20"/>
          <w:shd w:val="clear" w:color="auto" w:fill="FFFFFF"/>
        </w:rPr>
        <w:t>53 Pa.B. 1615.</w:t>
      </w:r>
    </w:p>
  </w:footnote>
  <w:footnote w:id="16">
    <w:p w14:paraId="4B5531C9" w14:textId="142F7DD7" w:rsidR="004C56CE" w:rsidRDefault="004C56CE" w:rsidP="00393880">
      <w:pPr>
        <w:pStyle w:val="FootnoteText"/>
        <w:spacing w:line="240" w:lineRule="auto"/>
        <w:ind w:firstLine="720"/>
      </w:pPr>
      <w:r>
        <w:rPr>
          <w:rStyle w:val="FootnoteReference"/>
        </w:rPr>
        <w:footnoteRef/>
      </w:r>
      <w:r>
        <w:t xml:space="preserve"> </w:t>
      </w:r>
      <w:r>
        <w:tab/>
      </w:r>
      <w:r w:rsidRPr="004C56CE">
        <w:rPr>
          <w:sz w:val="20"/>
        </w:rPr>
        <w:t xml:space="preserve">Joint Applicants aver the </w:t>
      </w:r>
      <w:r w:rsidRPr="004C56CE">
        <w:rPr>
          <w:i/>
          <w:iCs/>
          <w:sz w:val="20"/>
        </w:rPr>
        <w:t>Bedford Gazette</w:t>
      </w:r>
      <w:r w:rsidRPr="004C56CE">
        <w:rPr>
          <w:sz w:val="20"/>
        </w:rPr>
        <w:t xml:space="preserve"> is a newspaper of general circulation and is published every morning except Sunday.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6B7"/>
    <w:multiLevelType w:val="hybridMultilevel"/>
    <w:tmpl w:val="BB2ACCC2"/>
    <w:lvl w:ilvl="0" w:tplc="12127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7659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B0"/>
    <w:rsid w:val="00004395"/>
    <w:rsid w:val="000223A5"/>
    <w:rsid w:val="00030D62"/>
    <w:rsid w:val="00033517"/>
    <w:rsid w:val="00035D43"/>
    <w:rsid w:val="0004051F"/>
    <w:rsid w:val="000472CC"/>
    <w:rsid w:val="00047A8F"/>
    <w:rsid w:val="000536A5"/>
    <w:rsid w:val="0005645A"/>
    <w:rsid w:val="00076633"/>
    <w:rsid w:val="000829D1"/>
    <w:rsid w:val="0009092B"/>
    <w:rsid w:val="000A2419"/>
    <w:rsid w:val="000B2754"/>
    <w:rsid w:val="000B54A4"/>
    <w:rsid w:val="000E001C"/>
    <w:rsid w:val="000F3063"/>
    <w:rsid w:val="000F3096"/>
    <w:rsid w:val="00106B67"/>
    <w:rsid w:val="00125387"/>
    <w:rsid w:val="00125984"/>
    <w:rsid w:val="00130653"/>
    <w:rsid w:val="0013623A"/>
    <w:rsid w:val="00162BAE"/>
    <w:rsid w:val="00172B6F"/>
    <w:rsid w:val="00176169"/>
    <w:rsid w:val="00177AC5"/>
    <w:rsid w:val="001A6FA8"/>
    <w:rsid w:val="001B2929"/>
    <w:rsid w:val="001C2524"/>
    <w:rsid w:val="001D4A42"/>
    <w:rsid w:val="001D5160"/>
    <w:rsid w:val="001F5CE4"/>
    <w:rsid w:val="001F5F9F"/>
    <w:rsid w:val="00201B3C"/>
    <w:rsid w:val="0020613C"/>
    <w:rsid w:val="00231007"/>
    <w:rsid w:val="00240FC5"/>
    <w:rsid w:val="00253362"/>
    <w:rsid w:val="002609B0"/>
    <w:rsid w:val="002942E9"/>
    <w:rsid w:val="002A2ED0"/>
    <w:rsid w:val="002A49F6"/>
    <w:rsid w:val="002A76E1"/>
    <w:rsid w:val="002B1862"/>
    <w:rsid w:val="002B2AED"/>
    <w:rsid w:val="002D36EB"/>
    <w:rsid w:val="002D5E16"/>
    <w:rsid w:val="002E5A07"/>
    <w:rsid w:val="002F29AC"/>
    <w:rsid w:val="002F6335"/>
    <w:rsid w:val="00303EE4"/>
    <w:rsid w:val="003061A2"/>
    <w:rsid w:val="003156EC"/>
    <w:rsid w:val="003331C9"/>
    <w:rsid w:val="003366A5"/>
    <w:rsid w:val="003430B1"/>
    <w:rsid w:val="00346D8E"/>
    <w:rsid w:val="003525CE"/>
    <w:rsid w:val="00354402"/>
    <w:rsid w:val="003573FE"/>
    <w:rsid w:val="00357D2A"/>
    <w:rsid w:val="00363003"/>
    <w:rsid w:val="003736B3"/>
    <w:rsid w:val="00375035"/>
    <w:rsid w:val="00376638"/>
    <w:rsid w:val="00382C03"/>
    <w:rsid w:val="0038674E"/>
    <w:rsid w:val="00393880"/>
    <w:rsid w:val="003D1C81"/>
    <w:rsid w:val="003D50AC"/>
    <w:rsid w:val="003D59B6"/>
    <w:rsid w:val="003D7E01"/>
    <w:rsid w:val="003E28B2"/>
    <w:rsid w:val="004033EA"/>
    <w:rsid w:val="00414854"/>
    <w:rsid w:val="004302E1"/>
    <w:rsid w:val="00452922"/>
    <w:rsid w:val="004562EC"/>
    <w:rsid w:val="0046081B"/>
    <w:rsid w:val="00461CD0"/>
    <w:rsid w:val="00463D63"/>
    <w:rsid w:val="0046682C"/>
    <w:rsid w:val="00471C97"/>
    <w:rsid w:val="00485B2F"/>
    <w:rsid w:val="004A079F"/>
    <w:rsid w:val="004B230F"/>
    <w:rsid w:val="004C56CE"/>
    <w:rsid w:val="004D084D"/>
    <w:rsid w:val="004F699E"/>
    <w:rsid w:val="005164CE"/>
    <w:rsid w:val="0051759C"/>
    <w:rsid w:val="005610FF"/>
    <w:rsid w:val="00563DE9"/>
    <w:rsid w:val="00583DA6"/>
    <w:rsid w:val="005A775A"/>
    <w:rsid w:val="005C52FE"/>
    <w:rsid w:val="005D0055"/>
    <w:rsid w:val="005D26F2"/>
    <w:rsid w:val="005D5CF5"/>
    <w:rsid w:val="005F4978"/>
    <w:rsid w:val="006044B9"/>
    <w:rsid w:val="00610DA9"/>
    <w:rsid w:val="006120B8"/>
    <w:rsid w:val="00613890"/>
    <w:rsid w:val="00625A56"/>
    <w:rsid w:val="00636E55"/>
    <w:rsid w:val="006372EC"/>
    <w:rsid w:val="006404A2"/>
    <w:rsid w:val="00651589"/>
    <w:rsid w:val="00683D34"/>
    <w:rsid w:val="00690A50"/>
    <w:rsid w:val="006A2780"/>
    <w:rsid w:val="006A6480"/>
    <w:rsid w:val="006C784D"/>
    <w:rsid w:val="006C7935"/>
    <w:rsid w:val="006C7CF9"/>
    <w:rsid w:val="006D0D86"/>
    <w:rsid w:val="006D3300"/>
    <w:rsid w:val="006E2B1A"/>
    <w:rsid w:val="006F39A0"/>
    <w:rsid w:val="00701E62"/>
    <w:rsid w:val="00711E62"/>
    <w:rsid w:val="00713665"/>
    <w:rsid w:val="00733312"/>
    <w:rsid w:val="00751E62"/>
    <w:rsid w:val="00754279"/>
    <w:rsid w:val="00772B89"/>
    <w:rsid w:val="00784914"/>
    <w:rsid w:val="007955A8"/>
    <w:rsid w:val="007B5098"/>
    <w:rsid w:val="007D4E12"/>
    <w:rsid w:val="007E1E85"/>
    <w:rsid w:val="007E6892"/>
    <w:rsid w:val="007F7B86"/>
    <w:rsid w:val="00833B55"/>
    <w:rsid w:val="00835A32"/>
    <w:rsid w:val="00835B92"/>
    <w:rsid w:val="0084787B"/>
    <w:rsid w:val="008526FA"/>
    <w:rsid w:val="00852FA0"/>
    <w:rsid w:val="00854CB6"/>
    <w:rsid w:val="008615DA"/>
    <w:rsid w:val="00861ECE"/>
    <w:rsid w:val="00873F6B"/>
    <w:rsid w:val="008763B6"/>
    <w:rsid w:val="00892351"/>
    <w:rsid w:val="00892454"/>
    <w:rsid w:val="008A2ED4"/>
    <w:rsid w:val="008C3488"/>
    <w:rsid w:val="008F2A9D"/>
    <w:rsid w:val="008F3795"/>
    <w:rsid w:val="008F3F90"/>
    <w:rsid w:val="00910D9A"/>
    <w:rsid w:val="009123FE"/>
    <w:rsid w:val="00913011"/>
    <w:rsid w:val="00915F6E"/>
    <w:rsid w:val="00930D4F"/>
    <w:rsid w:val="00965E7B"/>
    <w:rsid w:val="00995FF6"/>
    <w:rsid w:val="009A050D"/>
    <w:rsid w:val="009A4150"/>
    <w:rsid w:val="009A5E20"/>
    <w:rsid w:val="009B4519"/>
    <w:rsid w:val="009B4AD1"/>
    <w:rsid w:val="009B6BA1"/>
    <w:rsid w:val="009E6A61"/>
    <w:rsid w:val="00A11399"/>
    <w:rsid w:val="00A26380"/>
    <w:rsid w:val="00A3009E"/>
    <w:rsid w:val="00A367E7"/>
    <w:rsid w:val="00A41236"/>
    <w:rsid w:val="00A53AD1"/>
    <w:rsid w:val="00A570D0"/>
    <w:rsid w:val="00A72EF3"/>
    <w:rsid w:val="00A80D1C"/>
    <w:rsid w:val="00A85DC7"/>
    <w:rsid w:val="00A97D38"/>
    <w:rsid w:val="00AB60CF"/>
    <w:rsid w:val="00AC3056"/>
    <w:rsid w:val="00AC51C7"/>
    <w:rsid w:val="00AC5CDE"/>
    <w:rsid w:val="00AD0404"/>
    <w:rsid w:val="00B01660"/>
    <w:rsid w:val="00B03E56"/>
    <w:rsid w:val="00B12D8B"/>
    <w:rsid w:val="00B150F1"/>
    <w:rsid w:val="00B55669"/>
    <w:rsid w:val="00B75613"/>
    <w:rsid w:val="00B85D9D"/>
    <w:rsid w:val="00B91607"/>
    <w:rsid w:val="00BA5289"/>
    <w:rsid w:val="00BA6A17"/>
    <w:rsid w:val="00BB0207"/>
    <w:rsid w:val="00BB4E94"/>
    <w:rsid w:val="00BC7138"/>
    <w:rsid w:val="00BE46A3"/>
    <w:rsid w:val="00C11453"/>
    <w:rsid w:val="00C134F0"/>
    <w:rsid w:val="00C13A6C"/>
    <w:rsid w:val="00C14363"/>
    <w:rsid w:val="00C2185B"/>
    <w:rsid w:val="00C562F4"/>
    <w:rsid w:val="00C6027B"/>
    <w:rsid w:val="00C607F4"/>
    <w:rsid w:val="00C72050"/>
    <w:rsid w:val="00C72D45"/>
    <w:rsid w:val="00C77EC9"/>
    <w:rsid w:val="00C8612A"/>
    <w:rsid w:val="00C87D34"/>
    <w:rsid w:val="00C90F19"/>
    <w:rsid w:val="00C9691D"/>
    <w:rsid w:val="00CB5760"/>
    <w:rsid w:val="00CC31BD"/>
    <w:rsid w:val="00CD328A"/>
    <w:rsid w:val="00CD7C48"/>
    <w:rsid w:val="00CE66FE"/>
    <w:rsid w:val="00D14DB2"/>
    <w:rsid w:val="00D161DE"/>
    <w:rsid w:val="00D17315"/>
    <w:rsid w:val="00D51BCB"/>
    <w:rsid w:val="00D64AB2"/>
    <w:rsid w:val="00D653D2"/>
    <w:rsid w:val="00D766C7"/>
    <w:rsid w:val="00D941AC"/>
    <w:rsid w:val="00DB2256"/>
    <w:rsid w:val="00DB34D2"/>
    <w:rsid w:val="00DD73A7"/>
    <w:rsid w:val="00DE1319"/>
    <w:rsid w:val="00DE71B3"/>
    <w:rsid w:val="00DF1FEC"/>
    <w:rsid w:val="00E02280"/>
    <w:rsid w:val="00E04B94"/>
    <w:rsid w:val="00E15A36"/>
    <w:rsid w:val="00E162D3"/>
    <w:rsid w:val="00E239CC"/>
    <w:rsid w:val="00E3141F"/>
    <w:rsid w:val="00E32F7D"/>
    <w:rsid w:val="00E34DBD"/>
    <w:rsid w:val="00E350A6"/>
    <w:rsid w:val="00E36338"/>
    <w:rsid w:val="00E502DA"/>
    <w:rsid w:val="00E50333"/>
    <w:rsid w:val="00E53CC3"/>
    <w:rsid w:val="00E65568"/>
    <w:rsid w:val="00E767DF"/>
    <w:rsid w:val="00E820DE"/>
    <w:rsid w:val="00EC0ABA"/>
    <w:rsid w:val="00EC6798"/>
    <w:rsid w:val="00ED4D9C"/>
    <w:rsid w:val="00F437C0"/>
    <w:rsid w:val="00F4606B"/>
    <w:rsid w:val="00F570B2"/>
    <w:rsid w:val="00F619F1"/>
    <w:rsid w:val="00F62379"/>
    <w:rsid w:val="00F87E28"/>
    <w:rsid w:val="00F91522"/>
    <w:rsid w:val="00FA1EE7"/>
    <w:rsid w:val="00FA7807"/>
    <w:rsid w:val="00FC335F"/>
    <w:rsid w:val="00FC5DAA"/>
    <w:rsid w:val="00FC774A"/>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B43A"/>
  <w15:chartTrackingRefBased/>
  <w15:docId w15:val="{E45D780C-2343-4296-B4B1-05426FA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B0"/>
    <w:pPr>
      <w:spacing w:after="0" w:line="36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D36EB"/>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609B0"/>
    <w:pPr>
      <w:jc w:val="both"/>
    </w:pPr>
    <w:rPr>
      <w:sz w:val="26"/>
    </w:rPr>
  </w:style>
  <w:style w:type="character" w:customStyle="1" w:styleId="FootnoteTextChar">
    <w:name w:val="Footnote Text Char"/>
    <w:basedOn w:val="DefaultParagraphFont"/>
    <w:link w:val="FootnoteText"/>
    <w:semiHidden/>
    <w:rsid w:val="002609B0"/>
    <w:rPr>
      <w:rFonts w:ascii="Times New Roman" w:eastAsia="Times New Roman" w:hAnsi="Times New Roman" w:cs="Times New Roman"/>
      <w:sz w:val="26"/>
      <w:szCs w:val="20"/>
    </w:rPr>
  </w:style>
  <w:style w:type="character" w:styleId="FootnoteReference">
    <w:name w:val="footnote reference"/>
    <w:semiHidden/>
    <w:rsid w:val="002609B0"/>
    <w:rPr>
      <w:vertAlign w:val="superscript"/>
    </w:rPr>
  </w:style>
  <w:style w:type="character" w:customStyle="1" w:styleId="Heading2Char">
    <w:name w:val="Heading 2 Char"/>
    <w:basedOn w:val="DefaultParagraphFont"/>
    <w:link w:val="Heading2"/>
    <w:rsid w:val="002D36EB"/>
    <w:rPr>
      <w:rFonts w:ascii="Times New Roman" w:eastAsia="Times New Roman" w:hAnsi="Times New Roman" w:cs="Times New Roman"/>
      <w:b/>
      <w:sz w:val="26"/>
      <w:szCs w:val="20"/>
      <w:u w:val="single"/>
    </w:rPr>
  </w:style>
  <w:style w:type="character" w:styleId="Hyperlink">
    <w:name w:val="Hyperlink"/>
    <w:rsid w:val="002D36EB"/>
    <w:rPr>
      <w:color w:val="0000FF"/>
      <w:u w:val="single"/>
    </w:rPr>
  </w:style>
  <w:style w:type="paragraph" w:styleId="Footer">
    <w:name w:val="footer"/>
    <w:basedOn w:val="Normal"/>
    <w:link w:val="FooterChar"/>
    <w:uiPriority w:val="99"/>
    <w:rsid w:val="002D36EB"/>
    <w:pPr>
      <w:tabs>
        <w:tab w:val="center" w:pos="4320"/>
        <w:tab w:val="right" w:pos="8640"/>
      </w:tabs>
    </w:pPr>
  </w:style>
  <w:style w:type="character" w:customStyle="1" w:styleId="FooterChar">
    <w:name w:val="Footer Char"/>
    <w:basedOn w:val="DefaultParagraphFont"/>
    <w:link w:val="Footer"/>
    <w:uiPriority w:val="99"/>
    <w:rsid w:val="002D36E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E1E85"/>
    <w:rPr>
      <w:color w:val="605E5C"/>
      <w:shd w:val="clear" w:color="auto" w:fill="E1DFDD"/>
    </w:rPr>
  </w:style>
  <w:style w:type="paragraph" w:styleId="ListParagraph">
    <w:name w:val="List Paragraph"/>
    <w:basedOn w:val="Normal"/>
    <w:uiPriority w:val="34"/>
    <w:qFormat/>
    <w:rsid w:val="00701E62"/>
    <w:pPr>
      <w:ind w:left="720"/>
      <w:contextualSpacing/>
    </w:pPr>
  </w:style>
  <w:style w:type="paragraph" w:styleId="Header">
    <w:name w:val="header"/>
    <w:basedOn w:val="Normal"/>
    <w:link w:val="HeaderChar"/>
    <w:uiPriority w:val="99"/>
    <w:unhideWhenUsed/>
    <w:rsid w:val="009B4AD1"/>
    <w:pPr>
      <w:tabs>
        <w:tab w:val="center" w:pos="4680"/>
        <w:tab w:val="right" w:pos="9360"/>
      </w:tabs>
      <w:spacing w:line="240" w:lineRule="auto"/>
    </w:pPr>
  </w:style>
  <w:style w:type="character" w:customStyle="1" w:styleId="HeaderChar">
    <w:name w:val="Header Char"/>
    <w:basedOn w:val="DefaultParagraphFont"/>
    <w:link w:val="Header"/>
    <w:uiPriority w:val="99"/>
    <w:rsid w:val="009B4AD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johnson@pa.gov" TargetMode="External"/><Relationship Id="rId13" Type="http://schemas.openxmlformats.org/officeDocument/2006/relationships/hyperlink" Target="mailto:tgiesler@firstenergycorp.com" TargetMode="External"/><Relationship Id="rId18" Type="http://schemas.openxmlformats.org/officeDocument/2006/relationships/hyperlink" Target="mailto:sgranger@pa.gov" TargetMode="External"/><Relationship Id="rId26" Type="http://schemas.openxmlformats.org/officeDocument/2006/relationships/hyperlink" Target="mailto:dwilliamson@spilmanlaw.com" TargetMode="External"/><Relationship Id="rId3" Type="http://schemas.openxmlformats.org/officeDocument/2006/relationships/styles" Target="styles.xml"/><Relationship Id="rId21" Type="http://schemas.openxmlformats.org/officeDocument/2006/relationships/hyperlink" Target="mailto:jsweet@pautilitylawproject.or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rulli@postschell.com" TargetMode="External"/><Relationship Id="rId25" Type="http://schemas.openxmlformats.org/officeDocument/2006/relationships/hyperlink" Target="mailto:bnaum@spilmanlaw.com" TargetMode="External"/><Relationship Id="rId33" Type="http://schemas.openxmlformats.org/officeDocument/2006/relationships/hyperlink" Target="mailto:jlushis@norris-law.com" TargetMode="External"/><Relationship Id="rId2" Type="http://schemas.openxmlformats.org/officeDocument/2006/relationships/numbering" Target="numbering.xml"/><Relationship Id="rId16" Type="http://schemas.openxmlformats.org/officeDocument/2006/relationships/hyperlink" Target="mailto:glent@postschell.com" TargetMode="External"/><Relationship Id="rId20" Type="http://schemas.openxmlformats.org/officeDocument/2006/relationships/hyperlink" Target="mailto:emarx@pautilitylawproject.org" TargetMode="External"/><Relationship Id="rId29" Type="http://schemas.openxmlformats.org/officeDocument/2006/relationships/hyperlink" Target="mailto:dodell@eckertseama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zerby@paoca.org" TargetMode="External"/><Relationship Id="rId32" Type="http://schemas.openxmlformats.org/officeDocument/2006/relationships/hyperlink" Target="mailto:wesnyder@hmslegal.com" TargetMode="External"/><Relationship Id="rId5" Type="http://schemas.openxmlformats.org/officeDocument/2006/relationships/webSettings" Target="webSettings.xml"/><Relationship Id="rId15" Type="http://schemas.openxmlformats.org/officeDocument/2006/relationships/hyperlink" Target="mailto:dryan@postschell.com" TargetMode="External"/><Relationship Id="rId23" Type="http://schemas.openxmlformats.org/officeDocument/2006/relationships/hyperlink" Target="mailto:nhurdle@pa.gov" TargetMode="External"/><Relationship Id="rId28" Type="http://schemas.openxmlformats.org/officeDocument/2006/relationships/hyperlink" Target="mailto:cmincavage@mwn.com"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pulp@pautilitylawproject.org" TargetMode="External"/><Relationship Id="rId31" Type="http://schemas.openxmlformats.org/officeDocument/2006/relationships/hyperlink" Target="mailto:tjsniscak@hmslegal.com" TargetMode="External"/><Relationship Id="rId4" Type="http://schemas.openxmlformats.org/officeDocument/2006/relationships/settings" Target="settings.xml"/><Relationship Id="rId9" Type="http://schemas.openxmlformats.org/officeDocument/2006/relationships/hyperlink" Target="mailto:edevoe@pa.gov" TargetMode="External"/><Relationship Id="rId14" Type="http://schemas.openxmlformats.org/officeDocument/2006/relationships/hyperlink" Target="mailto:singhd@firstenergycorp.com" TargetMode="External"/><Relationship Id="rId22" Type="http://schemas.openxmlformats.org/officeDocument/2006/relationships/hyperlink" Target="mailto:swebb@pa.gov" TargetMode="External"/><Relationship Id="rId27" Type="http://schemas.openxmlformats.org/officeDocument/2006/relationships/hyperlink" Target="mailto:sbruce@mcneeslaw.com" TargetMode="External"/><Relationship Id="rId30" Type="http://schemas.openxmlformats.org/officeDocument/2006/relationships/hyperlink" Target="mailto:kmoury@eckertseamans.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5854-FC6C-4892-8AD1-5C7B9D70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14</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DeVoe, Emily</dc:creator>
  <cp:keywords/>
  <dc:description/>
  <cp:lastModifiedBy>Miskanic, Nicholas</cp:lastModifiedBy>
  <cp:revision>17</cp:revision>
  <dcterms:created xsi:type="dcterms:W3CDTF">2023-04-27T17:50:00Z</dcterms:created>
  <dcterms:modified xsi:type="dcterms:W3CDTF">2023-04-28T12:49:00Z</dcterms:modified>
</cp:coreProperties>
</file>