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AB0C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BEFORE THE</w:t>
      </w:r>
    </w:p>
    <w:p w14:paraId="1C29AB0D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PENNSYLVANIA PUBLIC UTILITY COMMISSION</w:t>
      </w:r>
    </w:p>
    <w:p w14:paraId="1C29AB0E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1C29AB0F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1C29AB10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1C29AB11" w14:textId="65AD691A" w:rsidR="00DD3605" w:rsidRPr="009E236F" w:rsidRDefault="00040DBB" w:rsidP="009E236F">
      <w:pPr>
        <w:rPr>
          <w:sz w:val="24"/>
          <w:szCs w:val="24"/>
        </w:rPr>
      </w:pPr>
      <w:r>
        <w:rPr>
          <w:sz w:val="24"/>
          <w:szCs w:val="24"/>
        </w:rPr>
        <w:t>Craig Murphy</w:t>
      </w:r>
      <w:r>
        <w:rPr>
          <w:sz w:val="24"/>
          <w:szCs w:val="24"/>
        </w:rPr>
        <w:tab/>
      </w:r>
      <w:r w:rsidR="00873534" w:rsidRPr="009E236F">
        <w:rPr>
          <w:sz w:val="24"/>
          <w:szCs w:val="24"/>
        </w:rPr>
        <w:tab/>
      </w:r>
      <w:r w:rsidR="0034382B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14638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>:</w:t>
      </w:r>
    </w:p>
    <w:p w14:paraId="1C29AB12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14638F">
        <w:rPr>
          <w:sz w:val="24"/>
          <w:szCs w:val="24"/>
        </w:rPr>
        <w:tab/>
      </w:r>
      <w:r w:rsidRPr="009E236F">
        <w:rPr>
          <w:sz w:val="24"/>
          <w:szCs w:val="24"/>
        </w:rPr>
        <w:t>:</w:t>
      </w:r>
    </w:p>
    <w:p w14:paraId="1C29AB13" w14:textId="06CAB555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  <w:t>v.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14638F">
        <w:rPr>
          <w:sz w:val="24"/>
          <w:szCs w:val="24"/>
        </w:rPr>
        <w:tab/>
      </w:r>
      <w:r w:rsidRPr="009E236F">
        <w:rPr>
          <w:sz w:val="24"/>
          <w:szCs w:val="24"/>
        </w:rPr>
        <w:t>:</w:t>
      </w:r>
      <w:r w:rsidRPr="009E236F">
        <w:rPr>
          <w:sz w:val="24"/>
          <w:szCs w:val="24"/>
        </w:rPr>
        <w:tab/>
      </w:r>
      <w:r w:rsidR="00346802">
        <w:rPr>
          <w:sz w:val="24"/>
          <w:szCs w:val="24"/>
        </w:rPr>
        <w:tab/>
      </w:r>
      <w:r w:rsidR="00F553A3">
        <w:rPr>
          <w:sz w:val="24"/>
          <w:szCs w:val="24"/>
        </w:rPr>
        <w:t>C-20</w:t>
      </w:r>
      <w:r w:rsidR="00040DBB">
        <w:rPr>
          <w:sz w:val="24"/>
          <w:szCs w:val="24"/>
        </w:rPr>
        <w:t>23</w:t>
      </w:r>
      <w:r w:rsidR="006855DA">
        <w:rPr>
          <w:sz w:val="24"/>
          <w:szCs w:val="24"/>
        </w:rPr>
        <w:t>-3038940</w:t>
      </w:r>
    </w:p>
    <w:p w14:paraId="1C29AB14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14638F">
        <w:rPr>
          <w:sz w:val="24"/>
          <w:szCs w:val="24"/>
        </w:rPr>
        <w:tab/>
      </w:r>
      <w:r w:rsidRPr="009E236F">
        <w:rPr>
          <w:sz w:val="24"/>
          <w:szCs w:val="24"/>
        </w:rPr>
        <w:t>:</w:t>
      </w:r>
    </w:p>
    <w:p w14:paraId="1C29AB15" w14:textId="2110C20B" w:rsidR="00DD3605" w:rsidRPr="009E236F" w:rsidRDefault="00040DBB" w:rsidP="009E236F">
      <w:pPr>
        <w:rPr>
          <w:sz w:val="24"/>
          <w:szCs w:val="24"/>
        </w:rPr>
      </w:pPr>
      <w:r>
        <w:rPr>
          <w:sz w:val="24"/>
          <w:szCs w:val="24"/>
        </w:rPr>
        <w:t xml:space="preserve">Duquesne Light </w:t>
      </w:r>
      <w:r w:rsidR="00A611AF">
        <w:rPr>
          <w:sz w:val="24"/>
          <w:szCs w:val="24"/>
        </w:rPr>
        <w:t>Co</w:t>
      </w:r>
      <w:r>
        <w:rPr>
          <w:sz w:val="24"/>
          <w:szCs w:val="24"/>
        </w:rPr>
        <w:t>mpany</w:t>
      </w:r>
      <w:r>
        <w:rPr>
          <w:sz w:val="24"/>
          <w:szCs w:val="24"/>
        </w:rPr>
        <w:tab/>
      </w:r>
      <w:r w:rsidR="00485D20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14638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>:</w:t>
      </w:r>
    </w:p>
    <w:p w14:paraId="1C29AB16" w14:textId="77777777" w:rsidR="00DD3605" w:rsidRPr="009E236F" w:rsidRDefault="00DD3605" w:rsidP="009E236F">
      <w:pPr>
        <w:rPr>
          <w:sz w:val="24"/>
          <w:szCs w:val="24"/>
        </w:rPr>
      </w:pPr>
    </w:p>
    <w:p w14:paraId="1C29AB17" w14:textId="77777777" w:rsidR="00DD3605" w:rsidRPr="009E236F" w:rsidRDefault="00DD3605" w:rsidP="009E236F">
      <w:pPr>
        <w:rPr>
          <w:sz w:val="24"/>
          <w:szCs w:val="24"/>
        </w:rPr>
      </w:pPr>
    </w:p>
    <w:p w14:paraId="1C29AB18" w14:textId="77777777" w:rsidR="00E122C5" w:rsidRPr="009E236F" w:rsidRDefault="00E122C5" w:rsidP="009E236F">
      <w:pPr>
        <w:rPr>
          <w:sz w:val="24"/>
          <w:szCs w:val="24"/>
        </w:rPr>
      </w:pPr>
    </w:p>
    <w:p w14:paraId="69CAEB68" w14:textId="77777777" w:rsidR="00612893" w:rsidRDefault="00BD7BF5" w:rsidP="00F54017">
      <w:pPr>
        <w:pStyle w:val="Heading1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INTERIM </w:t>
      </w:r>
      <w:r w:rsidR="00F54017" w:rsidRPr="0014638F">
        <w:rPr>
          <w:rFonts w:ascii="Times New Roman" w:hAnsi="Times New Roman"/>
          <w:szCs w:val="24"/>
          <w:u w:val="none"/>
        </w:rPr>
        <w:t xml:space="preserve">ORDER </w:t>
      </w:r>
    </w:p>
    <w:p w14:paraId="1C29AB19" w14:textId="467DF91F" w:rsidR="0014638F" w:rsidRPr="0014638F" w:rsidRDefault="008D70B7" w:rsidP="00F54017">
      <w:pPr>
        <w:pStyle w:val="Heading1"/>
        <w:rPr>
          <w:rFonts w:ascii="Times New Roman" w:hAnsi="Times New Roman"/>
          <w:szCs w:val="24"/>
          <w:u w:val="none"/>
        </w:rPr>
      </w:pPr>
      <w:r w:rsidRPr="0014638F">
        <w:rPr>
          <w:rFonts w:ascii="Times New Roman" w:hAnsi="Times New Roman"/>
          <w:szCs w:val="24"/>
          <w:u w:val="none"/>
        </w:rPr>
        <w:t>SUSTAINING</w:t>
      </w:r>
      <w:r w:rsidR="00316202" w:rsidRPr="0014638F">
        <w:rPr>
          <w:rFonts w:ascii="Times New Roman" w:hAnsi="Times New Roman"/>
          <w:szCs w:val="24"/>
          <w:u w:val="none"/>
        </w:rPr>
        <w:t xml:space="preserve"> PRELIMINARY OBJECTION</w:t>
      </w:r>
      <w:r w:rsidR="00485D20" w:rsidRPr="0014638F">
        <w:rPr>
          <w:rFonts w:ascii="Times New Roman" w:hAnsi="Times New Roman"/>
          <w:szCs w:val="24"/>
          <w:u w:val="none"/>
        </w:rPr>
        <w:t>S</w:t>
      </w:r>
      <w:r w:rsidR="00C23B86" w:rsidRPr="0014638F">
        <w:rPr>
          <w:rFonts w:ascii="Times New Roman" w:hAnsi="Times New Roman"/>
          <w:szCs w:val="24"/>
          <w:u w:val="none"/>
        </w:rPr>
        <w:t xml:space="preserve"> AND </w:t>
      </w:r>
    </w:p>
    <w:p w14:paraId="1C29AB1A" w14:textId="10A6AC68" w:rsidR="00316202" w:rsidRPr="009E236F" w:rsidRDefault="00C23B86" w:rsidP="00F54017">
      <w:pPr>
        <w:pStyle w:val="Heading1"/>
        <w:rPr>
          <w:b w:val="0"/>
          <w:szCs w:val="24"/>
        </w:rPr>
      </w:pPr>
      <w:r>
        <w:rPr>
          <w:rFonts w:ascii="Times New Roman" w:hAnsi="Times New Roman"/>
          <w:szCs w:val="24"/>
        </w:rPr>
        <w:t>DIRECTING THAT CASE BE SET FOR INITIAL TELEPHON</w:t>
      </w:r>
      <w:r w:rsidR="006855DA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HEARING</w:t>
      </w:r>
    </w:p>
    <w:p w14:paraId="1C29AB1B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1C29AB1C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1C29AB1D" w14:textId="77777777" w:rsidR="00DD3605" w:rsidRPr="009E236F" w:rsidRDefault="00DD3605" w:rsidP="009E236F">
      <w:pPr>
        <w:pStyle w:val="Heading2"/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Before</w:t>
      </w:r>
    </w:p>
    <w:p w14:paraId="1C29AB1E" w14:textId="77777777" w:rsidR="00DD3605" w:rsidRPr="009E236F" w:rsidRDefault="00F553A3" w:rsidP="009E236F">
      <w:pPr>
        <w:jc w:val="center"/>
        <w:rPr>
          <w:sz w:val="24"/>
          <w:szCs w:val="24"/>
        </w:rPr>
      </w:pPr>
      <w:r>
        <w:rPr>
          <w:sz w:val="24"/>
          <w:szCs w:val="24"/>
        </w:rPr>
        <w:t>Mark A. Hoyer</w:t>
      </w:r>
    </w:p>
    <w:p w14:paraId="1C29AB1F" w14:textId="5AA12AF4" w:rsidR="00DD3605" w:rsidRPr="009E236F" w:rsidRDefault="006855DA" w:rsidP="009E23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Deputy Chief </w:t>
      </w:r>
      <w:r w:rsidR="00DD3605" w:rsidRPr="009E236F">
        <w:rPr>
          <w:sz w:val="24"/>
          <w:szCs w:val="24"/>
        </w:rPr>
        <w:t>Administrative Law Judge</w:t>
      </w:r>
    </w:p>
    <w:p w14:paraId="1C29AB20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1C29AB21" w14:textId="77777777" w:rsidR="008F604A" w:rsidRPr="009E236F" w:rsidRDefault="008F604A" w:rsidP="009E236F">
      <w:pPr>
        <w:rPr>
          <w:b/>
          <w:sz w:val="24"/>
          <w:szCs w:val="24"/>
        </w:rPr>
      </w:pPr>
    </w:p>
    <w:p w14:paraId="1C29AB22" w14:textId="77777777" w:rsidR="00DD3605" w:rsidRPr="009E236F" w:rsidRDefault="00DD3605" w:rsidP="009E236F">
      <w:pPr>
        <w:pStyle w:val="Heading1"/>
        <w:tabs>
          <w:tab w:val="left" w:pos="1980"/>
        </w:tabs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HISTORY OF THE PROCEEDING</w:t>
      </w:r>
    </w:p>
    <w:p w14:paraId="1C29AB23" w14:textId="77777777" w:rsidR="00DD3605" w:rsidRPr="009E236F" w:rsidRDefault="00DD3605" w:rsidP="00B82336">
      <w:pPr>
        <w:spacing w:line="360" w:lineRule="auto"/>
        <w:rPr>
          <w:sz w:val="24"/>
          <w:szCs w:val="24"/>
        </w:rPr>
      </w:pPr>
    </w:p>
    <w:p w14:paraId="3FA698A6" w14:textId="77777777" w:rsidR="00B82336" w:rsidRDefault="00DD3605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A052F0" w:rsidRPr="009E236F">
        <w:rPr>
          <w:sz w:val="24"/>
          <w:szCs w:val="24"/>
        </w:rPr>
        <w:t xml:space="preserve">On </w:t>
      </w:r>
      <w:r w:rsidR="008D428F">
        <w:rPr>
          <w:sz w:val="24"/>
          <w:szCs w:val="24"/>
        </w:rPr>
        <w:t>March 14, 2023, Craig Mur</w:t>
      </w:r>
      <w:r w:rsidR="00182084">
        <w:rPr>
          <w:sz w:val="24"/>
          <w:szCs w:val="24"/>
        </w:rPr>
        <w:t xml:space="preserve">phy </w:t>
      </w:r>
      <w:r w:rsidR="00A052F0" w:rsidRPr="009E236F">
        <w:rPr>
          <w:sz w:val="24"/>
          <w:szCs w:val="24"/>
        </w:rPr>
        <w:t>(</w:t>
      </w:r>
      <w:r w:rsidR="007D4157" w:rsidRPr="009E236F">
        <w:rPr>
          <w:sz w:val="24"/>
          <w:szCs w:val="24"/>
        </w:rPr>
        <w:t>C</w:t>
      </w:r>
      <w:r w:rsidR="000E7CFC">
        <w:rPr>
          <w:sz w:val="24"/>
          <w:szCs w:val="24"/>
        </w:rPr>
        <w:t>omplainant) filed a F</w:t>
      </w:r>
      <w:r w:rsidR="00A052F0" w:rsidRPr="009E236F">
        <w:rPr>
          <w:sz w:val="24"/>
          <w:szCs w:val="24"/>
        </w:rPr>
        <w:t xml:space="preserve">ormal Complaint against </w:t>
      </w:r>
      <w:r w:rsidR="00182084">
        <w:rPr>
          <w:sz w:val="24"/>
          <w:szCs w:val="24"/>
        </w:rPr>
        <w:t>Duquesne Light Company (Duquesne Light</w:t>
      </w:r>
      <w:r w:rsidR="00885DF2" w:rsidRPr="009E236F">
        <w:rPr>
          <w:sz w:val="24"/>
          <w:szCs w:val="24"/>
        </w:rPr>
        <w:t xml:space="preserve"> </w:t>
      </w:r>
      <w:r w:rsidR="007D4157" w:rsidRPr="009E236F">
        <w:rPr>
          <w:sz w:val="24"/>
          <w:szCs w:val="24"/>
        </w:rPr>
        <w:t>or R</w:t>
      </w:r>
      <w:r w:rsidR="00A052F0" w:rsidRPr="009E236F">
        <w:rPr>
          <w:sz w:val="24"/>
          <w:szCs w:val="24"/>
        </w:rPr>
        <w:t>espondent) with the Pennsylvania Public Utility Commission (Commission)</w:t>
      </w:r>
      <w:r w:rsidR="00182084">
        <w:rPr>
          <w:sz w:val="24"/>
          <w:szCs w:val="24"/>
        </w:rPr>
        <w:t>.</w:t>
      </w:r>
      <w:r w:rsidR="00F553A3">
        <w:rPr>
          <w:sz w:val="24"/>
          <w:szCs w:val="24"/>
        </w:rPr>
        <w:t xml:space="preserve">  </w:t>
      </w:r>
      <w:r w:rsidR="007F3B92">
        <w:rPr>
          <w:sz w:val="24"/>
          <w:szCs w:val="24"/>
        </w:rPr>
        <w:t>C</w:t>
      </w:r>
      <w:r w:rsidR="00E95C4C" w:rsidRPr="009E236F">
        <w:rPr>
          <w:sz w:val="24"/>
          <w:szCs w:val="24"/>
        </w:rPr>
        <w:t>omplain</w:t>
      </w:r>
      <w:r w:rsidR="007F3B92">
        <w:rPr>
          <w:sz w:val="24"/>
          <w:szCs w:val="24"/>
        </w:rPr>
        <w:t>an</w:t>
      </w:r>
      <w:r w:rsidR="00E95C4C" w:rsidRPr="009E236F">
        <w:rPr>
          <w:sz w:val="24"/>
          <w:szCs w:val="24"/>
        </w:rPr>
        <w:t>t allege</w:t>
      </w:r>
      <w:r w:rsidR="006D63ED">
        <w:rPr>
          <w:sz w:val="24"/>
          <w:szCs w:val="24"/>
        </w:rPr>
        <w:t>s</w:t>
      </w:r>
      <w:r w:rsidR="000E7CFC">
        <w:rPr>
          <w:sz w:val="24"/>
          <w:szCs w:val="24"/>
        </w:rPr>
        <w:t xml:space="preserve">, </w:t>
      </w:r>
      <w:r w:rsidR="000E7CFC">
        <w:rPr>
          <w:i/>
          <w:sz w:val="24"/>
          <w:szCs w:val="24"/>
        </w:rPr>
        <w:t>inter alia</w:t>
      </w:r>
      <w:r w:rsidR="000E7CFC">
        <w:rPr>
          <w:sz w:val="24"/>
          <w:szCs w:val="24"/>
        </w:rPr>
        <w:t xml:space="preserve">, </w:t>
      </w:r>
      <w:r w:rsidR="00E95C4C" w:rsidRPr="009E236F">
        <w:rPr>
          <w:sz w:val="24"/>
          <w:szCs w:val="24"/>
        </w:rPr>
        <w:t xml:space="preserve">that </w:t>
      </w:r>
      <w:r w:rsidR="00EE3776">
        <w:rPr>
          <w:sz w:val="24"/>
          <w:szCs w:val="24"/>
        </w:rPr>
        <w:t>Duqu</w:t>
      </w:r>
      <w:r w:rsidR="00A43FB7">
        <w:rPr>
          <w:sz w:val="24"/>
          <w:szCs w:val="24"/>
        </w:rPr>
        <w:t xml:space="preserve">esne Light refused to issue him a termination notice so that he </w:t>
      </w:r>
      <w:r w:rsidR="00D9714C">
        <w:rPr>
          <w:sz w:val="24"/>
          <w:szCs w:val="24"/>
        </w:rPr>
        <w:t xml:space="preserve">could apply for </w:t>
      </w:r>
      <w:r w:rsidR="00A43FB7">
        <w:rPr>
          <w:sz w:val="24"/>
          <w:szCs w:val="24"/>
        </w:rPr>
        <w:t xml:space="preserve">a LIHEAP CRISIS grant. </w:t>
      </w:r>
      <w:r w:rsidR="00E7570B">
        <w:rPr>
          <w:sz w:val="24"/>
          <w:szCs w:val="24"/>
        </w:rPr>
        <w:t xml:space="preserve"> Complainant alleges that Duquesne Light’s refusal to issue him</w:t>
      </w:r>
      <w:r w:rsidR="00DD3904">
        <w:rPr>
          <w:sz w:val="24"/>
          <w:szCs w:val="24"/>
        </w:rPr>
        <w:t xml:space="preserve"> </w:t>
      </w:r>
      <w:r w:rsidR="00E7570B">
        <w:rPr>
          <w:sz w:val="24"/>
          <w:szCs w:val="24"/>
        </w:rPr>
        <w:t xml:space="preserve">a termination notice is a violation of his </w:t>
      </w:r>
      <w:r w:rsidR="00E96CA9">
        <w:rPr>
          <w:sz w:val="24"/>
          <w:szCs w:val="24"/>
        </w:rPr>
        <w:t>Fourteenth Amendment rights</w:t>
      </w:r>
      <w:r w:rsidR="00DD3904">
        <w:rPr>
          <w:sz w:val="24"/>
          <w:szCs w:val="24"/>
        </w:rPr>
        <w:t xml:space="preserve"> under the Equal Protection Clause of the United States Constitution.</w:t>
      </w:r>
      <w:r w:rsidR="0054532C">
        <w:rPr>
          <w:sz w:val="24"/>
          <w:szCs w:val="24"/>
        </w:rPr>
        <w:t xml:space="preserve">  </w:t>
      </w:r>
      <w:r w:rsidR="00D05AB3">
        <w:rPr>
          <w:sz w:val="24"/>
          <w:szCs w:val="24"/>
        </w:rPr>
        <w:t xml:space="preserve">As relief, Complainant </w:t>
      </w:r>
      <w:r w:rsidR="00AD4EF1">
        <w:rPr>
          <w:sz w:val="24"/>
          <w:szCs w:val="24"/>
        </w:rPr>
        <w:t xml:space="preserve">requests that the Commission ensure that Duquesne Light is in compliance with </w:t>
      </w:r>
      <w:r w:rsidR="00C57E69">
        <w:rPr>
          <w:sz w:val="24"/>
          <w:szCs w:val="24"/>
        </w:rPr>
        <w:t xml:space="preserve">the Equal Protection Clause of the Fourteenth Amendment.  </w:t>
      </w:r>
      <w:r w:rsidR="00D05AB3">
        <w:rPr>
          <w:sz w:val="24"/>
          <w:szCs w:val="24"/>
        </w:rPr>
        <w:t xml:space="preserve">  </w:t>
      </w:r>
      <w:r w:rsidR="00970B6D">
        <w:rPr>
          <w:sz w:val="24"/>
          <w:szCs w:val="24"/>
        </w:rPr>
        <w:t xml:space="preserve"> </w:t>
      </w:r>
      <w:r w:rsidR="009A35EF">
        <w:rPr>
          <w:sz w:val="24"/>
          <w:szCs w:val="24"/>
        </w:rPr>
        <w:t xml:space="preserve">   </w:t>
      </w:r>
    </w:p>
    <w:p w14:paraId="7303549E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632720F5" w14:textId="753AFCDB" w:rsidR="00AD6CC9" w:rsidRDefault="00E95C4C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A052F0" w:rsidRPr="009E236F">
        <w:rPr>
          <w:sz w:val="24"/>
          <w:szCs w:val="24"/>
        </w:rPr>
        <w:t xml:space="preserve">On </w:t>
      </w:r>
      <w:r w:rsidR="00B64AE3">
        <w:rPr>
          <w:sz w:val="24"/>
          <w:szCs w:val="24"/>
        </w:rPr>
        <w:t>April 3, 2023, Duquesne Light filed an Answer to Formal Complaint</w:t>
      </w:r>
      <w:r w:rsidR="000D5838">
        <w:rPr>
          <w:sz w:val="24"/>
          <w:szCs w:val="24"/>
        </w:rPr>
        <w:t xml:space="preserve"> requesting that the Complaint be dismissed with prejudice.  </w:t>
      </w:r>
    </w:p>
    <w:p w14:paraId="41854EF9" w14:textId="77777777" w:rsidR="00AD6CC9" w:rsidRDefault="00AD6CC9" w:rsidP="00B82336">
      <w:pPr>
        <w:spacing w:line="360" w:lineRule="auto"/>
        <w:rPr>
          <w:sz w:val="24"/>
          <w:szCs w:val="24"/>
        </w:rPr>
      </w:pPr>
    </w:p>
    <w:p w14:paraId="04B4EC8F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1C29AB26" w14:textId="05A915CD" w:rsidR="007F3B92" w:rsidRDefault="00AD6CC9" w:rsidP="00B823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On April 3, 2023, Duquesne Light also filed Preliminary Objections </w:t>
      </w:r>
      <w:r w:rsidR="00097681">
        <w:rPr>
          <w:sz w:val="24"/>
          <w:szCs w:val="24"/>
        </w:rPr>
        <w:t xml:space="preserve">alleging that the Commission </w:t>
      </w:r>
      <w:r w:rsidR="001B4BA2">
        <w:rPr>
          <w:sz w:val="24"/>
          <w:szCs w:val="24"/>
        </w:rPr>
        <w:t xml:space="preserve">lacks jurisdiction over Complainant’s </w:t>
      </w:r>
      <w:r w:rsidR="00B44E23">
        <w:rPr>
          <w:sz w:val="24"/>
          <w:szCs w:val="24"/>
        </w:rPr>
        <w:t xml:space="preserve">claims that are rooted in </w:t>
      </w:r>
      <w:r w:rsidR="0099425E">
        <w:rPr>
          <w:sz w:val="24"/>
          <w:szCs w:val="24"/>
        </w:rPr>
        <w:t xml:space="preserve">an </w:t>
      </w:r>
      <w:r w:rsidR="00B44E23">
        <w:rPr>
          <w:sz w:val="24"/>
          <w:szCs w:val="24"/>
        </w:rPr>
        <w:t>alleged</w:t>
      </w:r>
      <w:r w:rsidR="0099425E">
        <w:rPr>
          <w:sz w:val="24"/>
          <w:szCs w:val="24"/>
        </w:rPr>
        <w:t xml:space="preserve"> violation of the Fourtee</w:t>
      </w:r>
      <w:r w:rsidR="007B3FDB">
        <w:rPr>
          <w:sz w:val="24"/>
          <w:szCs w:val="24"/>
        </w:rPr>
        <w:t>n</w:t>
      </w:r>
      <w:r w:rsidR="0099425E">
        <w:rPr>
          <w:sz w:val="24"/>
          <w:szCs w:val="24"/>
        </w:rPr>
        <w:t>th Amendment</w:t>
      </w:r>
      <w:r w:rsidR="007B3FDB">
        <w:rPr>
          <w:sz w:val="24"/>
          <w:szCs w:val="24"/>
        </w:rPr>
        <w:t xml:space="preserve"> of the U.S. Constitution.  </w:t>
      </w:r>
      <w:r w:rsidR="0010122E">
        <w:rPr>
          <w:sz w:val="24"/>
          <w:szCs w:val="24"/>
        </w:rPr>
        <w:t xml:space="preserve">On April 13, 2023, Complainant filed </w:t>
      </w:r>
      <w:r w:rsidR="00361A9B">
        <w:rPr>
          <w:sz w:val="24"/>
          <w:szCs w:val="24"/>
        </w:rPr>
        <w:t xml:space="preserve">and Answer to Preliminary Objections.  </w:t>
      </w:r>
      <w:r w:rsidR="0099425E">
        <w:rPr>
          <w:sz w:val="24"/>
          <w:szCs w:val="24"/>
        </w:rPr>
        <w:t xml:space="preserve"> </w:t>
      </w:r>
      <w:r w:rsidR="00B44E23">
        <w:rPr>
          <w:sz w:val="24"/>
          <w:szCs w:val="24"/>
        </w:rPr>
        <w:t xml:space="preserve"> </w:t>
      </w:r>
    </w:p>
    <w:p w14:paraId="1C29AB27" w14:textId="77777777" w:rsidR="00DC1888" w:rsidRDefault="00DC1888" w:rsidP="00B82336">
      <w:pPr>
        <w:spacing w:line="360" w:lineRule="auto"/>
        <w:jc w:val="center"/>
        <w:rPr>
          <w:sz w:val="24"/>
          <w:szCs w:val="24"/>
          <w:u w:val="single"/>
        </w:rPr>
      </w:pPr>
    </w:p>
    <w:p w14:paraId="1C29AB28" w14:textId="77777777" w:rsidR="00F54017" w:rsidRPr="009E236F" w:rsidRDefault="00EB3C5F" w:rsidP="00B82336">
      <w:pPr>
        <w:spacing w:line="360" w:lineRule="auto"/>
        <w:jc w:val="center"/>
        <w:rPr>
          <w:szCs w:val="24"/>
        </w:rPr>
      </w:pPr>
      <w:r>
        <w:rPr>
          <w:sz w:val="24"/>
          <w:szCs w:val="24"/>
          <w:u w:val="single"/>
        </w:rPr>
        <w:t>DISCUSSION</w:t>
      </w:r>
    </w:p>
    <w:p w14:paraId="7E22796E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1C29AB29" w14:textId="06B4856C" w:rsidR="005230F1" w:rsidRPr="009E236F" w:rsidRDefault="00BE218D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Commission regulations permit the filing of preliminary objections. </w:t>
      </w:r>
      <w:r w:rsidR="006B5A69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>52</w:t>
      </w:r>
      <w:r w:rsidR="00B82336">
        <w:rPr>
          <w:sz w:val="24"/>
          <w:szCs w:val="24"/>
        </w:rPr>
        <w:t> </w:t>
      </w:r>
      <w:r w:rsidR="006775E3" w:rsidRPr="009E236F">
        <w:rPr>
          <w:sz w:val="24"/>
          <w:szCs w:val="24"/>
        </w:rPr>
        <w:t>Pa.</w:t>
      </w:r>
      <w:r w:rsidR="00B82336">
        <w:t> </w:t>
      </w:r>
      <w:r w:rsidR="006775E3" w:rsidRPr="009E236F">
        <w:rPr>
          <w:sz w:val="24"/>
          <w:szCs w:val="24"/>
        </w:rPr>
        <w:t>Code</w:t>
      </w:r>
      <w:r w:rsidR="006B5A69">
        <w:rPr>
          <w:sz w:val="24"/>
          <w:szCs w:val="24"/>
        </w:rPr>
        <w:t> </w:t>
      </w:r>
      <w:r w:rsidR="006775E3" w:rsidRPr="009E236F">
        <w:rPr>
          <w:sz w:val="24"/>
          <w:szCs w:val="24"/>
        </w:rPr>
        <w:t>§ 5.101(a)(1)-(</w:t>
      </w:r>
      <w:r w:rsidR="00EF4C64">
        <w:rPr>
          <w:sz w:val="24"/>
          <w:szCs w:val="24"/>
        </w:rPr>
        <w:t>7</w:t>
      </w:r>
      <w:r w:rsidR="006775E3" w:rsidRPr="009E236F">
        <w:rPr>
          <w:sz w:val="24"/>
          <w:szCs w:val="24"/>
        </w:rPr>
        <w:t xml:space="preserve">). </w:t>
      </w:r>
      <w:r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>Preliminary objection practice before the Commission is similar to Pennsylvania civil practice respecting preliminary objections.</w:t>
      </w:r>
      <w:r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 xml:space="preserve"> </w:t>
      </w:r>
      <w:r w:rsidR="006775E3" w:rsidRPr="009E236F">
        <w:rPr>
          <w:i/>
          <w:iCs/>
          <w:sz w:val="24"/>
          <w:szCs w:val="24"/>
        </w:rPr>
        <w:t>Equitable Small Transportation Intervenors v. Equitable Gas Company</w:t>
      </w:r>
      <w:r w:rsidR="006775E3" w:rsidRPr="009E236F">
        <w:rPr>
          <w:sz w:val="24"/>
          <w:szCs w:val="24"/>
        </w:rPr>
        <w:t>, 1994 Pa. PUC LEXIS 69,</w:t>
      </w:r>
      <w:r w:rsidR="00CC5DC3">
        <w:rPr>
          <w:sz w:val="24"/>
          <w:szCs w:val="24"/>
        </w:rPr>
        <w:t xml:space="preserve"> Docket No. C-00935435 (July </w:t>
      </w:r>
      <w:r w:rsidR="006775E3" w:rsidRPr="009E236F">
        <w:rPr>
          <w:sz w:val="24"/>
          <w:szCs w:val="24"/>
        </w:rPr>
        <w:t>18, 1994).</w:t>
      </w:r>
    </w:p>
    <w:p w14:paraId="1C29AB2A" w14:textId="77777777" w:rsidR="005230F1" w:rsidRPr="009E236F" w:rsidRDefault="005230F1" w:rsidP="00B82336">
      <w:pPr>
        <w:spacing w:line="360" w:lineRule="auto"/>
        <w:rPr>
          <w:sz w:val="24"/>
          <w:szCs w:val="24"/>
        </w:rPr>
      </w:pPr>
    </w:p>
    <w:p w14:paraId="1C29AB2B" w14:textId="77777777" w:rsidR="005230F1" w:rsidRPr="009E236F" w:rsidRDefault="005230F1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Commission regulations provide:</w:t>
      </w:r>
    </w:p>
    <w:p w14:paraId="1C29AB2C" w14:textId="77777777" w:rsidR="005230F1" w:rsidRPr="009E236F" w:rsidRDefault="005230F1" w:rsidP="00B82336">
      <w:pPr>
        <w:spacing w:line="360" w:lineRule="auto"/>
        <w:rPr>
          <w:sz w:val="24"/>
          <w:szCs w:val="24"/>
        </w:rPr>
      </w:pPr>
    </w:p>
    <w:p w14:paraId="1C29AB2D" w14:textId="77777777" w:rsidR="009E236F" w:rsidRPr="00756611" w:rsidRDefault="005230F1" w:rsidP="00B82336">
      <w:pPr>
        <w:suppressAutoHyphens/>
        <w:spacing w:line="360" w:lineRule="auto"/>
        <w:rPr>
          <w:bCs/>
          <w:sz w:val="24"/>
          <w:szCs w:val="24"/>
        </w:rPr>
      </w:pPr>
      <w:r w:rsidRPr="00756611">
        <w:rPr>
          <w:bCs/>
          <w:sz w:val="24"/>
          <w:szCs w:val="24"/>
        </w:rPr>
        <w:t>§ 5.101. Preliminary objections.</w:t>
      </w:r>
    </w:p>
    <w:p w14:paraId="1C29AB2E" w14:textId="77777777" w:rsidR="009E236F" w:rsidRDefault="009E236F" w:rsidP="00B82336">
      <w:pPr>
        <w:suppressAutoHyphens/>
        <w:spacing w:line="360" w:lineRule="auto"/>
        <w:rPr>
          <w:sz w:val="24"/>
          <w:szCs w:val="24"/>
        </w:rPr>
      </w:pPr>
    </w:p>
    <w:p w14:paraId="1C29AB2F" w14:textId="77777777" w:rsidR="005230F1" w:rsidRPr="009E236F" w:rsidRDefault="005230F1" w:rsidP="009E236F">
      <w:pPr>
        <w:suppressAutoHyphens/>
        <w:ind w:left="1440"/>
        <w:rPr>
          <w:sz w:val="24"/>
          <w:szCs w:val="24"/>
        </w:rPr>
      </w:pPr>
      <w:r w:rsidRPr="009E236F">
        <w:rPr>
          <w:sz w:val="24"/>
          <w:szCs w:val="24"/>
        </w:rPr>
        <w:t>(a)</w:t>
      </w:r>
      <w:r w:rsidR="009E236F">
        <w:rPr>
          <w:sz w:val="24"/>
          <w:szCs w:val="24"/>
        </w:rPr>
        <w:tab/>
      </w:r>
      <w:r w:rsidRPr="009E236F">
        <w:rPr>
          <w:i/>
          <w:iCs/>
          <w:sz w:val="24"/>
          <w:szCs w:val="24"/>
        </w:rPr>
        <w:t>Grounds.</w:t>
      </w:r>
      <w:r w:rsidRPr="009E236F">
        <w:rPr>
          <w:sz w:val="24"/>
          <w:szCs w:val="24"/>
        </w:rPr>
        <w:t xml:space="preserve"> Preliminary objections are available to parties and may be filed in response to a pleading except motions and prior preliminary objections. Preliminary objections must be accompanied by a notice to plead, must state specifically the legal and factual grounds relied upon and be limited to the following:</w:t>
      </w:r>
    </w:p>
    <w:p w14:paraId="1C29AB30" w14:textId="77777777" w:rsidR="005230F1" w:rsidRPr="009E236F" w:rsidRDefault="005230F1" w:rsidP="009E236F">
      <w:pPr>
        <w:suppressAutoHyphens/>
        <w:rPr>
          <w:sz w:val="24"/>
          <w:szCs w:val="24"/>
        </w:rPr>
      </w:pPr>
    </w:p>
    <w:p w14:paraId="1C29AB31" w14:textId="77777777" w:rsidR="005230F1" w:rsidRDefault="009E236F" w:rsidP="009E236F">
      <w:pPr>
        <w:suppressAutoHyphens/>
        <w:ind w:left="216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Lack of Commission </w:t>
      </w:r>
      <w:r w:rsidR="005230F1" w:rsidRPr="009E236F">
        <w:rPr>
          <w:bCs/>
          <w:sz w:val="24"/>
          <w:szCs w:val="24"/>
        </w:rPr>
        <w:t>jurisdiction</w:t>
      </w:r>
      <w:r w:rsidR="005230F1" w:rsidRPr="009E236F">
        <w:rPr>
          <w:sz w:val="24"/>
          <w:szCs w:val="24"/>
        </w:rPr>
        <w:t xml:space="preserve"> or improper service of the pleading </w:t>
      </w:r>
      <w:r>
        <w:rPr>
          <w:sz w:val="24"/>
          <w:szCs w:val="24"/>
        </w:rPr>
        <w:t>initiating the proceeding.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(2)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Failure of a pleading to conform to this chapter or the inclusion of scandalous or </w:t>
      </w:r>
      <w:r>
        <w:rPr>
          <w:sz w:val="24"/>
          <w:szCs w:val="24"/>
        </w:rPr>
        <w:t>impertinent matter.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(3)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Insufficient </w:t>
      </w:r>
      <w:r>
        <w:rPr>
          <w:sz w:val="24"/>
          <w:szCs w:val="24"/>
        </w:rPr>
        <w:t>specificity of a pleading.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(4)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Legal in</w:t>
      </w:r>
      <w:r>
        <w:rPr>
          <w:sz w:val="24"/>
          <w:szCs w:val="24"/>
        </w:rPr>
        <w:t>sufficiency of a pleading.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(5)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Lack of capacity to sue, nonjoinder of a necessary party or misjoi</w:t>
      </w:r>
      <w:r>
        <w:rPr>
          <w:sz w:val="24"/>
          <w:szCs w:val="24"/>
        </w:rPr>
        <w:t>nder of a cause of action.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(6)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Pendency of a prior proceeding or agreement for alternative dispute resolution.</w:t>
      </w:r>
    </w:p>
    <w:p w14:paraId="2E2E9D8D" w14:textId="30DABEB6" w:rsidR="00031CDC" w:rsidRPr="009E236F" w:rsidRDefault="00031CDC" w:rsidP="009E236F">
      <w:pPr>
        <w:suppressAutoHyphens/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>(7)</w:t>
      </w:r>
      <w:r>
        <w:rPr>
          <w:sz w:val="24"/>
          <w:szCs w:val="24"/>
        </w:rPr>
        <w:tab/>
        <w:t>Standing of a party to participate in the proceeding.</w:t>
      </w:r>
    </w:p>
    <w:p w14:paraId="1C29AB32" w14:textId="77777777" w:rsidR="005230F1" w:rsidRDefault="005230F1" w:rsidP="009E236F">
      <w:pPr>
        <w:spacing w:line="360" w:lineRule="auto"/>
        <w:rPr>
          <w:sz w:val="24"/>
          <w:szCs w:val="24"/>
        </w:rPr>
      </w:pPr>
    </w:p>
    <w:p w14:paraId="1C29AB33" w14:textId="77777777" w:rsidR="00420676" w:rsidRDefault="00420676" w:rsidP="009E23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52 Pa. Code </w:t>
      </w:r>
      <w:r w:rsidRPr="009E236F">
        <w:rPr>
          <w:sz w:val="24"/>
          <w:szCs w:val="24"/>
        </w:rPr>
        <w:t>§ 5.101(a)</w:t>
      </w:r>
      <w:r>
        <w:rPr>
          <w:sz w:val="24"/>
          <w:szCs w:val="24"/>
        </w:rPr>
        <w:t>.</w:t>
      </w:r>
    </w:p>
    <w:p w14:paraId="1C29AB34" w14:textId="77777777" w:rsidR="00420676" w:rsidRPr="009E236F" w:rsidRDefault="00420676" w:rsidP="009E236F">
      <w:pPr>
        <w:spacing w:line="360" w:lineRule="auto"/>
        <w:rPr>
          <w:sz w:val="24"/>
          <w:szCs w:val="24"/>
        </w:rPr>
      </w:pPr>
    </w:p>
    <w:p w14:paraId="1C29AB35" w14:textId="77777777" w:rsidR="00C137C7" w:rsidRDefault="005230F1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 xml:space="preserve">In deciding preliminary objections, the Commission must determine whether, based on well-pleaded factual averments of the complainant, recovery or relief is possible. </w:t>
      </w:r>
      <w:r w:rsidR="00C137C7">
        <w:rPr>
          <w:sz w:val="24"/>
          <w:szCs w:val="24"/>
        </w:rPr>
        <w:t xml:space="preserve"> </w:t>
      </w:r>
    </w:p>
    <w:p w14:paraId="77425F4F" w14:textId="77777777" w:rsidR="00B82336" w:rsidRDefault="005230F1" w:rsidP="00B82336">
      <w:pPr>
        <w:spacing w:line="360" w:lineRule="auto"/>
        <w:rPr>
          <w:sz w:val="24"/>
          <w:szCs w:val="24"/>
        </w:rPr>
      </w:pPr>
      <w:r w:rsidRPr="009E236F">
        <w:rPr>
          <w:i/>
          <w:sz w:val="24"/>
          <w:szCs w:val="24"/>
        </w:rPr>
        <w:t>Dep</w:t>
      </w:r>
      <w:r w:rsidR="00C137C7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>t of Auditor General, et al v. SERS, et al</w:t>
      </w:r>
      <w:r w:rsidRPr="009E236F">
        <w:rPr>
          <w:sz w:val="24"/>
          <w:szCs w:val="24"/>
        </w:rPr>
        <w:t>., 836 A.2d 1053, 1064 (Pa.</w:t>
      </w:r>
      <w:r w:rsidR="00304EC6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Cmwlth. 2003); </w:t>
      </w:r>
      <w:r w:rsidRPr="009E236F">
        <w:rPr>
          <w:i/>
          <w:sz w:val="24"/>
          <w:szCs w:val="24"/>
        </w:rPr>
        <w:t>P.J.S.</w:t>
      </w:r>
      <w:r w:rsidR="00C137C7">
        <w:rPr>
          <w:i/>
          <w:sz w:val="24"/>
          <w:szCs w:val="24"/>
        </w:rPr>
        <w:t> </w:t>
      </w:r>
      <w:r w:rsidRPr="009E236F">
        <w:rPr>
          <w:i/>
          <w:sz w:val="24"/>
          <w:szCs w:val="24"/>
        </w:rPr>
        <w:t>v. Pa. State Ethics Comm</w:t>
      </w:r>
      <w:r w:rsidR="007D51A5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>n</w:t>
      </w:r>
      <w:r w:rsidRPr="009E236F">
        <w:rPr>
          <w:sz w:val="24"/>
          <w:szCs w:val="24"/>
        </w:rPr>
        <w:t>, 669 A.2d 1105 (Pa.</w:t>
      </w:r>
      <w:r w:rsidR="001F626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Cmwlth. 1996).  Any doubt must be resolved in favor of the non-moving party by refusing to sustain the preliminary objections.  </w:t>
      </w:r>
      <w:r w:rsidRPr="009E236F">
        <w:rPr>
          <w:i/>
          <w:sz w:val="24"/>
          <w:szCs w:val="24"/>
        </w:rPr>
        <w:t>Boyd v. Ward</w:t>
      </w:r>
      <w:r w:rsidRPr="009E236F">
        <w:rPr>
          <w:sz w:val="24"/>
          <w:szCs w:val="24"/>
        </w:rPr>
        <w:t>, 802 A.2d 705 (Pa.</w:t>
      </w:r>
      <w:r w:rsidR="001F626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Cmwlth. 2002).  All of the non-moving party</w:t>
      </w:r>
      <w:r w:rsidR="00A12F99">
        <w:rPr>
          <w:sz w:val="24"/>
          <w:szCs w:val="24"/>
        </w:rPr>
        <w:t>’</w:t>
      </w:r>
      <w:r w:rsidRPr="009E236F">
        <w:rPr>
          <w:sz w:val="24"/>
          <w:szCs w:val="24"/>
        </w:rPr>
        <w:t xml:space="preserve">s averments in the complaint must be viewed as true for purposes of deciding the preliminary objections, and only those facts specifically admitted may be considered against the non-moving party. </w:t>
      </w:r>
      <w:r w:rsidR="00C137C7">
        <w:rPr>
          <w:sz w:val="24"/>
          <w:szCs w:val="24"/>
        </w:rPr>
        <w:t xml:space="preserve"> </w:t>
      </w:r>
      <w:r w:rsidRPr="009E236F">
        <w:rPr>
          <w:i/>
          <w:sz w:val="24"/>
          <w:szCs w:val="24"/>
        </w:rPr>
        <w:t>Ridge v. State Employees</w:t>
      </w:r>
      <w:r w:rsidR="001F626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 xml:space="preserve"> Retirement Bd</w:t>
      </w:r>
      <w:r w:rsidRPr="009E236F">
        <w:rPr>
          <w:sz w:val="24"/>
          <w:szCs w:val="24"/>
        </w:rPr>
        <w:t>., 690 A.2d 1312 (Pa.</w:t>
      </w:r>
      <w:r w:rsidR="001F626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Cmwlth. 1997).</w:t>
      </w:r>
    </w:p>
    <w:p w14:paraId="33CC93C8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4DB95C60" w14:textId="7B52D544" w:rsidR="00D51D8E" w:rsidRDefault="00A22B82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Therefore, </w:t>
      </w:r>
      <w:r w:rsidR="00156BD3">
        <w:rPr>
          <w:sz w:val="24"/>
          <w:szCs w:val="24"/>
        </w:rPr>
        <w:t>a</w:t>
      </w:r>
      <w:r w:rsidR="006775E3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preliminary objection</w:t>
      </w:r>
      <w:r w:rsidR="006775E3" w:rsidRPr="009E236F">
        <w:rPr>
          <w:sz w:val="24"/>
          <w:szCs w:val="24"/>
        </w:rPr>
        <w:t xml:space="preserve"> can be granted only if recovery or relief is not possible after all of the Complainant</w:t>
      </w:r>
      <w:r w:rsidR="00A15F4A">
        <w:rPr>
          <w:sz w:val="24"/>
          <w:szCs w:val="24"/>
        </w:rPr>
        <w:t>’s</w:t>
      </w:r>
      <w:r w:rsidR="006775E3" w:rsidRPr="009E236F">
        <w:rPr>
          <w:sz w:val="24"/>
          <w:szCs w:val="24"/>
        </w:rPr>
        <w:t xml:space="preserve"> averments in the complaint are viewed as true for purposes of deciding the preliminary objection, using only those facts specifically admitted</w:t>
      </w:r>
      <w:r w:rsidR="00F54017">
        <w:rPr>
          <w:sz w:val="24"/>
          <w:szCs w:val="24"/>
        </w:rPr>
        <w:t>.</w:t>
      </w:r>
      <w:r w:rsidR="00D61683">
        <w:rPr>
          <w:sz w:val="24"/>
          <w:szCs w:val="24"/>
        </w:rPr>
        <w:t xml:space="preserve"> </w:t>
      </w:r>
    </w:p>
    <w:p w14:paraId="00D21885" w14:textId="77777777" w:rsidR="00D51D8E" w:rsidRDefault="00D51D8E" w:rsidP="00B82336">
      <w:pPr>
        <w:spacing w:line="360" w:lineRule="auto"/>
        <w:rPr>
          <w:sz w:val="24"/>
          <w:szCs w:val="24"/>
        </w:rPr>
      </w:pPr>
    </w:p>
    <w:p w14:paraId="4FC0CD54" w14:textId="77777777" w:rsidR="00B82336" w:rsidRDefault="00D51D8E" w:rsidP="00B82336">
      <w:pPr>
        <w:spacing w:line="360" w:lineRule="auto"/>
        <w:ind w:firstLine="1440"/>
        <w:rPr>
          <w:sz w:val="24"/>
          <w:szCs w:val="24"/>
        </w:rPr>
      </w:pPr>
      <w:r w:rsidRPr="00D51D8E">
        <w:rPr>
          <w:sz w:val="24"/>
          <w:szCs w:val="24"/>
        </w:rPr>
        <w:t xml:space="preserve">The Commission may only exercise powers that are expressly conferred upon it by the legislature. </w:t>
      </w:r>
      <w:r w:rsidR="00B82336">
        <w:rPr>
          <w:sz w:val="24"/>
          <w:szCs w:val="24"/>
        </w:rPr>
        <w:t xml:space="preserve"> </w:t>
      </w:r>
      <w:r w:rsidRPr="00B82336">
        <w:rPr>
          <w:i/>
          <w:iCs/>
          <w:sz w:val="24"/>
          <w:szCs w:val="24"/>
        </w:rPr>
        <w:t>See Feingold v. Bell of Pa.,</w:t>
      </w:r>
      <w:r w:rsidRPr="00D51D8E">
        <w:rPr>
          <w:sz w:val="24"/>
          <w:szCs w:val="24"/>
        </w:rPr>
        <w:t xml:space="preserve"> 383 A.2d 791, 794 (Pa. 1978).</w:t>
      </w:r>
      <w:r w:rsidR="00E6135B">
        <w:rPr>
          <w:sz w:val="24"/>
          <w:szCs w:val="24"/>
        </w:rPr>
        <w:t xml:space="preserve">  </w:t>
      </w:r>
      <w:r w:rsidR="00E6135B" w:rsidRPr="00E6135B">
        <w:rPr>
          <w:sz w:val="24"/>
          <w:szCs w:val="24"/>
        </w:rPr>
        <w:t xml:space="preserve">The Commission has held that claims relating to violations of the United States Constitution were beyond the Commission’s subject matter jurisdiction. </w:t>
      </w:r>
      <w:r w:rsidR="00B82336">
        <w:rPr>
          <w:sz w:val="24"/>
          <w:szCs w:val="24"/>
        </w:rPr>
        <w:t xml:space="preserve"> </w:t>
      </w:r>
      <w:r w:rsidR="00E6135B" w:rsidRPr="00B82336">
        <w:rPr>
          <w:i/>
          <w:iCs/>
          <w:sz w:val="24"/>
          <w:szCs w:val="24"/>
        </w:rPr>
        <w:t>White v. PPL Elec.  Utilities Corp.,</w:t>
      </w:r>
      <w:r w:rsidR="00E6135B" w:rsidRPr="00E6135B">
        <w:rPr>
          <w:sz w:val="24"/>
          <w:szCs w:val="24"/>
        </w:rPr>
        <w:t xml:space="preserve"> Docket No. </w:t>
      </w:r>
    </w:p>
    <w:p w14:paraId="1459CBE9" w14:textId="3291F173" w:rsidR="00E40AF2" w:rsidRDefault="00E6135B" w:rsidP="00B82336">
      <w:pPr>
        <w:spacing w:line="360" w:lineRule="auto"/>
        <w:rPr>
          <w:sz w:val="24"/>
          <w:szCs w:val="24"/>
        </w:rPr>
      </w:pPr>
      <w:r w:rsidRPr="00E6135B">
        <w:rPr>
          <w:sz w:val="24"/>
          <w:szCs w:val="24"/>
        </w:rPr>
        <w:t xml:space="preserve">C-2018-3003468, 2019 WL 2250756 (May 6, 2019) (stating the Commission has no jurisdiction to determine if an issue violates a complainant’s constitutional rights). </w:t>
      </w:r>
      <w:r w:rsidR="00B82336">
        <w:rPr>
          <w:sz w:val="24"/>
          <w:szCs w:val="24"/>
        </w:rPr>
        <w:t xml:space="preserve"> </w:t>
      </w:r>
      <w:r w:rsidRPr="00B82336">
        <w:rPr>
          <w:i/>
          <w:iCs/>
          <w:sz w:val="24"/>
          <w:szCs w:val="24"/>
        </w:rPr>
        <w:t>See James Coppedge v. PECO Energy Co.,</w:t>
      </w:r>
      <w:r w:rsidRPr="00E6135B">
        <w:rPr>
          <w:sz w:val="24"/>
          <w:szCs w:val="24"/>
        </w:rPr>
        <w:t xml:space="preserve"> Docket No. F-2009-2135893, 2010 WL 3183815, at *1 (July 29, 2010).</w:t>
      </w:r>
    </w:p>
    <w:p w14:paraId="489E4F82" w14:textId="77777777" w:rsidR="00E40AF2" w:rsidRDefault="00E40AF2" w:rsidP="00B82336">
      <w:pPr>
        <w:spacing w:line="360" w:lineRule="auto"/>
        <w:ind w:firstLine="1440"/>
        <w:rPr>
          <w:sz w:val="24"/>
          <w:szCs w:val="24"/>
        </w:rPr>
      </w:pPr>
    </w:p>
    <w:p w14:paraId="0815093A" w14:textId="70CE9187" w:rsidR="00B0467A" w:rsidRDefault="00E40AF2" w:rsidP="00B82336">
      <w:pPr>
        <w:spacing w:line="360" w:lineRule="auto"/>
        <w:ind w:firstLine="1440"/>
        <w:rPr>
          <w:sz w:val="24"/>
          <w:szCs w:val="24"/>
        </w:rPr>
      </w:pPr>
      <w:r w:rsidRPr="00E40AF2">
        <w:rPr>
          <w:sz w:val="24"/>
          <w:szCs w:val="24"/>
        </w:rPr>
        <w:t xml:space="preserve">Here, the Complaint alleges that </w:t>
      </w:r>
      <w:r w:rsidR="0096140C">
        <w:rPr>
          <w:sz w:val="24"/>
          <w:szCs w:val="24"/>
        </w:rPr>
        <w:t>Duquesne Light</w:t>
      </w:r>
      <w:r w:rsidRPr="00E40AF2">
        <w:rPr>
          <w:sz w:val="24"/>
          <w:szCs w:val="24"/>
        </w:rPr>
        <w:t xml:space="preserve"> violated Complainant’s constitutional rights, specifically, violations of the 14th Amendment of the United States Constitution.</w:t>
      </w:r>
      <w:r w:rsidR="00B82336">
        <w:rPr>
          <w:sz w:val="24"/>
          <w:szCs w:val="24"/>
        </w:rPr>
        <w:t xml:space="preserve"> </w:t>
      </w:r>
      <w:r w:rsidRPr="00E40AF2">
        <w:rPr>
          <w:sz w:val="24"/>
          <w:szCs w:val="24"/>
        </w:rPr>
        <w:t xml:space="preserve"> Complaint ¶ 5.</w:t>
      </w:r>
      <w:r w:rsidR="00DC6F1C">
        <w:rPr>
          <w:sz w:val="24"/>
          <w:szCs w:val="24"/>
        </w:rPr>
        <w:t xml:space="preserve">  </w:t>
      </w:r>
      <w:r w:rsidR="00DC6F1C" w:rsidRPr="00DC6F1C">
        <w:rPr>
          <w:sz w:val="24"/>
          <w:szCs w:val="24"/>
        </w:rPr>
        <w:t>Application and interpretation of the United States Constitution are outside of the Commission’s express jurisdiction of Pennsylvania Code, Commission regulations, or Commission Order.</w:t>
      </w:r>
      <w:r w:rsidR="00B82336">
        <w:rPr>
          <w:sz w:val="24"/>
          <w:szCs w:val="24"/>
        </w:rPr>
        <w:t xml:space="preserve"> </w:t>
      </w:r>
      <w:r w:rsidR="00DC6F1C" w:rsidRPr="00DC6F1C">
        <w:rPr>
          <w:sz w:val="24"/>
          <w:szCs w:val="24"/>
        </w:rPr>
        <w:t xml:space="preserve"> </w:t>
      </w:r>
      <w:r w:rsidR="00DC6F1C" w:rsidRPr="00B82336">
        <w:rPr>
          <w:i/>
          <w:iCs/>
          <w:sz w:val="24"/>
          <w:szCs w:val="24"/>
        </w:rPr>
        <w:t>Alkhatib v. PECO,</w:t>
      </w:r>
      <w:r w:rsidR="00DC6F1C" w:rsidRPr="00DC6F1C">
        <w:rPr>
          <w:sz w:val="24"/>
          <w:szCs w:val="24"/>
        </w:rPr>
        <w:t xml:space="preserve"> at *5 (Jan. 12, 2012).</w:t>
      </w:r>
      <w:r w:rsidR="0096140C">
        <w:rPr>
          <w:sz w:val="24"/>
          <w:szCs w:val="24"/>
        </w:rPr>
        <w:t xml:space="preserve">  </w:t>
      </w:r>
      <w:r w:rsidR="0096140C" w:rsidRPr="0096140C">
        <w:rPr>
          <w:sz w:val="24"/>
          <w:szCs w:val="24"/>
        </w:rPr>
        <w:t xml:space="preserve">Therefore, the </w:t>
      </w:r>
      <w:r w:rsidR="0096140C" w:rsidRPr="0096140C">
        <w:rPr>
          <w:sz w:val="24"/>
          <w:szCs w:val="24"/>
        </w:rPr>
        <w:lastRenderedPageBreak/>
        <w:t>Commission lacks jurisdiction over the Complainant’s allegations that are rooted in alleged constitutional violations.</w:t>
      </w:r>
      <w:r w:rsidR="00B0467A">
        <w:rPr>
          <w:sz w:val="24"/>
          <w:szCs w:val="24"/>
        </w:rPr>
        <w:t xml:space="preserve">  </w:t>
      </w:r>
      <w:r w:rsidR="00B0467A" w:rsidRPr="00B0467A">
        <w:rPr>
          <w:sz w:val="24"/>
          <w:szCs w:val="24"/>
        </w:rPr>
        <w:t>Because the Commission lacks jurisdiction over the portion(s) of the Complaint that allege a 14th Amendment constitutional violation, such allegation(s) must be dismissed pursuant to 52 Pa. Code § 5.101(a)(1).</w:t>
      </w:r>
    </w:p>
    <w:p w14:paraId="5B6F0479" w14:textId="77777777" w:rsidR="00DA2B2F" w:rsidRDefault="00DA2B2F" w:rsidP="00B82336">
      <w:pPr>
        <w:spacing w:line="360" w:lineRule="auto"/>
        <w:ind w:firstLine="1440"/>
        <w:rPr>
          <w:sz w:val="24"/>
          <w:szCs w:val="24"/>
        </w:rPr>
      </w:pPr>
    </w:p>
    <w:p w14:paraId="1C29AB3E" w14:textId="0DAFB4B2" w:rsidR="00B6031B" w:rsidRDefault="00DA2B2F" w:rsidP="00B8233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Duquesne Light’s prelimina</w:t>
      </w:r>
      <w:r w:rsidR="00AD78B6">
        <w:rPr>
          <w:sz w:val="24"/>
          <w:szCs w:val="24"/>
        </w:rPr>
        <w:t>ry objection</w:t>
      </w:r>
      <w:r w:rsidR="001E3C26">
        <w:rPr>
          <w:sz w:val="24"/>
          <w:szCs w:val="24"/>
        </w:rPr>
        <w:t>s</w:t>
      </w:r>
      <w:r w:rsidR="00AD78B6">
        <w:rPr>
          <w:sz w:val="24"/>
          <w:szCs w:val="24"/>
        </w:rPr>
        <w:t xml:space="preserve"> that the Commission lacks jurisdiction over any claimed violations of the </w:t>
      </w:r>
      <w:r w:rsidR="00931C38">
        <w:rPr>
          <w:sz w:val="24"/>
          <w:szCs w:val="24"/>
        </w:rPr>
        <w:t>Fourteenth Amendment of the U.S. Constitution</w:t>
      </w:r>
      <w:r w:rsidR="001E3C26">
        <w:rPr>
          <w:sz w:val="24"/>
          <w:szCs w:val="24"/>
        </w:rPr>
        <w:t xml:space="preserve"> are sustained and those claims are stricken from the Complaint.  </w:t>
      </w:r>
      <w:r w:rsidR="00931C38">
        <w:rPr>
          <w:sz w:val="24"/>
          <w:szCs w:val="24"/>
        </w:rPr>
        <w:t xml:space="preserve"> </w:t>
      </w:r>
      <w:r w:rsidR="00235B6C" w:rsidRPr="009E236F">
        <w:rPr>
          <w:sz w:val="24"/>
          <w:szCs w:val="24"/>
        </w:rPr>
        <w:tab/>
      </w:r>
    </w:p>
    <w:p w14:paraId="1C29AB3F" w14:textId="77777777" w:rsidR="00B6031B" w:rsidRDefault="00B6031B" w:rsidP="00B82336">
      <w:pPr>
        <w:spacing w:line="360" w:lineRule="auto"/>
        <w:rPr>
          <w:sz w:val="24"/>
          <w:szCs w:val="24"/>
        </w:rPr>
      </w:pPr>
    </w:p>
    <w:p w14:paraId="1C29AB40" w14:textId="77777777" w:rsidR="00B6031B" w:rsidRPr="009D0768" w:rsidRDefault="00B6031B" w:rsidP="00B82336">
      <w:pPr>
        <w:spacing w:line="360" w:lineRule="auto"/>
        <w:ind w:firstLine="1440"/>
        <w:rPr>
          <w:sz w:val="24"/>
          <w:szCs w:val="24"/>
        </w:rPr>
      </w:pPr>
      <w:r w:rsidRPr="009D0768">
        <w:rPr>
          <w:sz w:val="24"/>
          <w:szCs w:val="24"/>
        </w:rPr>
        <w:t>The Public Utility Code defines “service” as follows:</w:t>
      </w:r>
    </w:p>
    <w:p w14:paraId="1C29AB41" w14:textId="77777777" w:rsidR="00B6031B" w:rsidRPr="009D0768" w:rsidRDefault="00B6031B" w:rsidP="00B82336">
      <w:pPr>
        <w:spacing w:line="360" w:lineRule="auto"/>
        <w:ind w:firstLine="1440"/>
        <w:rPr>
          <w:sz w:val="24"/>
          <w:szCs w:val="24"/>
        </w:rPr>
      </w:pPr>
    </w:p>
    <w:p w14:paraId="1C29AB42" w14:textId="77777777" w:rsidR="00B6031B" w:rsidRPr="009D0768" w:rsidRDefault="00B6031B" w:rsidP="00462742">
      <w:pPr>
        <w:ind w:left="2160" w:right="1440"/>
        <w:rPr>
          <w:sz w:val="24"/>
          <w:szCs w:val="24"/>
        </w:rPr>
      </w:pPr>
      <w:r w:rsidRPr="009D0768">
        <w:rPr>
          <w:sz w:val="24"/>
          <w:szCs w:val="24"/>
        </w:rPr>
        <w:t xml:space="preserve">Used in its broadest and most inclusive sense, includes </w:t>
      </w:r>
      <w:r w:rsidRPr="009D0768">
        <w:rPr>
          <w:sz w:val="24"/>
          <w:szCs w:val="24"/>
          <w:u w:val="single"/>
        </w:rPr>
        <w:t>any and all acts done, rendered, or performed</w:t>
      </w:r>
      <w:r w:rsidRPr="009D0768">
        <w:rPr>
          <w:sz w:val="24"/>
          <w:szCs w:val="24"/>
        </w:rPr>
        <w:t xml:space="preserve">, and any and all things furnished or supplied, and any and all facilities used, furnished, or supplied </w:t>
      </w:r>
      <w:r w:rsidRPr="009D0768">
        <w:rPr>
          <w:sz w:val="24"/>
          <w:szCs w:val="24"/>
          <w:u w:val="single"/>
        </w:rPr>
        <w:t>by public utilities</w:t>
      </w:r>
      <w:r w:rsidRPr="009D0768">
        <w:rPr>
          <w:sz w:val="24"/>
          <w:szCs w:val="24"/>
        </w:rPr>
        <w:t xml:space="preserve"> . . . (Emphasis added).  </w:t>
      </w:r>
    </w:p>
    <w:p w14:paraId="1C29AB43" w14:textId="77777777" w:rsidR="00B6031B" w:rsidRPr="009D0768" w:rsidRDefault="00B6031B" w:rsidP="00B6031B">
      <w:pPr>
        <w:spacing w:line="360" w:lineRule="auto"/>
        <w:ind w:firstLine="2160"/>
        <w:rPr>
          <w:sz w:val="24"/>
          <w:szCs w:val="24"/>
        </w:rPr>
      </w:pPr>
    </w:p>
    <w:p w14:paraId="1C29AB44" w14:textId="77777777" w:rsidR="00B6031B" w:rsidRPr="009D0768" w:rsidRDefault="00B6031B" w:rsidP="00B82336">
      <w:pPr>
        <w:spacing w:line="360" w:lineRule="auto"/>
        <w:ind w:right="115"/>
        <w:rPr>
          <w:sz w:val="24"/>
          <w:szCs w:val="24"/>
        </w:rPr>
      </w:pPr>
      <w:r w:rsidRPr="009D0768">
        <w:rPr>
          <w:sz w:val="24"/>
          <w:szCs w:val="24"/>
        </w:rPr>
        <w:t>66 Pa. C.S. § 102.  Utility service is not limited to the provision of service and includes “any and all acts” related to that function</w:t>
      </w:r>
      <w:r>
        <w:rPr>
          <w:sz w:val="24"/>
          <w:szCs w:val="24"/>
        </w:rPr>
        <w:t xml:space="preserve">.  </w:t>
      </w:r>
      <w:r w:rsidRPr="00307880">
        <w:rPr>
          <w:i/>
          <w:sz w:val="24"/>
          <w:szCs w:val="24"/>
        </w:rPr>
        <w:t>West Penn Power Company v. P</w:t>
      </w:r>
      <w:r w:rsidR="002C492E" w:rsidRPr="00307880">
        <w:rPr>
          <w:i/>
          <w:sz w:val="24"/>
          <w:szCs w:val="24"/>
        </w:rPr>
        <w:t>a. Pub. Util. Comm’n</w:t>
      </w:r>
      <w:r w:rsidRPr="009D0768">
        <w:rPr>
          <w:sz w:val="24"/>
          <w:szCs w:val="24"/>
        </w:rPr>
        <w:t>, 578 A.2d 75, 76 (Pa. Cmw</w:t>
      </w:r>
      <w:r w:rsidR="001E5A9E">
        <w:rPr>
          <w:sz w:val="24"/>
          <w:szCs w:val="24"/>
        </w:rPr>
        <w:t>lth</w:t>
      </w:r>
      <w:r w:rsidRPr="009D0768">
        <w:rPr>
          <w:sz w:val="24"/>
          <w:szCs w:val="24"/>
        </w:rPr>
        <w:t xml:space="preserve">. 1990); </w:t>
      </w:r>
      <w:r w:rsidRPr="00307880">
        <w:rPr>
          <w:i/>
          <w:sz w:val="24"/>
          <w:szCs w:val="24"/>
        </w:rPr>
        <w:t>Prosser v. Columbia Gas of Pa., Inc.</w:t>
      </w:r>
      <w:r w:rsidRPr="00307880">
        <w:rPr>
          <w:sz w:val="24"/>
          <w:szCs w:val="24"/>
        </w:rPr>
        <w:t xml:space="preserve">, </w:t>
      </w:r>
      <w:r w:rsidRPr="009D0768">
        <w:rPr>
          <w:sz w:val="24"/>
          <w:szCs w:val="24"/>
        </w:rPr>
        <w:t>Opinion and Order entered October 30, 2006 at Docket No. C-20066376.</w:t>
      </w:r>
    </w:p>
    <w:p w14:paraId="1C29AB45" w14:textId="77777777" w:rsidR="00B6031B" w:rsidRDefault="00B6031B" w:rsidP="00B82336">
      <w:pPr>
        <w:spacing w:line="360" w:lineRule="auto"/>
        <w:rPr>
          <w:sz w:val="24"/>
          <w:szCs w:val="24"/>
        </w:rPr>
      </w:pPr>
    </w:p>
    <w:p w14:paraId="1C29AB46" w14:textId="4C041162" w:rsidR="00F07545" w:rsidRDefault="00B6031B" w:rsidP="00B82336">
      <w:pPr>
        <w:pStyle w:val="Footnote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W</w:t>
      </w:r>
      <w:r w:rsidRPr="009D0768">
        <w:rPr>
          <w:sz w:val="24"/>
          <w:szCs w:val="24"/>
        </w:rPr>
        <w:t xml:space="preserve">hile Respondent correctly argues that the Commission cannot </w:t>
      </w:r>
      <w:r w:rsidR="001E3C26">
        <w:rPr>
          <w:sz w:val="24"/>
          <w:szCs w:val="24"/>
        </w:rPr>
        <w:t>entertain claimed violation of the U.S. Co</w:t>
      </w:r>
      <w:r w:rsidR="002A3381">
        <w:rPr>
          <w:sz w:val="24"/>
          <w:szCs w:val="24"/>
        </w:rPr>
        <w:t>nstitution, i</w:t>
      </w:r>
      <w:r w:rsidRPr="009D0768">
        <w:rPr>
          <w:sz w:val="24"/>
          <w:szCs w:val="24"/>
        </w:rPr>
        <w:t xml:space="preserve">t is clear that the Commission has jurisdiction over matters relating to the reasonableness of the service provided by </w:t>
      </w:r>
      <w:r w:rsidR="002A3381">
        <w:rPr>
          <w:sz w:val="24"/>
          <w:szCs w:val="24"/>
        </w:rPr>
        <w:t xml:space="preserve">Duquesne Light </w:t>
      </w:r>
      <w:r w:rsidRPr="009D0768">
        <w:rPr>
          <w:sz w:val="24"/>
          <w:szCs w:val="24"/>
        </w:rPr>
        <w:t xml:space="preserve">and has sufficient jurisdiction to adjudicate this </w:t>
      </w:r>
      <w:r w:rsidR="002A3381">
        <w:rPr>
          <w:sz w:val="24"/>
          <w:szCs w:val="24"/>
        </w:rPr>
        <w:t>C</w:t>
      </w:r>
      <w:r w:rsidRPr="009D0768">
        <w:rPr>
          <w:sz w:val="24"/>
          <w:szCs w:val="24"/>
        </w:rPr>
        <w:t>omplaint.  See</w:t>
      </w:r>
      <w:r w:rsidRPr="009D0768">
        <w:rPr>
          <w:i/>
          <w:sz w:val="24"/>
          <w:szCs w:val="24"/>
        </w:rPr>
        <w:t xml:space="preserve"> </w:t>
      </w:r>
      <w:r w:rsidRPr="009D0768">
        <w:rPr>
          <w:sz w:val="24"/>
          <w:szCs w:val="24"/>
        </w:rPr>
        <w:t xml:space="preserve">66 </w:t>
      </w:r>
      <w:smartTag w:uri="urn:schemas-microsoft-com:office:smarttags" w:element="State">
        <w:smartTag w:uri="urn:schemas-microsoft-com:office:smarttags" w:element="place">
          <w:r w:rsidRPr="009D0768">
            <w:rPr>
              <w:sz w:val="24"/>
              <w:szCs w:val="24"/>
            </w:rPr>
            <w:t>Pa.</w:t>
          </w:r>
        </w:smartTag>
      </w:smartTag>
      <w:r w:rsidRPr="009D0768">
        <w:rPr>
          <w:sz w:val="24"/>
          <w:szCs w:val="24"/>
        </w:rPr>
        <w:t xml:space="preserve"> C.S. §§</w:t>
      </w:r>
      <w:r>
        <w:rPr>
          <w:sz w:val="24"/>
          <w:szCs w:val="24"/>
        </w:rPr>
        <w:t xml:space="preserve"> </w:t>
      </w:r>
      <w:r w:rsidRPr="009D0768">
        <w:rPr>
          <w:sz w:val="24"/>
          <w:szCs w:val="24"/>
        </w:rPr>
        <w:t xml:space="preserve">701, 1501. </w:t>
      </w:r>
    </w:p>
    <w:p w14:paraId="1C29AB47" w14:textId="77777777" w:rsidR="00F46D15" w:rsidRPr="009E236F" w:rsidRDefault="00235B6C" w:rsidP="00B82336">
      <w:pPr>
        <w:pStyle w:val="FootnoteText"/>
        <w:spacing w:line="360" w:lineRule="auto"/>
        <w:ind w:firstLine="1440"/>
        <w:rPr>
          <w:sz w:val="24"/>
          <w:szCs w:val="24"/>
        </w:rPr>
      </w:pPr>
      <w:r w:rsidRPr="009E236F">
        <w:rPr>
          <w:sz w:val="24"/>
          <w:szCs w:val="24"/>
        </w:rPr>
        <w:tab/>
      </w:r>
    </w:p>
    <w:p w14:paraId="1C29AB48" w14:textId="77777777" w:rsidR="001C60DE" w:rsidRDefault="001C60DE" w:rsidP="00B82336">
      <w:pPr>
        <w:spacing w:line="360" w:lineRule="auto"/>
        <w:jc w:val="center"/>
        <w:rPr>
          <w:sz w:val="24"/>
          <w:szCs w:val="24"/>
          <w:u w:val="single"/>
        </w:rPr>
      </w:pPr>
      <w:r w:rsidRPr="009E236F">
        <w:rPr>
          <w:sz w:val="24"/>
          <w:szCs w:val="24"/>
          <w:u w:val="single"/>
        </w:rPr>
        <w:t>CONCLUSIONS OF LAW</w:t>
      </w:r>
    </w:p>
    <w:p w14:paraId="1C29AB49" w14:textId="77777777" w:rsidR="001C60DE" w:rsidRPr="009E236F" w:rsidRDefault="001C60DE" w:rsidP="00B82336">
      <w:pPr>
        <w:spacing w:line="360" w:lineRule="auto"/>
        <w:rPr>
          <w:sz w:val="24"/>
          <w:szCs w:val="24"/>
        </w:rPr>
      </w:pPr>
    </w:p>
    <w:p w14:paraId="4F361C5D" w14:textId="77777777" w:rsidR="00B82336" w:rsidRDefault="006775E3" w:rsidP="00B82336">
      <w:pPr>
        <w:pStyle w:val="FootnoteText"/>
        <w:spacing w:line="360" w:lineRule="auto"/>
        <w:ind w:firstLine="1440"/>
        <w:rPr>
          <w:sz w:val="24"/>
          <w:szCs w:val="24"/>
        </w:rPr>
      </w:pPr>
      <w:r w:rsidRPr="009E236F">
        <w:rPr>
          <w:sz w:val="24"/>
          <w:szCs w:val="24"/>
        </w:rPr>
        <w:t xml:space="preserve">1. 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Commission regulations permit the filing of preliminary objections. </w:t>
      </w:r>
      <w:r w:rsidR="00B835BC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52</w:t>
      </w:r>
      <w:r w:rsidR="00B835BC">
        <w:rPr>
          <w:sz w:val="24"/>
          <w:szCs w:val="24"/>
        </w:rPr>
        <w:t> </w:t>
      </w:r>
      <w:r w:rsidRPr="009E236F">
        <w:rPr>
          <w:sz w:val="24"/>
          <w:szCs w:val="24"/>
        </w:rPr>
        <w:t>Pa. Code §§ 5.101(a)(1)-(</w:t>
      </w:r>
      <w:r w:rsidR="002A3381">
        <w:rPr>
          <w:sz w:val="24"/>
          <w:szCs w:val="24"/>
        </w:rPr>
        <w:t>7</w:t>
      </w:r>
      <w:r w:rsidRPr="009E236F">
        <w:rPr>
          <w:sz w:val="24"/>
          <w:szCs w:val="24"/>
        </w:rPr>
        <w:t xml:space="preserve">). </w:t>
      </w:r>
      <w:r w:rsidR="00B52FEE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Preliminary objection practice before the Commission is similar to Pennsylvania civil practice respecting preliminary objections. </w:t>
      </w:r>
      <w:r w:rsidR="00307880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 xml:space="preserve">Equitable Small Transportation </w:t>
      </w:r>
      <w:r w:rsidRPr="009E236F">
        <w:rPr>
          <w:i/>
          <w:iCs/>
          <w:sz w:val="24"/>
          <w:szCs w:val="24"/>
        </w:rPr>
        <w:lastRenderedPageBreak/>
        <w:t>Intervenors v. Equitable Gas Company</w:t>
      </w:r>
      <w:r w:rsidRPr="009E236F">
        <w:rPr>
          <w:sz w:val="24"/>
          <w:szCs w:val="24"/>
        </w:rPr>
        <w:t>, 1994 Pa. PUC LEXIS 69,</w:t>
      </w:r>
      <w:r w:rsidR="00C45F08">
        <w:rPr>
          <w:sz w:val="24"/>
          <w:szCs w:val="24"/>
        </w:rPr>
        <w:t xml:space="preserve"> Docket No. C-00935435 (July </w:t>
      </w:r>
      <w:r w:rsidRPr="009E236F">
        <w:rPr>
          <w:sz w:val="24"/>
          <w:szCs w:val="24"/>
        </w:rPr>
        <w:t>18, 1994).</w:t>
      </w:r>
    </w:p>
    <w:p w14:paraId="22AA9B90" w14:textId="77777777" w:rsidR="00B82336" w:rsidRDefault="00B82336" w:rsidP="00B82336">
      <w:pPr>
        <w:pStyle w:val="FootnoteText"/>
        <w:spacing w:line="360" w:lineRule="auto"/>
        <w:ind w:firstLine="1440"/>
        <w:rPr>
          <w:sz w:val="24"/>
          <w:szCs w:val="24"/>
        </w:rPr>
      </w:pPr>
    </w:p>
    <w:p w14:paraId="1C29AB4A" w14:textId="615A34B9" w:rsidR="00B9623A" w:rsidRDefault="000C7898" w:rsidP="00B82336">
      <w:pPr>
        <w:pStyle w:val="Footnote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</w:t>
      </w:r>
      <w:r w:rsidR="006775E3" w:rsidRPr="009E236F">
        <w:rPr>
          <w:sz w:val="24"/>
          <w:szCs w:val="24"/>
        </w:rPr>
        <w:t>.</w:t>
      </w:r>
      <w:r w:rsidR="00B52FEE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In deciding </w:t>
      </w:r>
      <w:r w:rsidR="009A1840">
        <w:rPr>
          <w:sz w:val="24"/>
          <w:szCs w:val="24"/>
        </w:rPr>
        <w:t>p</w:t>
      </w:r>
      <w:r w:rsidR="006775E3" w:rsidRPr="009E236F">
        <w:rPr>
          <w:sz w:val="24"/>
          <w:szCs w:val="24"/>
        </w:rPr>
        <w:t>reliminary objection</w:t>
      </w:r>
      <w:r w:rsidR="009A1840">
        <w:rPr>
          <w:sz w:val="24"/>
          <w:szCs w:val="24"/>
        </w:rPr>
        <w:t>s</w:t>
      </w:r>
      <w:r w:rsidR="006775E3" w:rsidRPr="009E236F">
        <w:rPr>
          <w:sz w:val="24"/>
          <w:szCs w:val="24"/>
        </w:rPr>
        <w:t xml:space="preserve">, the Commission must determine whether, based on well-pleaded factual averments of the Petitioner, recovery or relief is possible. </w:t>
      </w:r>
      <w:r w:rsidR="006775E3" w:rsidRPr="009E236F">
        <w:rPr>
          <w:i/>
          <w:iCs/>
          <w:sz w:val="24"/>
          <w:szCs w:val="24"/>
        </w:rPr>
        <w:t>Dept. of Auditor General, et al v. SERS, et al</w:t>
      </w:r>
      <w:r w:rsidR="006775E3" w:rsidRPr="009E236F">
        <w:rPr>
          <w:sz w:val="24"/>
          <w:szCs w:val="24"/>
        </w:rPr>
        <w:t>., 836 A.2d 1053, 1064 (Pa. Cmwlth. 2003), 2003 Pa. Commw. LEXIS 849;</w:t>
      </w:r>
      <w:r w:rsidR="00B52FEE"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 xml:space="preserve"> </w:t>
      </w:r>
      <w:r w:rsidR="006775E3" w:rsidRPr="009E236F">
        <w:rPr>
          <w:i/>
          <w:iCs/>
          <w:sz w:val="24"/>
          <w:szCs w:val="24"/>
        </w:rPr>
        <w:t>P.J.S. v. Pa. State Ethics Comm</w:t>
      </w:r>
      <w:r w:rsidR="00307880">
        <w:rPr>
          <w:i/>
          <w:iCs/>
          <w:sz w:val="24"/>
          <w:szCs w:val="24"/>
        </w:rPr>
        <w:t>’</w:t>
      </w:r>
      <w:r w:rsidR="006775E3" w:rsidRPr="009E236F">
        <w:rPr>
          <w:i/>
          <w:iCs/>
          <w:sz w:val="24"/>
          <w:szCs w:val="24"/>
        </w:rPr>
        <w:t>n</w:t>
      </w:r>
      <w:r w:rsidR="006775E3" w:rsidRPr="009E236F">
        <w:rPr>
          <w:sz w:val="24"/>
          <w:szCs w:val="24"/>
        </w:rPr>
        <w:t>, 669 A.2d 1105 (Pa. Cmwlth. 1996) 1996 Pa. Commw. LEXIS 11.</w:t>
      </w:r>
      <w:r w:rsidR="006775E3" w:rsidRPr="009E236F">
        <w:rPr>
          <w:sz w:val="24"/>
          <w:szCs w:val="24"/>
        </w:rPr>
        <w:br/>
      </w:r>
      <w:r w:rsidR="006775E3"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6775E3"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>Any doubt must be resolved in favor of the non-moving party by refusing to sustain the preliminary objections.</w:t>
      </w:r>
      <w:r w:rsidR="00267A29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 xml:space="preserve"> </w:t>
      </w:r>
      <w:r w:rsidR="006775E3" w:rsidRPr="009E236F">
        <w:rPr>
          <w:i/>
          <w:iCs/>
          <w:sz w:val="24"/>
          <w:szCs w:val="24"/>
        </w:rPr>
        <w:t>Boyd v. Ward</w:t>
      </w:r>
      <w:r w:rsidR="006775E3" w:rsidRPr="009E236F">
        <w:rPr>
          <w:sz w:val="24"/>
          <w:szCs w:val="24"/>
        </w:rPr>
        <w:t>, 802 A.2d 705 (Pa.</w:t>
      </w:r>
      <w:r w:rsidR="00B0408E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>Cmwlth. 2002) 2002 Pa. Commw. LEXIS 580.</w:t>
      </w:r>
      <w:r w:rsidR="006775E3" w:rsidRPr="009E236F">
        <w:rPr>
          <w:sz w:val="24"/>
          <w:szCs w:val="24"/>
        </w:rPr>
        <w:br/>
      </w:r>
      <w:r w:rsidR="006775E3"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6775E3"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>All of the non-moving party</w:t>
      </w:r>
      <w:r w:rsidR="00995EE6">
        <w:rPr>
          <w:sz w:val="24"/>
          <w:szCs w:val="24"/>
        </w:rPr>
        <w:t>’</w:t>
      </w:r>
      <w:r w:rsidR="006775E3" w:rsidRPr="009E236F">
        <w:rPr>
          <w:sz w:val="24"/>
          <w:szCs w:val="24"/>
        </w:rPr>
        <w:t>s averments in the complaint must be viewed as true for purposes of deciding the preliminary objections, and only those facts specifically admitted may be considered against the non-moving party.</w:t>
      </w:r>
      <w:r w:rsidR="00603A26"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 xml:space="preserve"> </w:t>
      </w:r>
      <w:r w:rsidR="006775E3" w:rsidRPr="009E236F">
        <w:rPr>
          <w:i/>
          <w:iCs/>
          <w:sz w:val="24"/>
          <w:szCs w:val="24"/>
        </w:rPr>
        <w:t>Ridge v. State Employees</w:t>
      </w:r>
      <w:r w:rsidR="00995EE6">
        <w:rPr>
          <w:i/>
          <w:iCs/>
          <w:sz w:val="24"/>
          <w:szCs w:val="24"/>
        </w:rPr>
        <w:t>’</w:t>
      </w:r>
      <w:r w:rsidR="006775E3" w:rsidRPr="009E236F">
        <w:rPr>
          <w:i/>
          <w:iCs/>
          <w:sz w:val="24"/>
          <w:szCs w:val="24"/>
        </w:rPr>
        <w:t xml:space="preserve"> Retirement</w:t>
      </w:r>
      <w:r w:rsidR="006775E3" w:rsidRPr="009E236F">
        <w:rPr>
          <w:sz w:val="24"/>
          <w:szCs w:val="24"/>
        </w:rPr>
        <w:t xml:space="preserve"> </w:t>
      </w:r>
      <w:r w:rsidR="006775E3" w:rsidRPr="009411B1">
        <w:rPr>
          <w:i/>
          <w:sz w:val="24"/>
          <w:szCs w:val="24"/>
        </w:rPr>
        <w:t>Board</w:t>
      </w:r>
      <w:r w:rsidR="006775E3" w:rsidRPr="009E236F">
        <w:rPr>
          <w:sz w:val="24"/>
          <w:szCs w:val="24"/>
        </w:rPr>
        <w:t>, 690 A.2d 1312 (Pa. Cmwlth. 1997) 1997 Pa. Commw. LEXIS 148.</w:t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br/>
      </w:r>
      <w:r w:rsidR="006775E3" w:rsidRPr="009E236F">
        <w:rPr>
          <w:sz w:val="24"/>
          <w:szCs w:val="24"/>
        </w:rPr>
        <w:br/>
      </w:r>
      <w:r w:rsidR="002647AA" w:rsidRPr="009E236F">
        <w:rPr>
          <w:sz w:val="24"/>
          <w:szCs w:val="24"/>
        </w:rPr>
        <w:tab/>
      </w:r>
      <w:r w:rsidR="002647AA" w:rsidRPr="009E236F">
        <w:rPr>
          <w:sz w:val="24"/>
          <w:szCs w:val="24"/>
        </w:rPr>
        <w:tab/>
      </w:r>
      <w:r w:rsidR="00B6031B">
        <w:rPr>
          <w:sz w:val="24"/>
          <w:szCs w:val="24"/>
        </w:rPr>
        <w:t>5</w:t>
      </w:r>
      <w:r w:rsidR="006775E3" w:rsidRPr="009E236F">
        <w:rPr>
          <w:sz w:val="24"/>
          <w:szCs w:val="24"/>
        </w:rPr>
        <w:t>.</w:t>
      </w:r>
      <w:r w:rsidR="002647AA" w:rsidRPr="009E236F">
        <w:rPr>
          <w:sz w:val="24"/>
          <w:szCs w:val="24"/>
        </w:rPr>
        <w:tab/>
      </w:r>
      <w:r w:rsidR="00B6031B" w:rsidRPr="009D0768">
        <w:rPr>
          <w:sz w:val="24"/>
          <w:szCs w:val="24"/>
        </w:rPr>
        <w:t>Utility service is not limited to the provision of service and includes “any and all acts” related to that function</w:t>
      </w:r>
      <w:r w:rsidR="00760832">
        <w:rPr>
          <w:sz w:val="24"/>
          <w:szCs w:val="24"/>
        </w:rPr>
        <w:t>.</w:t>
      </w:r>
      <w:r w:rsidR="00B6031B" w:rsidRPr="009D0768">
        <w:rPr>
          <w:sz w:val="24"/>
          <w:szCs w:val="24"/>
        </w:rPr>
        <w:t xml:space="preserve">  </w:t>
      </w:r>
      <w:r w:rsidR="00B6031B" w:rsidRPr="00665AEC">
        <w:rPr>
          <w:i/>
          <w:sz w:val="24"/>
          <w:szCs w:val="24"/>
        </w:rPr>
        <w:t>West Penn Power Company v. P</w:t>
      </w:r>
      <w:r w:rsidR="00D81115">
        <w:rPr>
          <w:i/>
          <w:sz w:val="24"/>
          <w:szCs w:val="24"/>
        </w:rPr>
        <w:t>a.</w:t>
      </w:r>
      <w:r w:rsidR="00B6031B" w:rsidRPr="00665AEC">
        <w:rPr>
          <w:i/>
          <w:sz w:val="24"/>
          <w:szCs w:val="24"/>
        </w:rPr>
        <w:t xml:space="preserve"> P</w:t>
      </w:r>
      <w:r w:rsidR="00D81115">
        <w:rPr>
          <w:i/>
          <w:sz w:val="24"/>
          <w:szCs w:val="24"/>
        </w:rPr>
        <w:t>ub. Util. Comm’n</w:t>
      </w:r>
      <w:r w:rsidR="00B6031B" w:rsidRPr="00665AEC">
        <w:rPr>
          <w:sz w:val="24"/>
          <w:szCs w:val="24"/>
        </w:rPr>
        <w:t>,</w:t>
      </w:r>
      <w:r w:rsidR="00B6031B" w:rsidRPr="009D0768">
        <w:rPr>
          <w:sz w:val="24"/>
          <w:szCs w:val="24"/>
        </w:rPr>
        <w:t xml:space="preserve"> 578 A.2d 75, 76 (Pa. Commw. 1990); </w:t>
      </w:r>
      <w:r w:rsidR="00B6031B" w:rsidRPr="00665AEC">
        <w:rPr>
          <w:i/>
          <w:sz w:val="24"/>
          <w:szCs w:val="24"/>
        </w:rPr>
        <w:t>Prosser v. Columbia Gas of Pa., Inc.,</w:t>
      </w:r>
      <w:r w:rsidR="00B6031B" w:rsidRPr="009D0768">
        <w:rPr>
          <w:sz w:val="24"/>
          <w:szCs w:val="24"/>
        </w:rPr>
        <w:t xml:space="preserve"> Opinion and Order entered October 30, 2006 at Docket No. C-20066376</w:t>
      </w:r>
      <w:r w:rsidR="00B6031B">
        <w:rPr>
          <w:sz w:val="24"/>
          <w:szCs w:val="24"/>
        </w:rPr>
        <w:t xml:space="preserve">; </w:t>
      </w:r>
      <w:r w:rsidR="00B6031B" w:rsidRPr="009D0768">
        <w:rPr>
          <w:sz w:val="24"/>
          <w:szCs w:val="24"/>
        </w:rPr>
        <w:t>66 Pa. C.S. §§</w:t>
      </w:r>
      <w:r w:rsidR="00B6031B">
        <w:rPr>
          <w:sz w:val="24"/>
          <w:szCs w:val="24"/>
        </w:rPr>
        <w:t xml:space="preserve"> </w:t>
      </w:r>
      <w:r w:rsidR="00B6031B" w:rsidRPr="009D0768">
        <w:rPr>
          <w:sz w:val="24"/>
          <w:szCs w:val="24"/>
        </w:rPr>
        <w:t xml:space="preserve">701, 1501. </w:t>
      </w:r>
    </w:p>
    <w:p w14:paraId="1C29AB4E" w14:textId="77777777" w:rsidR="009A1D5A" w:rsidRDefault="009A1D5A" w:rsidP="00B82336">
      <w:pPr>
        <w:spacing w:line="360" w:lineRule="auto"/>
        <w:rPr>
          <w:sz w:val="24"/>
          <w:szCs w:val="24"/>
        </w:rPr>
      </w:pPr>
    </w:p>
    <w:p w14:paraId="5398503C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79933C9F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5749C0D3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53AFFE0D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491FBD3B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081185D1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04A4C9C1" w14:textId="77777777" w:rsidR="00B82336" w:rsidRDefault="00B82336" w:rsidP="00B82336">
      <w:pPr>
        <w:spacing w:line="360" w:lineRule="auto"/>
        <w:rPr>
          <w:sz w:val="24"/>
          <w:szCs w:val="24"/>
        </w:rPr>
      </w:pPr>
    </w:p>
    <w:p w14:paraId="6D271511" w14:textId="77777777" w:rsidR="00B82336" w:rsidRPr="009E236F" w:rsidRDefault="00B82336" w:rsidP="00B82336">
      <w:pPr>
        <w:spacing w:line="360" w:lineRule="auto"/>
        <w:rPr>
          <w:sz w:val="24"/>
          <w:szCs w:val="24"/>
        </w:rPr>
      </w:pPr>
    </w:p>
    <w:p w14:paraId="1C29AB4F" w14:textId="77777777" w:rsidR="002647AA" w:rsidRPr="009E236F" w:rsidRDefault="00493D39" w:rsidP="00B82336">
      <w:pPr>
        <w:spacing w:line="360" w:lineRule="auto"/>
        <w:jc w:val="center"/>
        <w:rPr>
          <w:sz w:val="24"/>
          <w:szCs w:val="24"/>
        </w:rPr>
      </w:pPr>
      <w:r w:rsidRPr="009E236F">
        <w:rPr>
          <w:sz w:val="24"/>
          <w:szCs w:val="24"/>
          <w:u w:val="single"/>
        </w:rPr>
        <w:lastRenderedPageBreak/>
        <w:t>ORDER</w:t>
      </w:r>
    </w:p>
    <w:p w14:paraId="1C29AB50" w14:textId="77777777" w:rsidR="00493D39" w:rsidRDefault="00493D39" w:rsidP="00B82336">
      <w:pPr>
        <w:spacing w:line="360" w:lineRule="auto"/>
        <w:jc w:val="center"/>
        <w:rPr>
          <w:sz w:val="24"/>
          <w:szCs w:val="24"/>
        </w:rPr>
      </w:pPr>
    </w:p>
    <w:p w14:paraId="1C29AB51" w14:textId="77777777" w:rsidR="00C45F08" w:rsidRPr="009E236F" w:rsidRDefault="00C45F08" w:rsidP="00B82336">
      <w:pPr>
        <w:spacing w:line="360" w:lineRule="auto"/>
        <w:jc w:val="center"/>
        <w:rPr>
          <w:sz w:val="24"/>
          <w:szCs w:val="24"/>
        </w:rPr>
      </w:pPr>
    </w:p>
    <w:p w14:paraId="1C29AB52" w14:textId="77777777" w:rsidR="00493D39" w:rsidRPr="009E236F" w:rsidRDefault="00493D39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THEREFORE</w:t>
      </w:r>
      <w:r w:rsidR="00D966DC">
        <w:rPr>
          <w:sz w:val="24"/>
          <w:szCs w:val="24"/>
        </w:rPr>
        <w:t>,</w:t>
      </w:r>
    </w:p>
    <w:p w14:paraId="1C29AB53" w14:textId="77777777" w:rsidR="00493D39" w:rsidRPr="009E236F" w:rsidRDefault="00493D39" w:rsidP="00B82336">
      <w:pPr>
        <w:spacing w:line="360" w:lineRule="auto"/>
        <w:rPr>
          <w:sz w:val="24"/>
          <w:szCs w:val="24"/>
        </w:rPr>
      </w:pPr>
    </w:p>
    <w:p w14:paraId="1C29AB54" w14:textId="77777777" w:rsidR="00493D39" w:rsidRPr="009E236F" w:rsidRDefault="00493D39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IT IS ORDERED:</w:t>
      </w:r>
    </w:p>
    <w:p w14:paraId="1C29AB55" w14:textId="60B1F896" w:rsidR="006775E3" w:rsidRDefault="006775E3" w:rsidP="00B82336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1. </w:t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>That the Pr</w:t>
      </w:r>
      <w:r w:rsidR="005232FB">
        <w:rPr>
          <w:sz w:val="24"/>
          <w:szCs w:val="24"/>
        </w:rPr>
        <w:t>eliminary Objection</w:t>
      </w:r>
      <w:r w:rsidR="009A1840">
        <w:rPr>
          <w:sz w:val="24"/>
          <w:szCs w:val="24"/>
        </w:rPr>
        <w:t>s</w:t>
      </w:r>
      <w:r w:rsidRPr="009E236F">
        <w:rPr>
          <w:sz w:val="24"/>
          <w:szCs w:val="24"/>
        </w:rPr>
        <w:t xml:space="preserve"> filed by </w:t>
      </w:r>
      <w:r w:rsidR="000C7898">
        <w:rPr>
          <w:sz w:val="24"/>
          <w:szCs w:val="24"/>
        </w:rPr>
        <w:t>Responden</w:t>
      </w:r>
      <w:r w:rsidR="00E26343">
        <w:rPr>
          <w:sz w:val="24"/>
          <w:szCs w:val="24"/>
        </w:rPr>
        <w:t>t</w:t>
      </w:r>
      <w:r w:rsidR="000C7898">
        <w:rPr>
          <w:sz w:val="24"/>
          <w:szCs w:val="24"/>
        </w:rPr>
        <w:t xml:space="preserve"> </w:t>
      </w:r>
      <w:r w:rsidR="00F15B6E">
        <w:rPr>
          <w:sz w:val="24"/>
          <w:szCs w:val="24"/>
        </w:rPr>
        <w:t xml:space="preserve">Duquesne Light </w:t>
      </w:r>
      <w:r w:rsidR="00723F2D">
        <w:rPr>
          <w:sz w:val="24"/>
          <w:szCs w:val="24"/>
        </w:rPr>
        <w:t xml:space="preserve">Company </w:t>
      </w:r>
      <w:r w:rsidR="000C7898">
        <w:rPr>
          <w:sz w:val="24"/>
          <w:szCs w:val="24"/>
        </w:rPr>
        <w:t>at Docket No. C-20</w:t>
      </w:r>
      <w:r w:rsidR="00F15B6E">
        <w:rPr>
          <w:sz w:val="24"/>
          <w:szCs w:val="24"/>
        </w:rPr>
        <w:t>23-</w:t>
      </w:r>
      <w:r w:rsidR="001B7D98">
        <w:rPr>
          <w:sz w:val="24"/>
          <w:szCs w:val="24"/>
        </w:rPr>
        <w:t>3038</w:t>
      </w:r>
      <w:r w:rsidR="00612893">
        <w:rPr>
          <w:sz w:val="24"/>
          <w:szCs w:val="24"/>
        </w:rPr>
        <w:t>940</w:t>
      </w:r>
      <w:r w:rsidRPr="009E236F">
        <w:rPr>
          <w:sz w:val="24"/>
          <w:szCs w:val="24"/>
        </w:rPr>
        <w:t xml:space="preserve"> </w:t>
      </w:r>
      <w:r w:rsidR="009A1840">
        <w:rPr>
          <w:sz w:val="24"/>
          <w:szCs w:val="24"/>
        </w:rPr>
        <w:t>are</w:t>
      </w:r>
      <w:r w:rsidRPr="009E236F">
        <w:rPr>
          <w:sz w:val="24"/>
          <w:szCs w:val="24"/>
        </w:rPr>
        <w:t xml:space="preserve"> </w:t>
      </w:r>
      <w:r w:rsidR="000C7898">
        <w:rPr>
          <w:sz w:val="24"/>
          <w:szCs w:val="24"/>
        </w:rPr>
        <w:t>granted an</w:t>
      </w:r>
      <w:r w:rsidR="009A1840">
        <w:rPr>
          <w:sz w:val="24"/>
          <w:szCs w:val="24"/>
        </w:rPr>
        <w:t>d the claim</w:t>
      </w:r>
      <w:r w:rsidR="001B7D98">
        <w:rPr>
          <w:sz w:val="24"/>
          <w:szCs w:val="24"/>
        </w:rPr>
        <w:t>s for alleged violations of the Fo</w:t>
      </w:r>
      <w:r w:rsidR="006824D7">
        <w:rPr>
          <w:sz w:val="24"/>
          <w:szCs w:val="24"/>
        </w:rPr>
        <w:t>urteenth Amendment of the United States Constitution</w:t>
      </w:r>
      <w:r w:rsidR="009A1840">
        <w:rPr>
          <w:sz w:val="24"/>
          <w:szCs w:val="24"/>
        </w:rPr>
        <w:t xml:space="preserve"> </w:t>
      </w:r>
      <w:r w:rsidR="00D50207">
        <w:rPr>
          <w:sz w:val="24"/>
          <w:szCs w:val="24"/>
        </w:rPr>
        <w:t xml:space="preserve">are stricken.  </w:t>
      </w:r>
      <w:r w:rsidR="000C7898">
        <w:rPr>
          <w:sz w:val="24"/>
          <w:szCs w:val="24"/>
        </w:rPr>
        <w:t xml:space="preserve">  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2. </w:t>
      </w:r>
      <w:r w:rsidR="00493D39" w:rsidRPr="009E236F">
        <w:rPr>
          <w:sz w:val="24"/>
          <w:szCs w:val="24"/>
        </w:rPr>
        <w:tab/>
      </w:r>
      <w:r w:rsidR="000C7898">
        <w:rPr>
          <w:sz w:val="24"/>
          <w:szCs w:val="24"/>
        </w:rPr>
        <w:t xml:space="preserve">That </w:t>
      </w:r>
      <w:r w:rsidR="009A1840">
        <w:rPr>
          <w:sz w:val="24"/>
          <w:szCs w:val="24"/>
        </w:rPr>
        <w:t>this matter be scheduled for an initial telephon</w:t>
      </w:r>
      <w:r w:rsidR="00A611AF">
        <w:rPr>
          <w:sz w:val="24"/>
          <w:szCs w:val="24"/>
        </w:rPr>
        <w:t>e</w:t>
      </w:r>
      <w:r w:rsidR="009A1840">
        <w:rPr>
          <w:sz w:val="24"/>
          <w:szCs w:val="24"/>
        </w:rPr>
        <w:t xml:space="preserve"> hearing on the remaining claims contained in the Formal Complaint</w:t>
      </w:r>
      <w:r w:rsidR="00D50207">
        <w:rPr>
          <w:sz w:val="24"/>
          <w:szCs w:val="24"/>
        </w:rPr>
        <w:t xml:space="preserve"> regarding </w:t>
      </w:r>
      <w:r w:rsidR="00BE461F">
        <w:rPr>
          <w:sz w:val="24"/>
          <w:szCs w:val="24"/>
        </w:rPr>
        <w:t>service provided by Duquesne Light Company</w:t>
      </w:r>
      <w:r w:rsidR="009A1840">
        <w:rPr>
          <w:sz w:val="24"/>
          <w:szCs w:val="24"/>
        </w:rPr>
        <w:t>.</w:t>
      </w:r>
      <w:r w:rsidR="000C7898">
        <w:rPr>
          <w:sz w:val="24"/>
          <w:szCs w:val="24"/>
        </w:rPr>
        <w:t xml:space="preserve">   </w:t>
      </w:r>
    </w:p>
    <w:p w14:paraId="1C29AB57" w14:textId="77777777" w:rsidR="00DD3605" w:rsidRDefault="00DD3605" w:rsidP="00B82336">
      <w:pPr>
        <w:spacing w:line="360" w:lineRule="auto"/>
        <w:rPr>
          <w:sz w:val="24"/>
          <w:szCs w:val="24"/>
        </w:rPr>
      </w:pPr>
    </w:p>
    <w:p w14:paraId="1C29AB58" w14:textId="77777777" w:rsidR="009A1D5A" w:rsidRPr="009E236F" w:rsidRDefault="009A1D5A" w:rsidP="00B82336">
      <w:pPr>
        <w:spacing w:line="360" w:lineRule="auto"/>
        <w:rPr>
          <w:sz w:val="24"/>
          <w:szCs w:val="24"/>
        </w:rPr>
      </w:pPr>
    </w:p>
    <w:p w14:paraId="1C29AB59" w14:textId="2B14ECDF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>Date:</w:t>
      </w:r>
      <w:r w:rsidR="000806C0">
        <w:rPr>
          <w:sz w:val="24"/>
          <w:szCs w:val="24"/>
        </w:rPr>
        <w:t xml:space="preserve">  </w:t>
      </w:r>
      <w:r w:rsidR="00A611AF">
        <w:rPr>
          <w:sz w:val="24"/>
          <w:szCs w:val="24"/>
          <w:u w:val="single"/>
        </w:rPr>
        <w:t>May 18, 2023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0C7898">
        <w:rPr>
          <w:sz w:val="24"/>
          <w:szCs w:val="24"/>
        </w:rPr>
        <w:tab/>
      </w:r>
      <w:r w:rsidR="009A1D5A">
        <w:rPr>
          <w:sz w:val="24"/>
          <w:szCs w:val="24"/>
        </w:rPr>
        <w:tab/>
      </w:r>
      <w:r w:rsidRPr="00B82336">
        <w:rPr>
          <w:sz w:val="24"/>
          <w:szCs w:val="24"/>
          <w:u w:val="single"/>
        </w:rPr>
        <w:t>____________</w:t>
      </w:r>
      <w:r w:rsidR="00612893" w:rsidRPr="00B82336">
        <w:rPr>
          <w:sz w:val="24"/>
          <w:szCs w:val="24"/>
          <w:u w:val="single"/>
        </w:rPr>
        <w:t>/s/</w:t>
      </w:r>
      <w:r w:rsidRPr="00B82336">
        <w:rPr>
          <w:sz w:val="24"/>
          <w:szCs w:val="24"/>
          <w:u w:val="single"/>
        </w:rPr>
        <w:t>__________________</w:t>
      </w:r>
    </w:p>
    <w:p w14:paraId="1C29AB5A" w14:textId="4B26BB39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0C7898">
        <w:rPr>
          <w:sz w:val="24"/>
          <w:szCs w:val="24"/>
        </w:rPr>
        <w:t>Mark A. Hoyer</w:t>
      </w:r>
    </w:p>
    <w:p w14:paraId="41DC1CDF" w14:textId="77777777" w:rsidR="00B82336" w:rsidRDefault="00DD3605" w:rsidP="00B6031B">
      <w:pPr>
        <w:ind w:hanging="720"/>
        <w:rPr>
          <w:sz w:val="24"/>
          <w:szCs w:val="24"/>
        </w:rPr>
        <w:sectPr w:rsidR="00B82336" w:rsidSect="0014638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E45B3C" w:rsidRPr="009E236F">
        <w:rPr>
          <w:sz w:val="24"/>
          <w:szCs w:val="24"/>
        </w:rPr>
        <w:tab/>
      </w:r>
      <w:r w:rsidR="00A611AF">
        <w:rPr>
          <w:sz w:val="24"/>
          <w:szCs w:val="24"/>
        </w:rPr>
        <w:t xml:space="preserve">Deputy Chief </w:t>
      </w:r>
      <w:r w:rsidRPr="009E236F">
        <w:rPr>
          <w:sz w:val="24"/>
          <w:szCs w:val="24"/>
        </w:rPr>
        <w:t>Administrative Law Judge</w:t>
      </w:r>
    </w:p>
    <w:p w14:paraId="76F81B1E" w14:textId="77777777" w:rsidR="00B82336" w:rsidRPr="00B82336" w:rsidRDefault="00B82336" w:rsidP="00B82336">
      <w:pPr>
        <w:spacing w:after="160" w:line="259" w:lineRule="auto"/>
        <w:rPr>
          <w:rFonts w:ascii="Calibri" w:hAnsi="Calibri"/>
          <w:sz w:val="22"/>
          <w:szCs w:val="22"/>
        </w:rPr>
      </w:pPr>
      <w:r w:rsidRPr="00B8233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C-2023-3038940 - CRAIG MURPHY v. DUQUESNE LIGHT COMPANY</w:t>
      </w:r>
      <w:r w:rsidRPr="00B8233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8233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t>CRAIG MURPHY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117 FRIENDSHIP STREET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PA  15110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8233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412.588.4472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murphy.craig.pro@gmail.com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EMILY M FARAH ESQUIRE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8233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412.393.6431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efarah@duqlight.com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  <w:r w:rsidRPr="00B8233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1C29AB5B" w14:textId="752E8F8A" w:rsidR="00DC7E1B" w:rsidRPr="009E236F" w:rsidRDefault="00DC7E1B" w:rsidP="00B82336">
      <w:pPr>
        <w:rPr>
          <w:sz w:val="24"/>
          <w:szCs w:val="24"/>
        </w:rPr>
      </w:pPr>
    </w:p>
    <w:sectPr w:rsidR="00DC7E1B" w:rsidRPr="009E236F" w:rsidSect="00B8233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98A5" w14:textId="77777777" w:rsidR="00FD4903" w:rsidRDefault="00FD4903" w:rsidP="007237C5">
      <w:r>
        <w:separator/>
      </w:r>
    </w:p>
  </w:endnote>
  <w:endnote w:type="continuationSeparator" w:id="0">
    <w:p w14:paraId="55356F89" w14:textId="77777777" w:rsidR="00FD4903" w:rsidRDefault="00FD4903" w:rsidP="007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628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C29AB60" w14:textId="77777777" w:rsidR="00CE053C" w:rsidRDefault="00720ACD">
        <w:pPr>
          <w:pStyle w:val="Footer"/>
          <w:jc w:val="center"/>
        </w:pPr>
        <w:r w:rsidRPr="00C72CBB">
          <w:rPr>
            <w:sz w:val="20"/>
            <w:szCs w:val="20"/>
          </w:rPr>
          <w:fldChar w:fldCharType="begin"/>
        </w:r>
        <w:r w:rsidR="00CE053C" w:rsidRPr="00C72CBB">
          <w:rPr>
            <w:sz w:val="20"/>
            <w:szCs w:val="20"/>
          </w:rPr>
          <w:instrText xml:space="preserve"> PAGE   \* MERGEFORMAT </w:instrText>
        </w:r>
        <w:r w:rsidRPr="00C72CBB">
          <w:rPr>
            <w:sz w:val="20"/>
            <w:szCs w:val="20"/>
          </w:rPr>
          <w:fldChar w:fldCharType="separate"/>
        </w:r>
        <w:r w:rsidR="004458C2">
          <w:rPr>
            <w:noProof/>
            <w:sz w:val="20"/>
            <w:szCs w:val="20"/>
          </w:rPr>
          <w:t>2</w:t>
        </w:r>
        <w:r w:rsidRPr="00C72CB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B7DF" w14:textId="77777777" w:rsidR="00FD4903" w:rsidRDefault="00FD4903" w:rsidP="007237C5">
      <w:r>
        <w:separator/>
      </w:r>
    </w:p>
  </w:footnote>
  <w:footnote w:type="continuationSeparator" w:id="0">
    <w:p w14:paraId="421E5713" w14:textId="77777777" w:rsidR="00FD4903" w:rsidRDefault="00FD4903" w:rsidP="0072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D0B"/>
    <w:multiLevelType w:val="multilevel"/>
    <w:tmpl w:val="AEDA88DE"/>
    <w:lvl w:ilvl="0">
      <w:start w:val="9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8519F7"/>
    <w:multiLevelType w:val="multilevel"/>
    <w:tmpl w:val="86A84B40"/>
    <w:lvl w:ilvl="0">
      <w:start w:val="3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410345">
    <w:abstractNumId w:val="1"/>
  </w:num>
  <w:num w:numId="2" w16cid:durableId="184936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5"/>
    <w:rsid w:val="00000B68"/>
    <w:rsid w:val="0000764F"/>
    <w:rsid w:val="00014095"/>
    <w:rsid w:val="000172AC"/>
    <w:rsid w:val="00017703"/>
    <w:rsid w:val="00020616"/>
    <w:rsid w:val="00020ACF"/>
    <w:rsid w:val="00031580"/>
    <w:rsid w:val="00031CDC"/>
    <w:rsid w:val="000361C6"/>
    <w:rsid w:val="00040DBB"/>
    <w:rsid w:val="000453F0"/>
    <w:rsid w:val="00051531"/>
    <w:rsid w:val="00051A42"/>
    <w:rsid w:val="000521CC"/>
    <w:rsid w:val="00065E2A"/>
    <w:rsid w:val="00065E73"/>
    <w:rsid w:val="0006671F"/>
    <w:rsid w:val="00071466"/>
    <w:rsid w:val="000806C0"/>
    <w:rsid w:val="0008097E"/>
    <w:rsid w:val="00081C45"/>
    <w:rsid w:val="00086142"/>
    <w:rsid w:val="000875CF"/>
    <w:rsid w:val="0009315C"/>
    <w:rsid w:val="00093946"/>
    <w:rsid w:val="00097681"/>
    <w:rsid w:val="000A0A31"/>
    <w:rsid w:val="000B28AF"/>
    <w:rsid w:val="000B615A"/>
    <w:rsid w:val="000B7C4C"/>
    <w:rsid w:val="000C7898"/>
    <w:rsid w:val="000D5838"/>
    <w:rsid w:val="000E3437"/>
    <w:rsid w:val="000E3C33"/>
    <w:rsid w:val="000E4B75"/>
    <w:rsid w:val="000E7CFC"/>
    <w:rsid w:val="000F78B9"/>
    <w:rsid w:val="00100967"/>
    <w:rsid w:val="00100FAE"/>
    <w:rsid w:val="0010122E"/>
    <w:rsid w:val="0010462E"/>
    <w:rsid w:val="00104E2F"/>
    <w:rsid w:val="001059C3"/>
    <w:rsid w:val="00110162"/>
    <w:rsid w:val="0011388A"/>
    <w:rsid w:val="00113C3C"/>
    <w:rsid w:val="0012103D"/>
    <w:rsid w:val="00123515"/>
    <w:rsid w:val="00124306"/>
    <w:rsid w:val="00127AFC"/>
    <w:rsid w:val="00131408"/>
    <w:rsid w:val="0013260C"/>
    <w:rsid w:val="00132676"/>
    <w:rsid w:val="001362F6"/>
    <w:rsid w:val="001375ED"/>
    <w:rsid w:val="00140A0E"/>
    <w:rsid w:val="0014638F"/>
    <w:rsid w:val="00146666"/>
    <w:rsid w:val="00155545"/>
    <w:rsid w:val="00156549"/>
    <w:rsid w:val="00156BD3"/>
    <w:rsid w:val="00157A98"/>
    <w:rsid w:val="001655A5"/>
    <w:rsid w:val="00166EF7"/>
    <w:rsid w:val="00170D92"/>
    <w:rsid w:val="00172CCF"/>
    <w:rsid w:val="00172EB1"/>
    <w:rsid w:val="00175A9B"/>
    <w:rsid w:val="00176DFF"/>
    <w:rsid w:val="00176F82"/>
    <w:rsid w:val="0017718A"/>
    <w:rsid w:val="00177DEA"/>
    <w:rsid w:val="00182084"/>
    <w:rsid w:val="0018450B"/>
    <w:rsid w:val="0018501E"/>
    <w:rsid w:val="0018624F"/>
    <w:rsid w:val="001A2FF6"/>
    <w:rsid w:val="001A3B11"/>
    <w:rsid w:val="001A4593"/>
    <w:rsid w:val="001A731D"/>
    <w:rsid w:val="001A7AE4"/>
    <w:rsid w:val="001B13A4"/>
    <w:rsid w:val="001B327A"/>
    <w:rsid w:val="001B4BA2"/>
    <w:rsid w:val="001B6CBA"/>
    <w:rsid w:val="001B7D98"/>
    <w:rsid w:val="001C60DE"/>
    <w:rsid w:val="001C7B8E"/>
    <w:rsid w:val="001D355B"/>
    <w:rsid w:val="001E0DF2"/>
    <w:rsid w:val="001E3C26"/>
    <w:rsid w:val="001E4F6B"/>
    <w:rsid w:val="001E5A9E"/>
    <w:rsid w:val="001F2BB6"/>
    <w:rsid w:val="001F3FEC"/>
    <w:rsid w:val="001F5FE0"/>
    <w:rsid w:val="001F6260"/>
    <w:rsid w:val="001F7687"/>
    <w:rsid w:val="00203174"/>
    <w:rsid w:val="002036DB"/>
    <w:rsid w:val="0021560B"/>
    <w:rsid w:val="002226E1"/>
    <w:rsid w:val="00222CDF"/>
    <w:rsid w:val="00230D85"/>
    <w:rsid w:val="002325DF"/>
    <w:rsid w:val="002357D9"/>
    <w:rsid w:val="00235B6C"/>
    <w:rsid w:val="00235F06"/>
    <w:rsid w:val="00243B5A"/>
    <w:rsid w:val="00251461"/>
    <w:rsid w:val="00251D51"/>
    <w:rsid w:val="002531EB"/>
    <w:rsid w:val="00253546"/>
    <w:rsid w:val="00257EEB"/>
    <w:rsid w:val="00262889"/>
    <w:rsid w:val="002647AA"/>
    <w:rsid w:val="00264F64"/>
    <w:rsid w:val="00267A29"/>
    <w:rsid w:val="00267C75"/>
    <w:rsid w:val="00270362"/>
    <w:rsid w:val="002870A9"/>
    <w:rsid w:val="00287328"/>
    <w:rsid w:val="00297A4A"/>
    <w:rsid w:val="002A3381"/>
    <w:rsid w:val="002A3CF4"/>
    <w:rsid w:val="002A7FA1"/>
    <w:rsid w:val="002B1C21"/>
    <w:rsid w:val="002B2079"/>
    <w:rsid w:val="002B2EE6"/>
    <w:rsid w:val="002B42FA"/>
    <w:rsid w:val="002B53C8"/>
    <w:rsid w:val="002C492E"/>
    <w:rsid w:val="002C539B"/>
    <w:rsid w:val="002C609A"/>
    <w:rsid w:val="002C70C0"/>
    <w:rsid w:val="002D12EC"/>
    <w:rsid w:val="002D6A4C"/>
    <w:rsid w:val="002D75C6"/>
    <w:rsid w:val="002E32B5"/>
    <w:rsid w:val="002E4F07"/>
    <w:rsid w:val="002E6958"/>
    <w:rsid w:val="002F019F"/>
    <w:rsid w:val="002F52AF"/>
    <w:rsid w:val="003009DE"/>
    <w:rsid w:val="00304C14"/>
    <w:rsid w:val="00304EC6"/>
    <w:rsid w:val="003073EE"/>
    <w:rsid w:val="00307880"/>
    <w:rsid w:val="00311384"/>
    <w:rsid w:val="00311460"/>
    <w:rsid w:val="00312033"/>
    <w:rsid w:val="0031226D"/>
    <w:rsid w:val="00313F43"/>
    <w:rsid w:val="00316202"/>
    <w:rsid w:val="00317B1C"/>
    <w:rsid w:val="00323C28"/>
    <w:rsid w:val="00323E8F"/>
    <w:rsid w:val="003277DB"/>
    <w:rsid w:val="00331361"/>
    <w:rsid w:val="003413DF"/>
    <w:rsid w:val="00341F77"/>
    <w:rsid w:val="00343410"/>
    <w:rsid w:val="0034382B"/>
    <w:rsid w:val="003449DD"/>
    <w:rsid w:val="00346802"/>
    <w:rsid w:val="00351AD2"/>
    <w:rsid w:val="00352155"/>
    <w:rsid w:val="003568DB"/>
    <w:rsid w:val="00360427"/>
    <w:rsid w:val="003618CD"/>
    <w:rsid w:val="0036195B"/>
    <w:rsid w:val="00361A9B"/>
    <w:rsid w:val="00361D50"/>
    <w:rsid w:val="003627CB"/>
    <w:rsid w:val="0036596E"/>
    <w:rsid w:val="00366A60"/>
    <w:rsid w:val="00367C94"/>
    <w:rsid w:val="00375267"/>
    <w:rsid w:val="00376BAB"/>
    <w:rsid w:val="00382291"/>
    <w:rsid w:val="0038241E"/>
    <w:rsid w:val="00384FE3"/>
    <w:rsid w:val="00390836"/>
    <w:rsid w:val="003A024E"/>
    <w:rsid w:val="003A15DB"/>
    <w:rsid w:val="003A251A"/>
    <w:rsid w:val="003A3EEB"/>
    <w:rsid w:val="003B0425"/>
    <w:rsid w:val="003B28F4"/>
    <w:rsid w:val="003B363D"/>
    <w:rsid w:val="003B48F6"/>
    <w:rsid w:val="003B5DC2"/>
    <w:rsid w:val="003B5F87"/>
    <w:rsid w:val="003B67C1"/>
    <w:rsid w:val="003D6748"/>
    <w:rsid w:val="003E12A9"/>
    <w:rsid w:val="003E60C1"/>
    <w:rsid w:val="003E7B2E"/>
    <w:rsid w:val="003F0D0A"/>
    <w:rsid w:val="003F17AC"/>
    <w:rsid w:val="003F480E"/>
    <w:rsid w:val="00400003"/>
    <w:rsid w:val="00402FD8"/>
    <w:rsid w:val="004116D3"/>
    <w:rsid w:val="00412D44"/>
    <w:rsid w:val="004132CF"/>
    <w:rsid w:val="00413DFB"/>
    <w:rsid w:val="004161DA"/>
    <w:rsid w:val="004164FE"/>
    <w:rsid w:val="00420676"/>
    <w:rsid w:val="00421719"/>
    <w:rsid w:val="0042367A"/>
    <w:rsid w:val="004337A3"/>
    <w:rsid w:val="004458C2"/>
    <w:rsid w:val="004461BA"/>
    <w:rsid w:val="00447265"/>
    <w:rsid w:val="00452DC3"/>
    <w:rsid w:val="00461BE2"/>
    <w:rsid w:val="00462742"/>
    <w:rsid w:val="004629D8"/>
    <w:rsid w:val="0046613C"/>
    <w:rsid w:val="00466412"/>
    <w:rsid w:val="00472390"/>
    <w:rsid w:val="00476645"/>
    <w:rsid w:val="00476AA5"/>
    <w:rsid w:val="00477308"/>
    <w:rsid w:val="0048180E"/>
    <w:rsid w:val="00485D20"/>
    <w:rsid w:val="00491969"/>
    <w:rsid w:val="00493D39"/>
    <w:rsid w:val="00494177"/>
    <w:rsid w:val="00495A17"/>
    <w:rsid w:val="004A4630"/>
    <w:rsid w:val="004A4A83"/>
    <w:rsid w:val="004A4A92"/>
    <w:rsid w:val="004A55D1"/>
    <w:rsid w:val="004A5D58"/>
    <w:rsid w:val="004A7F02"/>
    <w:rsid w:val="004B3536"/>
    <w:rsid w:val="004B3B38"/>
    <w:rsid w:val="004C07D2"/>
    <w:rsid w:val="004C2794"/>
    <w:rsid w:val="004D022E"/>
    <w:rsid w:val="004D4447"/>
    <w:rsid w:val="004E133C"/>
    <w:rsid w:val="004E1A8C"/>
    <w:rsid w:val="004E2D63"/>
    <w:rsid w:val="004E4202"/>
    <w:rsid w:val="004F51B0"/>
    <w:rsid w:val="004F6C8E"/>
    <w:rsid w:val="00502689"/>
    <w:rsid w:val="005028FF"/>
    <w:rsid w:val="00504287"/>
    <w:rsid w:val="00506301"/>
    <w:rsid w:val="005074C3"/>
    <w:rsid w:val="005230F1"/>
    <w:rsid w:val="005232FB"/>
    <w:rsid w:val="00523C09"/>
    <w:rsid w:val="00532616"/>
    <w:rsid w:val="005352D3"/>
    <w:rsid w:val="00540ACE"/>
    <w:rsid w:val="0054532C"/>
    <w:rsid w:val="005475EC"/>
    <w:rsid w:val="0055134B"/>
    <w:rsid w:val="00552D9B"/>
    <w:rsid w:val="0055746B"/>
    <w:rsid w:val="00564484"/>
    <w:rsid w:val="00567509"/>
    <w:rsid w:val="005726A6"/>
    <w:rsid w:val="00582365"/>
    <w:rsid w:val="00582CD8"/>
    <w:rsid w:val="0058784C"/>
    <w:rsid w:val="00590965"/>
    <w:rsid w:val="0059506A"/>
    <w:rsid w:val="005A0C0F"/>
    <w:rsid w:val="005A49A2"/>
    <w:rsid w:val="005B2D8D"/>
    <w:rsid w:val="005B34B9"/>
    <w:rsid w:val="005B4379"/>
    <w:rsid w:val="005B6B5D"/>
    <w:rsid w:val="005B6C2B"/>
    <w:rsid w:val="005C2E38"/>
    <w:rsid w:val="005C319B"/>
    <w:rsid w:val="005D1CEB"/>
    <w:rsid w:val="005D2D39"/>
    <w:rsid w:val="005E2080"/>
    <w:rsid w:val="005E4EC8"/>
    <w:rsid w:val="005E6784"/>
    <w:rsid w:val="005F0C32"/>
    <w:rsid w:val="005F659B"/>
    <w:rsid w:val="005F6D34"/>
    <w:rsid w:val="005F6F2D"/>
    <w:rsid w:val="00603A26"/>
    <w:rsid w:val="00610B4E"/>
    <w:rsid w:val="00612893"/>
    <w:rsid w:val="00615697"/>
    <w:rsid w:val="00617E46"/>
    <w:rsid w:val="00626705"/>
    <w:rsid w:val="00630B12"/>
    <w:rsid w:val="00632286"/>
    <w:rsid w:val="006339E4"/>
    <w:rsid w:val="006346FB"/>
    <w:rsid w:val="00636C19"/>
    <w:rsid w:val="00641F63"/>
    <w:rsid w:val="00642625"/>
    <w:rsid w:val="00643262"/>
    <w:rsid w:val="00647443"/>
    <w:rsid w:val="006533A4"/>
    <w:rsid w:val="00655B19"/>
    <w:rsid w:val="0066186C"/>
    <w:rsid w:val="00665AEC"/>
    <w:rsid w:val="00667FCA"/>
    <w:rsid w:val="00672BA8"/>
    <w:rsid w:val="00672D17"/>
    <w:rsid w:val="0067453B"/>
    <w:rsid w:val="00676751"/>
    <w:rsid w:val="00676817"/>
    <w:rsid w:val="00676D90"/>
    <w:rsid w:val="006775E3"/>
    <w:rsid w:val="006813B4"/>
    <w:rsid w:val="006824D7"/>
    <w:rsid w:val="006826C5"/>
    <w:rsid w:val="00682A5B"/>
    <w:rsid w:val="006843A8"/>
    <w:rsid w:val="006855DA"/>
    <w:rsid w:val="00686E2D"/>
    <w:rsid w:val="006900D5"/>
    <w:rsid w:val="0069027E"/>
    <w:rsid w:val="00690843"/>
    <w:rsid w:val="00692368"/>
    <w:rsid w:val="00692CE6"/>
    <w:rsid w:val="006933E4"/>
    <w:rsid w:val="006A41E4"/>
    <w:rsid w:val="006A4608"/>
    <w:rsid w:val="006A7438"/>
    <w:rsid w:val="006B1A38"/>
    <w:rsid w:val="006B4F76"/>
    <w:rsid w:val="006B53DE"/>
    <w:rsid w:val="006B5A69"/>
    <w:rsid w:val="006C11E9"/>
    <w:rsid w:val="006C24A2"/>
    <w:rsid w:val="006C3594"/>
    <w:rsid w:val="006C73CF"/>
    <w:rsid w:val="006D05F2"/>
    <w:rsid w:val="006D3591"/>
    <w:rsid w:val="006D36AC"/>
    <w:rsid w:val="006D4B2A"/>
    <w:rsid w:val="006D6151"/>
    <w:rsid w:val="006D63ED"/>
    <w:rsid w:val="006E3347"/>
    <w:rsid w:val="006F79B1"/>
    <w:rsid w:val="006F7F52"/>
    <w:rsid w:val="00700A03"/>
    <w:rsid w:val="00703DE0"/>
    <w:rsid w:val="0070421D"/>
    <w:rsid w:val="00713593"/>
    <w:rsid w:val="00715F0A"/>
    <w:rsid w:val="00717A75"/>
    <w:rsid w:val="00720ACD"/>
    <w:rsid w:val="007237C5"/>
    <w:rsid w:val="00723F2D"/>
    <w:rsid w:val="007244D1"/>
    <w:rsid w:val="00725255"/>
    <w:rsid w:val="00727658"/>
    <w:rsid w:val="00733D05"/>
    <w:rsid w:val="00737842"/>
    <w:rsid w:val="007403C2"/>
    <w:rsid w:val="007408D5"/>
    <w:rsid w:val="007452F3"/>
    <w:rsid w:val="00746E27"/>
    <w:rsid w:val="00756611"/>
    <w:rsid w:val="00760832"/>
    <w:rsid w:val="00772706"/>
    <w:rsid w:val="007774E5"/>
    <w:rsid w:val="00780C16"/>
    <w:rsid w:val="00787F88"/>
    <w:rsid w:val="0079158C"/>
    <w:rsid w:val="00793DB4"/>
    <w:rsid w:val="007A477C"/>
    <w:rsid w:val="007A717B"/>
    <w:rsid w:val="007B0837"/>
    <w:rsid w:val="007B0DBB"/>
    <w:rsid w:val="007B2AC0"/>
    <w:rsid w:val="007B3FDB"/>
    <w:rsid w:val="007B49D8"/>
    <w:rsid w:val="007B69CE"/>
    <w:rsid w:val="007C2A51"/>
    <w:rsid w:val="007C6B1F"/>
    <w:rsid w:val="007D3733"/>
    <w:rsid w:val="007D4157"/>
    <w:rsid w:val="007D51A5"/>
    <w:rsid w:val="007E1AA0"/>
    <w:rsid w:val="007E2D1F"/>
    <w:rsid w:val="007F0C9F"/>
    <w:rsid w:val="007F1EAC"/>
    <w:rsid w:val="007F3B92"/>
    <w:rsid w:val="007F5EE7"/>
    <w:rsid w:val="007F6C3C"/>
    <w:rsid w:val="007F6F94"/>
    <w:rsid w:val="007F78B6"/>
    <w:rsid w:val="00802919"/>
    <w:rsid w:val="0080458B"/>
    <w:rsid w:val="00804FB2"/>
    <w:rsid w:val="008104AB"/>
    <w:rsid w:val="008166E0"/>
    <w:rsid w:val="008200B3"/>
    <w:rsid w:val="008215D0"/>
    <w:rsid w:val="00821A92"/>
    <w:rsid w:val="008424A6"/>
    <w:rsid w:val="00844511"/>
    <w:rsid w:val="00844DBE"/>
    <w:rsid w:val="008605CF"/>
    <w:rsid w:val="00867164"/>
    <w:rsid w:val="0086752F"/>
    <w:rsid w:val="00873534"/>
    <w:rsid w:val="00876810"/>
    <w:rsid w:val="00880C89"/>
    <w:rsid w:val="00881023"/>
    <w:rsid w:val="00882CF9"/>
    <w:rsid w:val="00883BB5"/>
    <w:rsid w:val="00885DF2"/>
    <w:rsid w:val="00890339"/>
    <w:rsid w:val="00890E93"/>
    <w:rsid w:val="0089738C"/>
    <w:rsid w:val="008A2208"/>
    <w:rsid w:val="008B15C0"/>
    <w:rsid w:val="008B5D4A"/>
    <w:rsid w:val="008B6419"/>
    <w:rsid w:val="008B65EE"/>
    <w:rsid w:val="008C09AC"/>
    <w:rsid w:val="008C22D3"/>
    <w:rsid w:val="008C258A"/>
    <w:rsid w:val="008C52E5"/>
    <w:rsid w:val="008C6F9E"/>
    <w:rsid w:val="008C74A6"/>
    <w:rsid w:val="008D041F"/>
    <w:rsid w:val="008D11A9"/>
    <w:rsid w:val="008D3A8B"/>
    <w:rsid w:val="008D428F"/>
    <w:rsid w:val="008D70B7"/>
    <w:rsid w:val="008E0524"/>
    <w:rsid w:val="008E0C61"/>
    <w:rsid w:val="008E5968"/>
    <w:rsid w:val="008F03F5"/>
    <w:rsid w:val="008F3EB4"/>
    <w:rsid w:val="008F604A"/>
    <w:rsid w:val="008F633F"/>
    <w:rsid w:val="00902C0B"/>
    <w:rsid w:val="009062E7"/>
    <w:rsid w:val="00911641"/>
    <w:rsid w:val="009136D3"/>
    <w:rsid w:val="009167A8"/>
    <w:rsid w:val="0091767D"/>
    <w:rsid w:val="00920354"/>
    <w:rsid w:val="00923042"/>
    <w:rsid w:val="00930862"/>
    <w:rsid w:val="00931C38"/>
    <w:rsid w:val="009356A3"/>
    <w:rsid w:val="009411B1"/>
    <w:rsid w:val="00946E14"/>
    <w:rsid w:val="00947D3F"/>
    <w:rsid w:val="0095403D"/>
    <w:rsid w:val="00955C2C"/>
    <w:rsid w:val="00957300"/>
    <w:rsid w:val="00960066"/>
    <w:rsid w:val="0096140C"/>
    <w:rsid w:val="00961C8F"/>
    <w:rsid w:val="0096711C"/>
    <w:rsid w:val="00970B6D"/>
    <w:rsid w:val="009733A0"/>
    <w:rsid w:val="0097391A"/>
    <w:rsid w:val="00975973"/>
    <w:rsid w:val="00982D5E"/>
    <w:rsid w:val="00982EC4"/>
    <w:rsid w:val="0099359B"/>
    <w:rsid w:val="0099425E"/>
    <w:rsid w:val="00994702"/>
    <w:rsid w:val="00995EE6"/>
    <w:rsid w:val="009A0A30"/>
    <w:rsid w:val="009A1840"/>
    <w:rsid w:val="009A1D5A"/>
    <w:rsid w:val="009A35EF"/>
    <w:rsid w:val="009A3A50"/>
    <w:rsid w:val="009A3DCD"/>
    <w:rsid w:val="009A5DD5"/>
    <w:rsid w:val="009A6E84"/>
    <w:rsid w:val="009B56F5"/>
    <w:rsid w:val="009C13ED"/>
    <w:rsid w:val="009C1D62"/>
    <w:rsid w:val="009D5C76"/>
    <w:rsid w:val="009E1F11"/>
    <w:rsid w:val="009E236F"/>
    <w:rsid w:val="009E434D"/>
    <w:rsid w:val="009E58EA"/>
    <w:rsid w:val="009E6AAE"/>
    <w:rsid w:val="009F0455"/>
    <w:rsid w:val="009F15D3"/>
    <w:rsid w:val="009F1830"/>
    <w:rsid w:val="009F1C4B"/>
    <w:rsid w:val="009F5138"/>
    <w:rsid w:val="009F55FC"/>
    <w:rsid w:val="009F72A1"/>
    <w:rsid w:val="00A00DC5"/>
    <w:rsid w:val="00A052F0"/>
    <w:rsid w:val="00A07748"/>
    <w:rsid w:val="00A07865"/>
    <w:rsid w:val="00A07B60"/>
    <w:rsid w:val="00A07DDD"/>
    <w:rsid w:val="00A10BD9"/>
    <w:rsid w:val="00A12D79"/>
    <w:rsid w:val="00A12F99"/>
    <w:rsid w:val="00A14AF3"/>
    <w:rsid w:val="00A1500A"/>
    <w:rsid w:val="00A15F4A"/>
    <w:rsid w:val="00A22B82"/>
    <w:rsid w:val="00A23F46"/>
    <w:rsid w:val="00A310D3"/>
    <w:rsid w:val="00A36C62"/>
    <w:rsid w:val="00A37544"/>
    <w:rsid w:val="00A37E71"/>
    <w:rsid w:val="00A37F24"/>
    <w:rsid w:val="00A402ED"/>
    <w:rsid w:val="00A43FB7"/>
    <w:rsid w:val="00A44D00"/>
    <w:rsid w:val="00A46561"/>
    <w:rsid w:val="00A56232"/>
    <w:rsid w:val="00A573E3"/>
    <w:rsid w:val="00A611AF"/>
    <w:rsid w:val="00A74DE5"/>
    <w:rsid w:val="00A75C90"/>
    <w:rsid w:val="00A760BB"/>
    <w:rsid w:val="00A7719B"/>
    <w:rsid w:val="00A83E41"/>
    <w:rsid w:val="00A84B88"/>
    <w:rsid w:val="00A92073"/>
    <w:rsid w:val="00A9233C"/>
    <w:rsid w:val="00AA19FC"/>
    <w:rsid w:val="00AA7F1F"/>
    <w:rsid w:val="00AB2AE6"/>
    <w:rsid w:val="00AB43D7"/>
    <w:rsid w:val="00AB7494"/>
    <w:rsid w:val="00AC0097"/>
    <w:rsid w:val="00AC5B63"/>
    <w:rsid w:val="00AC6E42"/>
    <w:rsid w:val="00AD3B56"/>
    <w:rsid w:val="00AD4EF1"/>
    <w:rsid w:val="00AD6CC9"/>
    <w:rsid w:val="00AD74B1"/>
    <w:rsid w:val="00AD78B6"/>
    <w:rsid w:val="00AE253B"/>
    <w:rsid w:val="00AE5977"/>
    <w:rsid w:val="00B030B6"/>
    <w:rsid w:val="00B0408E"/>
    <w:rsid w:val="00B0467A"/>
    <w:rsid w:val="00B07E83"/>
    <w:rsid w:val="00B126F5"/>
    <w:rsid w:val="00B202BE"/>
    <w:rsid w:val="00B207AC"/>
    <w:rsid w:val="00B228F1"/>
    <w:rsid w:val="00B231B1"/>
    <w:rsid w:val="00B25B93"/>
    <w:rsid w:val="00B25E50"/>
    <w:rsid w:val="00B30739"/>
    <w:rsid w:val="00B321B4"/>
    <w:rsid w:val="00B35928"/>
    <w:rsid w:val="00B364CD"/>
    <w:rsid w:val="00B434EF"/>
    <w:rsid w:val="00B43B71"/>
    <w:rsid w:val="00B43E9A"/>
    <w:rsid w:val="00B44E23"/>
    <w:rsid w:val="00B50A65"/>
    <w:rsid w:val="00B50E38"/>
    <w:rsid w:val="00B510A7"/>
    <w:rsid w:val="00B52FEE"/>
    <w:rsid w:val="00B56159"/>
    <w:rsid w:val="00B575FE"/>
    <w:rsid w:val="00B6031B"/>
    <w:rsid w:val="00B60B06"/>
    <w:rsid w:val="00B61ABD"/>
    <w:rsid w:val="00B6451D"/>
    <w:rsid w:val="00B64A18"/>
    <w:rsid w:val="00B64AE3"/>
    <w:rsid w:val="00B6796D"/>
    <w:rsid w:val="00B7187F"/>
    <w:rsid w:val="00B721F1"/>
    <w:rsid w:val="00B751A6"/>
    <w:rsid w:val="00B80C4A"/>
    <w:rsid w:val="00B82336"/>
    <w:rsid w:val="00B82999"/>
    <w:rsid w:val="00B83072"/>
    <w:rsid w:val="00B835BC"/>
    <w:rsid w:val="00B84BE5"/>
    <w:rsid w:val="00B85D7E"/>
    <w:rsid w:val="00B92410"/>
    <w:rsid w:val="00B92D56"/>
    <w:rsid w:val="00B9623A"/>
    <w:rsid w:val="00BA0462"/>
    <w:rsid w:val="00BA1F6A"/>
    <w:rsid w:val="00BA2207"/>
    <w:rsid w:val="00BA51EE"/>
    <w:rsid w:val="00BB0D68"/>
    <w:rsid w:val="00BB0E58"/>
    <w:rsid w:val="00BB2F82"/>
    <w:rsid w:val="00BB3AAC"/>
    <w:rsid w:val="00BD214E"/>
    <w:rsid w:val="00BD2318"/>
    <w:rsid w:val="00BD58D1"/>
    <w:rsid w:val="00BD65B9"/>
    <w:rsid w:val="00BD7BF5"/>
    <w:rsid w:val="00BD7FB0"/>
    <w:rsid w:val="00BE0B88"/>
    <w:rsid w:val="00BE218D"/>
    <w:rsid w:val="00BE21F8"/>
    <w:rsid w:val="00BE2CA6"/>
    <w:rsid w:val="00BE461F"/>
    <w:rsid w:val="00BE63DD"/>
    <w:rsid w:val="00BF017E"/>
    <w:rsid w:val="00BF07E7"/>
    <w:rsid w:val="00BF44C3"/>
    <w:rsid w:val="00BF48D5"/>
    <w:rsid w:val="00C00211"/>
    <w:rsid w:val="00C034CC"/>
    <w:rsid w:val="00C0579B"/>
    <w:rsid w:val="00C07FAC"/>
    <w:rsid w:val="00C10E27"/>
    <w:rsid w:val="00C137C7"/>
    <w:rsid w:val="00C14F0F"/>
    <w:rsid w:val="00C15F63"/>
    <w:rsid w:val="00C20CC2"/>
    <w:rsid w:val="00C23B86"/>
    <w:rsid w:val="00C25B3C"/>
    <w:rsid w:val="00C27227"/>
    <w:rsid w:val="00C27268"/>
    <w:rsid w:val="00C3217C"/>
    <w:rsid w:val="00C372F6"/>
    <w:rsid w:val="00C4240E"/>
    <w:rsid w:val="00C45F08"/>
    <w:rsid w:val="00C525E4"/>
    <w:rsid w:val="00C57E69"/>
    <w:rsid w:val="00C65744"/>
    <w:rsid w:val="00C65E00"/>
    <w:rsid w:val="00C67449"/>
    <w:rsid w:val="00C71BD5"/>
    <w:rsid w:val="00C72B24"/>
    <w:rsid w:val="00C72CBB"/>
    <w:rsid w:val="00C76BAF"/>
    <w:rsid w:val="00C809F4"/>
    <w:rsid w:val="00C823B3"/>
    <w:rsid w:val="00C85419"/>
    <w:rsid w:val="00C9056E"/>
    <w:rsid w:val="00CA0EFC"/>
    <w:rsid w:val="00CA2977"/>
    <w:rsid w:val="00CA6E2E"/>
    <w:rsid w:val="00CB17FD"/>
    <w:rsid w:val="00CB300C"/>
    <w:rsid w:val="00CB327A"/>
    <w:rsid w:val="00CB7129"/>
    <w:rsid w:val="00CC4531"/>
    <w:rsid w:val="00CC5DC3"/>
    <w:rsid w:val="00CC72F5"/>
    <w:rsid w:val="00CE053C"/>
    <w:rsid w:val="00CE348B"/>
    <w:rsid w:val="00CE4F5D"/>
    <w:rsid w:val="00CF258C"/>
    <w:rsid w:val="00CF2739"/>
    <w:rsid w:val="00CF4F5C"/>
    <w:rsid w:val="00D01486"/>
    <w:rsid w:val="00D022E5"/>
    <w:rsid w:val="00D0529F"/>
    <w:rsid w:val="00D05AB3"/>
    <w:rsid w:val="00D12866"/>
    <w:rsid w:val="00D20E17"/>
    <w:rsid w:val="00D22332"/>
    <w:rsid w:val="00D22CE8"/>
    <w:rsid w:val="00D23841"/>
    <w:rsid w:val="00D26522"/>
    <w:rsid w:val="00D27357"/>
    <w:rsid w:val="00D2744A"/>
    <w:rsid w:val="00D466F1"/>
    <w:rsid w:val="00D50207"/>
    <w:rsid w:val="00D51800"/>
    <w:rsid w:val="00D51D8E"/>
    <w:rsid w:val="00D533E3"/>
    <w:rsid w:val="00D61683"/>
    <w:rsid w:val="00D6263E"/>
    <w:rsid w:val="00D67EFA"/>
    <w:rsid w:val="00D729E8"/>
    <w:rsid w:val="00D73911"/>
    <w:rsid w:val="00D81115"/>
    <w:rsid w:val="00D823D4"/>
    <w:rsid w:val="00D85135"/>
    <w:rsid w:val="00D91B13"/>
    <w:rsid w:val="00D941B6"/>
    <w:rsid w:val="00D966DC"/>
    <w:rsid w:val="00D9714C"/>
    <w:rsid w:val="00DA2B2F"/>
    <w:rsid w:val="00DA4B0A"/>
    <w:rsid w:val="00DA576C"/>
    <w:rsid w:val="00DB0E37"/>
    <w:rsid w:val="00DB2D57"/>
    <w:rsid w:val="00DB3CBF"/>
    <w:rsid w:val="00DB44A1"/>
    <w:rsid w:val="00DB61DB"/>
    <w:rsid w:val="00DB7570"/>
    <w:rsid w:val="00DC1089"/>
    <w:rsid w:val="00DC174B"/>
    <w:rsid w:val="00DC1888"/>
    <w:rsid w:val="00DC1F47"/>
    <w:rsid w:val="00DC3FED"/>
    <w:rsid w:val="00DC6F1C"/>
    <w:rsid w:val="00DC7E1B"/>
    <w:rsid w:val="00DD3605"/>
    <w:rsid w:val="00DD3904"/>
    <w:rsid w:val="00DE7AF5"/>
    <w:rsid w:val="00DF0959"/>
    <w:rsid w:val="00DF0F34"/>
    <w:rsid w:val="00DF1607"/>
    <w:rsid w:val="00E03B65"/>
    <w:rsid w:val="00E04D6D"/>
    <w:rsid w:val="00E122C5"/>
    <w:rsid w:val="00E13121"/>
    <w:rsid w:val="00E22B70"/>
    <w:rsid w:val="00E26343"/>
    <w:rsid w:val="00E34F98"/>
    <w:rsid w:val="00E40AF2"/>
    <w:rsid w:val="00E42181"/>
    <w:rsid w:val="00E42B48"/>
    <w:rsid w:val="00E4372B"/>
    <w:rsid w:val="00E45B3C"/>
    <w:rsid w:val="00E46934"/>
    <w:rsid w:val="00E47376"/>
    <w:rsid w:val="00E51F3B"/>
    <w:rsid w:val="00E5493C"/>
    <w:rsid w:val="00E54F9C"/>
    <w:rsid w:val="00E568A4"/>
    <w:rsid w:val="00E577BB"/>
    <w:rsid w:val="00E6135B"/>
    <w:rsid w:val="00E61AD9"/>
    <w:rsid w:val="00E652B7"/>
    <w:rsid w:val="00E7570B"/>
    <w:rsid w:val="00E80B4A"/>
    <w:rsid w:val="00E81240"/>
    <w:rsid w:val="00E82D2D"/>
    <w:rsid w:val="00E87367"/>
    <w:rsid w:val="00E926E2"/>
    <w:rsid w:val="00E94B13"/>
    <w:rsid w:val="00E95C4C"/>
    <w:rsid w:val="00E95C8A"/>
    <w:rsid w:val="00E96CA9"/>
    <w:rsid w:val="00E97D61"/>
    <w:rsid w:val="00EA4BB6"/>
    <w:rsid w:val="00EA70CC"/>
    <w:rsid w:val="00EA7F7A"/>
    <w:rsid w:val="00EB3C5F"/>
    <w:rsid w:val="00EC0F19"/>
    <w:rsid w:val="00EC695A"/>
    <w:rsid w:val="00EE3776"/>
    <w:rsid w:val="00EE449D"/>
    <w:rsid w:val="00EE7AC4"/>
    <w:rsid w:val="00EF3627"/>
    <w:rsid w:val="00EF4C64"/>
    <w:rsid w:val="00EF6D5D"/>
    <w:rsid w:val="00EF7ECB"/>
    <w:rsid w:val="00F009D8"/>
    <w:rsid w:val="00F06B35"/>
    <w:rsid w:val="00F07545"/>
    <w:rsid w:val="00F1060F"/>
    <w:rsid w:val="00F108E7"/>
    <w:rsid w:val="00F10C4C"/>
    <w:rsid w:val="00F11EC3"/>
    <w:rsid w:val="00F1568B"/>
    <w:rsid w:val="00F15B6E"/>
    <w:rsid w:val="00F1639E"/>
    <w:rsid w:val="00F20E7B"/>
    <w:rsid w:val="00F20F4E"/>
    <w:rsid w:val="00F22398"/>
    <w:rsid w:val="00F25D5E"/>
    <w:rsid w:val="00F31EF0"/>
    <w:rsid w:val="00F3603B"/>
    <w:rsid w:val="00F36206"/>
    <w:rsid w:val="00F37196"/>
    <w:rsid w:val="00F37D54"/>
    <w:rsid w:val="00F4174A"/>
    <w:rsid w:val="00F43A8B"/>
    <w:rsid w:val="00F45224"/>
    <w:rsid w:val="00F46D15"/>
    <w:rsid w:val="00F54017"/>
    <w:rsid w:val="00F553A3"/>
    <w:rsid w:val="00F565C4"/>
    <w:rsid w:val="00F64558"/>
    <w:rsid w:val="00F77F48"/>
    <w:rsid w:val="00F81B40"/>
    <w:rsid w:val="00F85F87"/>
    <w:rsid w:val="00F905C5"/>
    <w:rsid w:val="00F91381"/>
    <w:rsid w:val="00F9221D"/>
    <w:rsid w:val="00F93D44"/>
    <w:rsid w:val="00F956D6"/>
    <w:rsid w:val="00F9579B"/>
    <w:rsid w:val="00F959F7"/>
    <w:rsid w:val="00F95A13"/>
    <w:rsid w:val="00FA03E2"/>
    <w:rsid w:val="00FA2790"/>
    <w:rsid w:val="00FA5806"/>
    <w:rsid w:val="00FB1DBA"/>
    <w:rsid w:val="00FB27C5"/>
    <w:rsid w:val="00FB508C"/>
    <w:rsid w:val="00FB794B"/>
    <w:rsid w:val="00FC3AA9"/>
    <w:rsid w:val="00FC4372"/>
    <w:rsid w:val="00FD247D"/>
    <w:rsid w:val="00FD32F7"/>
    <w:rsid w:val="00FD4903"/>
    <w:rsid w:val="00FE1A37"/>
    <w:rsid w:val="00FE2517"/>
    <w:rsid w:val="00FE3969"/>
    <w:rsid w:val="00FE718A"/>
    <w:rsid w:val="00FE7AC8"/>
    <w:rsid w:val="00FE7F0C"/>
    <w:rsid w:val="00FF323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29AB0C"/>
  <w15:docId w15:val="{26AD542E-A623-4445-965C-9DB72ECD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0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D3605"/>
    <w:pPr>
      <w:keepNext/>
      <w:jc w:val="center"/>
      <w:outlineLvl w:val="0"/>
    </w:pPr>
    <w:rPr>
      <w:rFonts w:ascii="Courier" w:hAnsi="Courier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D3605"/>
    <w:pPr>
      <w:keepNext/>
      <w:jc w:val="center"/>
      <w:outlineLvl w:val="1"/>
    </w:pPr>
    <w:rPr>
      <w:rFonts w:ascii="Courier" w:hAnsi="Courier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605"/>
    <w:rPr>
      <w:rFonts w:ascii="Courier" w:eastAsia="Times New Roman" w:hAnsi="Courier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3605"/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360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7237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37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7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A9233C"/>
    <w:pPr>
      <w:tabs>
        <w:tab w:val="left" w:pos="1980"/>
      </w:tabs>
      <w:spacing w:line="480" w:lineRule="auto"/>
      <w:jc w:val="both"/>
    </w:pPr>
    <w:rPr>
      <w:rFonts w:ascii="Courier" w:hAnsi="Courier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9233C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E2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97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F5DB-58A8-447F-939E-6F2B44F0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Miskanic, Nicholas</cp:lastModifiedBy>
  <cp:revision>3</cp:revision>
  <cp:lastPrinted>2013-12-10T15:47:00Z</cp:lastPrinted>
  <dcterms:created xsi:type="dcterms:W3CDTF">2023-05-18T14:55:00Z</dcterms:created>
  <dcterms:modified xsi:type="dcterms:W3CDTF">2023-05-18T14:56:00Z</dcterms:modified>
</cp:coreProperties>
</file>