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7877B9AC" w14:textId="0870F6F2" w:rsidR="00CF1D2B" w:rsidRDefault="00CF1D2B" w:rsidP="004F22C5">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2C19946" w14:textId="77777777" w:rsidR="004F22C5" w:rsidRDefault="004F22C5" w:rsidP="004F22C5">
      <w:pPr>
        <w:tabs>
          <w:tab w:val="center" w:pos="4680"/>
        </w:tabs>
        <w:suppressAutoHyphens/>
        <w:jc w:val="center"/>
        <w:rPr>
          <w:rFonts w:ascii="Times New Roman" w:hAnsi="Times New Roman" w:cs="Times New Roman"/>
          <w:b/>
          <w:bCs/>
          <w:spacing w:val="-3"/>
        </w:rPr>
      </w:pPr>
    </w:p>
    <w:p w14:paraId="7821685B" w14:textId="77777777" w:rsidR="004F22C5" w:rsidRDefault="004F22C5" w:rsidP="004F22C5">
      <w:pPr>
        <w:tabs>
          <w:tab w:val="center" w:pos="4680"/>
        </w:tabs>
        <w:suppressAutoHyphens/>
        <w:jc w:val="center"/>
        <w:rPr>
          <w:rFonts w:ascii="Times New Roman" w:hAnsi="Times New Roman" w:cs="Times New Roman"/>
          <w:b/>
          <w:bCs/>
          <w:spacing w:val="-3"/>
        </w:rPr>
      </w:pPr>
    </w:p>
    <w:p w14:paraId="7BF2FB58" w14:textId="77777777" w:rsidR="004F22C5" w:rsidRPr="004F22C5" w:rsidRDefault="004F22C5" w:rsidP="004F22C5">
      <w:pPr>
        <w:tabs>
          <w:tab w:val="center" w:pos="4680"/>
        </w:tabs>
        <w:suppressAutoHyphens/>
        <w:jc w:val="center"/>
        <w:rPr>
          <w:rFonts w:ascii="Times New Roman" w:hAnsi="Times New Roman" w:cs="Times New Roman"/>
          <w:b/>
          <w:bCs/>
          <w:spacing w:val="-3"/>
        </w:rPr>
      </w:pPr>
    </w:p>
    <w:p w14:paraId="241AFC96" w14:textId="13F0E7EB" w:rsidR="00CF1D2B" w:rsidRPr="007A4C3A" w:rsidRDefault="000C0CA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Shari A. Palmer</w:t>
      </w:r>
      <w:r w:rsidR="004F22C5">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DF1D6D7" w14:textId="77777777" w:rsidR="00C277B3"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46D1B">
        <w:rPr>
          <w:rFonts w:ascii="Times New Roman" w:hAnsi="Times New Roman" w:cs="Times New Roman"/>
          <w:spacing w:val="-3"/>
        </w:rPr>
        <w:tab/>
      </w:r>
    </w:p>
    <w:p w14:paraId="7E74F09E" w14:textId="01CBD079"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277B3">
        <w:rPr>
          <w:rFonts w:ascii="Times New Roman" w:hAnsi="Times New Roman" w:cs="Times New Roman"/>
          <w:spacing w:val="-3"/>
        </w:rPr>
        <w:t>C-2023-3039473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83B110F" w14:textId="7BA0014F" w:rsidR="00CF1D2B" w:rsidRPr="007A4C3A" w:rsidRDefault="000C0CA4" w:rsidP="000C0CA4">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t>:</w:t>
      </w:r>
    </w:p>
    <w:p w14:paraId="1D0A4B16" w14:textId="77777777" w:rsidR="00CF1D2B" w:rsidRDefault="00CF1D2B" w:rsidP="00CF1D2B">
      <w:pPr>
        <w:tabs>
          <w:tab w:val="left" w:pos="-720"/>
          <w:tab w:val="left" w:pos="5040"/>
        </w:tabs>
        <w:suppressAutoHyphens/>
        <w:jc w:val="both"/>
        <w:rPr>
          <w:rFonts w:ascii="Times New Roman" w:hAnsi="Times New Roman" w:cs="Times New Roman"/>
          <w:spacing w:val="-3"/>
        </w:rPr>
      </w:pPr>
    </w:p>
    <w:p w14:paraId="14E96490" w14:textId="77777777" w:rsidR="000C0CA4" w:rsidRPr="007A4C3A" w:rsidRDefault="000C0CA4"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2C178BD8" w14:textId="77777777" w:rsidR="00D106B6" w:rsidRDefault="00D106B6" w:rsidP="00D106B6">
      <w:pPr>
        <w:tabs>
          <w:tab w:val="center" w:pos="4680"/>
        </w:tabs>
        <w:suppressAutoHyphens/>
        <w:jc w:val="center"/>
        <w:rPr>
          <w:rFonts w:ascii="Times New Roman" w:hAnsi="Times New Roman" w:cs="Times New Roman"/>
          <w:b/>
          <w:bCs/>
          <w:spacing w:val="-3"/>
          <w:u w:val="single"/>
        </w:rPr>
      </w:pPr>
      <w:r w:rsidRPr="00466C76">
        <w:rPr>
          <w:rFonts w:ascii="Times New Roman" w:hAnsi="Times New Roman" w:cs="Times New Roman"/>
          <w:b/>
          <w:bCs/>
          <w:spacing w:val="-3"/>
          <w:u w:val="single"/>
        </w:rPr>
        <w:t>ORDER</w:t>
      </w:r>
      <w:r>
        <w:rPr>
          <w:rFonts w:ascii="Times New Roman" w:hAnsi="Times New Roman" w:cs="Times New Roman"/>
          <w:b/>
          <w:bCs/>
          <w:spacing w:val="-3"/>
          <w:u w:val="single"/>
        </w:rPr>
        <w:t xml:space="preserve"> GRANTING IN PART AND DENYING IN PART</w:t>
      </w:r>
    </w:p>
    <w:p w14:paraId="3109DD7B" w14:textId="1E5CA6AD" w:rsidR="00DC347B" w:rsidRDefault="00D106B6" w:rsidP="00D106B6">
      <w:pPr>
        <w:tabs>
          <w:tab w:val="center" w:pos="4680"/>
        </w:tabs>
        <w:suppressAutoHyphens/>
        <w:spacing w:line="360" w:lineRule="auto"/>
        <w:jc w:val="center"/>
        <w:rPr>
          <w:rFonts w:ascii="Times New Roman" w:hAnsi="Times New Roman" w:cs="Times New Roman"/>
          <w:b/>
          <w:bCs/>
          <w:spacing w:val="-3"/>
          <w:u w:val="single"/>
        </w:rPr>
      </w:pPr>
      <w:r>
        <w:rPr>
          <w:rFonts w:ascii="Times New Roman" w:hAnsi="Times New Roman" w:cs="Times New Roman"/>
          <w:b/>
          <w:bCs/>
          <w:spacing w:val="-3"/>
          <w:u w:val="single"/>
        </w:rPr>
        <w:t>PRELIMINARY OBJECTION</w:t>
      </w:r>
      <w:r w:rsidR="00DC347B">
        <w:rPr>
          <w:rFonts w:ascii="Times New Roman" w:hAnsi="Times New Roman" w:cs="Times New Roman"/>
          <w:b/>
          <w:bCs/>
          <w:spacing w:val="-3"/>
          <w:u w:val="single"/>
        </w:rPr>
        <w:t xml:space="preserve">  </w:t>
      </w:r>
    </w:p>
    <w:p w14:paraId="285C7806" w14:textId="77777777" w:rsidR="00CF1D2B" w:rsidRDefault="00CF1D2B" w:rsidP="000C0CA4">
      <w:pPr>
        <w:pStyle w:val="ParaTab1"/>
        <w:tabs>
          <w:tab w:val="left" w:pos="720"/>
          <w:tab w:val="left" w:pos="2070"/>
        </w:tabs>
        <w:spacing w:line="360" w:lineRule="auto"/>
        <w:ind w:firstLine="0"/>
        <w:rPr>
          <w:rFonts w:ascii="Times New Roman" w:hAnsi="Times New Roman" w:cs="Times New Roman"/>
        </w:rPr>
      </w:pPr>
    </w:p>
    <w:p w14:paraId="53F180B8" w14:textId="77777777" w:rsidR="005B31BA" w:rsidRDefault="003B551F" w:rsidP="003B551F">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April 3, 2023, </w:t>
      </w:r>
      <w:r w:rsidR="004A75DA">
        <w:rPr>
          <w:rFonts w:ascii="Times New Roman" w:hAnsi="Times New Roman" w:cs="Times New Roman"/>
        </w:rPr>
        <w:t xml:space="preserve">Shari Palmer (Complainant) filed a Formal Complaint (Complaint) against Philadelphia Gas Works (PGW or Respondent) with the Pennsylvania Public Utilities Commission (Commission).  In the Complaint, the Complainant </w:t>
      </w:r>
      <w:r w:rsidR="0041218A">
        <w:rPr>
          <w:rFonts w:ascii="Times New Roman" w:hAnsi="Times New Roman" w:cs="Times New Roman"/>
        </w:rPr>
        <w:t xml:space="preserve">placed checkmarks in the boxes marked “[t]he utility is threatening to shut off </w:t>
      </w:r>
      <w:r w:rsidR="00361A87">
        <w:rPr>
          <w:rFonts w:ascii="Times New Roman" w:hAnsi="Times New Roman" w:cs="Times New Roman"/>
        </w:rPr>
        <w:t>my service or has already shut off my service” and “[o]ther,” next to which the Complainant wrote in</w:t>
      </w:r>
      <w:r w:rsidR="005B31BA">
        <w:rPr>
          <w:rFonts w:ascii="Times New Roman" w:hAnsi="Times New Roman" w:cs="Times New Roman"/>
        </w:rPr>
        <w:t xml:space="preserve"> the following:</w:t>
      </w:r>
    </w:p>
    <w:p w14:paraId="415EAD87" w14:textId="77777777" w:rsidR="009740BC" w:rsidRDefault="009740BC" w:rsidP="009740BC">
      <w:pPr>
        <w:pStyle w:val="ParaTab1"/>
        <w:tabs>
          <w:tab w:val="left" w:pos="1440"/>
          <w:tab w:val="left" w:pos="8010"/>
        </w:tabs>
        <w:ind w:left="1440" w:right="1350" w:firstLine="0"/>
        <w:rPr>
          <w:rFonts w:ascii="Times New Roman" w:hAnsi="Times New Roman" w:cs="Times New Roman"/>
        </w:rPr>
      </w:pPr>
    </w:p>
    <w:p w14:paraId="7455A0AE" w14:textId="6833E7BC" w:rsidR="003B551F" w:rsidRPr="007A4C3A" w:rsidRDefault="000D3A08" w:rsidP="009740BC">
      <w:pPr>
        <w:pStyle w:val="ParaTab1"/>
        <w:tabs>
          <w:tab w:val="left" w:pos="1440"/>
          <w:tab w:val="left" w:pos="8010"/>
        </w:tabs>
        <w:ind w:left="1440" w:right="1350" w:firstLine="0"/>
        <w:rPr>
          <w:rFonts w:ascii="Times New Roman" w:hAnsi="Times New Roman" w:cs="Times New Roman"/>
        </w:rPr>
      </w:pPr>
      <w:r>
        <w:rPr>
          <w:rFonts w:ascii="Times New Roman" w:hAnsi="Times New Roman" w:cs="Times New Roman"/>
        </w:rPr>
        <w:t xml:space="preserve">I (Shari Palmer) had a court date back in 2020 to finally resolve this issue.  I mixed the dates up for this proceeding with the date of my family court hearing and my appointed Judge was away on vacation </w:t>
      </w:r>
      <w:r w:rsidR="005B31BA">
        <w:rPr>
          <w:rFonts w:ascii="Times New Roman" w:hAnsi="Times New Roman" w:cs="Times New Roman"/>
        </w:rPr>
        <w:t xml:space="preserve">and I was instructed to try and get it reconvened after the courts reopened to no avail.  </w:t>
      </w:r>
    </w:p>
    <w:p w14:paraId="607DCB44" w14:textId="227AE008" w:rsidR="00A40888" w:rsidRDefault="00A40888" w:rsidP="0077503D">
      <w:pPr>
        <w:tabs>
          <w:tab w:val="left" w:pos="1440"/>
          <w:tab w:val="left" w:pos="8010"/>
        </w:tabs>
        <w:spacing w:line="360" w:lineRule="auto"/>
        <w:ind w:left="1440" w:right="1350"/>
        <w:rPr>
          <w:rFonts w:ascii="Times New Roman" w:hAnsi="Times New Roman" w:cs="Times New Roman"/>
        </w:rPr>
      </w:pPr>
    </w:p>
    <w:p w14:paraId="6A708066" w14:textId="59505922" w:rsidR="009740BC" w:rsidRDefault="009740BC" w:rsidP="009740BC">
      <w:pPr>
        <w:spacing w:line="360" w:lineRule="auto"/>
        <w:rPr>
          <w:rFonts w:ascii="Times New Roman" w:hAnsi="Times New Roman" w:cs="Times New Roman"/>
        </w:rPr>
      </w:pPr>
      <w:r>
        <w:rPr>
          <w:rFonts w:ascii="Times New Roman" w:hAnsi="Times New Roman" w:cs="Times New Roman"/>
        </w:rPr>
        <w:t xml:space="preserve">Under the “requested relief” section of the Complaint, </w:t>
      </w:r>
      <w:r w:rsidR="007D3E06">
        <w:rPr>
          <w:rFonts w:ascii="Times New Roman" w:hAnsi="Times New Roman" w:cs="Times New Roman"/>
        </w:rPr>
        <w:t>the Complainant supplied the following statement:</w:t>
      </w:r>
    </w:p>
    <w:p w14:paraId="734A34BA" w14:textId="77777777" w:rsidR="007D3E06" w:rsidRDefault="007D3E06" w:rsidP="009740BC">
      <w:pPr>
        <w:spacing w:line="360" w:lineRule="auto"/>
        <w:rPr>
          <w:rFonts w:ascii="Times New Roman" w:hAnsi="Times New Roman" w:cs="Times New Roman"/>
        </w:rPr>
      </w:pPr>
    </w:p>
    <w:p w14:paraId="24EF473B" w14:textId="3A3D86A0" w:rsidR="007D3E06" w:rsidRDefault="007D3E06" w:rsidP="00A6343F">
      <w:pPr>
        <w:tabs>
          <w:tab w:val="left" w:pos="7920"/>
        </w:tabs>
        <w:ind w:left="1440" w:right="1350"/>
        <w:rPr>
          <w:rFonts w:ascii="Times New Roman" w:hAnsi="Times New Roman" w:cs="Times New Roman"/>
        </w:rPr>
      </w:pPr>
      <w:r>
        <w:rPr>
          <w:rFonts w:ascii="Times New Roman" w:hAnsi="Times New Roman" w:cs="Times New Roman"/>
        </w:rPr>
        <w:t xml:space="preserve">I want the utility to prove the origination of my account and the point of billing where I was first made delinquent to the tune of the thousands of dollars they forced me to try and pay off up until I could no longer pay to date.  Since I was forced to assume the incorrect bill once I purchased my home in April </w:t>
      </w:r>
      <w:r w:rsidR="00F71664">
        <w:rPr>
          <w:rFonts w:ascii="Times New Roman" w:hAnsi="Times New Roman" w:cs="Times New Roman"/>
        </w:rPr>
        <w:t>of 2018 I would like to be made whole and from here on out pay what I actually owe from my actual usage.  O</w:t>
      </w:r>
      <w:r w:rsidR="00402085">
        <w:rPr>
          <w:rFonts w:ascii="Times New Roman" w:hAnsi="Times New Roman" w:cs="Times New Roman"/>
        </w:rPr>
        <w:t>n</w:t>
      </w:r>
      <w:r w:rsidR="00F71664">
        <w:rPr>
          <w:rFonts w:ascii="Times New Roman" w:hAnsi="Times New Roman" w:cs="Times New Roman"/>
        </w:rPr>
        <w:t xml:space="preserve"> the recorded line in 2015 I initially disputed the billing </w:t>
      </w:r>
      <w:r w:rsidR="00CD2E4C">
        <w:rPr>
          <w:rFonts w:ascii="Times New Roman" w:hAnsi="Times New Roman" w:cs="Times New Roman"/>
        </w:rPr>
        <w:t xml:space="preserve">being incorrect and the associate on the phone </w:t>
      </w:r>
      <w:r w:rsidR="00CD2E4C">
        <w:rPr>
          <w:rFonts w:ascii="Times New Roman" w:hAnsi="Times New Roman" w:cs="Times New Roman"/>
        </w:rPr>
        <w:lastRenderedPageBreak/>
        <w:t>stated to me that she could rebill me with the adjusted numbers which they did and I then explained to her that information was also incorrect.  I asked why the services</w:t>
      </w:r>
      <w:r w:rsidR="005A1FB5">
        <w:rPr>
          <w:rFonts w:ascii="Times New Roman" w:hAnsi="Times New Roman" w:cs="Times New Roman"/>
        </w:rPr>
        <w:t xml:space="preserve"> weren’t turned off prior to the bill be [sic] astronomical and was told by the associate on the line that due to the fact that it’s a duplex in the city of Philadelphia they weren’t allowed to cut the services</w:t>
      </w:r>
      <w:r w:rsidR="00640139">
        <w:rPr>
          <w:rFonts w:ascii="Times New Roman" w:hAnsi="Times New Roman" w:cs="Times New Roman"/>
        </w:rPr>
        <w:t>.  Through my first process I was at the understanding that the Judge agreed that the bill was incorrect and that the gas company was out of their jurisdiction</w:t>
      </w:r>
      <w:r w:rsidR="006D6908">
        <w:rPr>
          <w:rFonts w:ascii="Times New Roman" w:hAnsi="Times New Roman" w:cs="Times New Roman"/>
        </w:rPr>
        <w:t xml:space="preserve"> but due to my failure to appear because I mixed my court dates up it wasn’t conclusive in my favor.  This was the reason the gentleman at the court</w:t>
      </w:r>
      <w:r w:rsidR="007E7BCC">
        <w:rPr>
          <w:rFonts w:ascii="Times New Roman" w:hAnsi="Times New Roman" w:cs="Times New Roman"/>
        </w:rPr>
        <w:t>house said to just try and get a reconvene [sic] date once the courts open back up.  I haven’t been able to reach the proper channels</w:t>
      </w:r>
      <w:r w:rsidR="007043DB">
        <w:rPr>
          <w:rFonts w:ascii="Times New Roman" w:hAnsi="Times New Roman" w:cs="Times New Roman"/>
        </w:rPr>
        <w:t xml:space="preserve"> yet.  Every office tells me something different.  I was also denied LIHEAP.  I did the informal complaint back in November sometime and just received an email </w:t>
      </w:r>
      <w:r w:rsidR="00A6343F">
        <w:rPr>
          <w:rFonts w:ascii="Times New Roman" w:hAnsi="Times New Roman" w:cs="Times New Roman"/>
        </w:rPr>
        <w:t>letting me know that it was received.  April 3</w:t>
      </w:r>
      <w:r w:rsidR="00A1634B">
        <w:rPr>
          <w:rFonts w:ascii="Times New Roman" w:hAnsi="Times New Roman" w:cs="Times New Roman"/>
        </w:rPr>
        <w:t>rd</w:t>
      </w:r>
      <w:r w:rsidR="00A6343F">
        <w:rPr>
          <w:rFonts w:ascii="Times New Roman" w:hAnsi="Times New Roman" w:cs="Times New Roman"/>
        </w:rPr>
        <w:t xml:space="preserve"> </w:t>
      </w:r>
      <w:r w:rsidR="0087452F">
        <w:rPr>
          <w:rFonts w:ascii="Times New Roman" w:hAnsi="Times New Roman" w:cs="Times New Roman"/>
        </w:rPr>
        <w:t xml:space="preserve">[sic] </w:t>
      </w:r>
      <w:r w:rsidR="00A6343F">
        <w:rPr>
          <w:rFonts w:ascii="Times New Roman" w:hAnsi="Times New Roman" w:cs="Times New Roman"/>
        </w:rPr>
        <w:t xml:space="preserve">2023 my service is scheduled to be shutoff I depleted my savings doing my best to keep up while I worked on resolving my issue.  I don’t know what else to do and I need my services.  </w:t>
      </w:r>
    </w:p>
    <w:p w14:paraId="6B4A8635" w14:textId="77777777" w:rsidR="00A6343F" w:rsidRDefault="00A6343F" w:rsidP="0077503D">
      <w:pPr>
        <w:tabs>
          <w:tab w:val="left" w:pos="7920"/>
        </w:tabs>
        <w:spacing w:line="360" w:lineRule="auto"/>
        <w:ind w:left="1440" w:right="1350"/>
        <w:rPr>
          <w:rFonts w:ascii="Times New Roman" w:hAnsi="Times New Roman" w:cs="Times New Roman"/>
        </w:rPr>
      </w:pPr>
    </w:p>
    <w:p w14:paraId="4772F9F6" w14:textId="21C6F2A0" w:rsidR="00A6343F" w:rsidRDefault="00E043F1" w:rsidP="009740BC">
      <w:pPr>
        <w:spacing w:line="360" w:lineRule="auto"/>
        <w:rPr>
          <w:rFonts w:ascii="Times New Roman" w:hAnsi="Times New Roman" w:cs="Times New Roman"/>
        </w:rPr>
      </w:pPr>
      <w:r>
        <w:rPr>
          <w:rFonts w:ascii="Times New Roman" w:hAnsi="Times New Roman" w:cs="Times New Roman"/>
        </w:rPr>
        <w:t xml:space="preserve">The Complainant attached to her Complaint several documents, including </w:t>
      </w:r>
      <w:r w:rsidR="00A47871">
        <w:rPr>
          <w:rFonts w:ascii="Times New Roman" w:hAnsi="Times New Roman" w:cs="Times New Roman"/>
        </w:rPr>
        <w:t>PGW notices, receipts, and documentation related to a pr</w:t>
      </w:r>
      <w:r w:rsidR="008C2E45">
        <w:rPr>
          <w:rFonts w:ascii="Times New Roman" w:hAnsi="Times New Roman" w:cs="Times New Roman"/>
        </w:rPr>
        <w:t>ior</w:t>
      </w:r>
      <w:r w:rsidR="00A47871">
        <w:rPr>
          <w:rFonts w:ascii="Times New Roman" w:hAnsi="Times New Roman" w:cs="Times New Roman"/>
        </w:rPr>
        <w:t xml:space="preserve"> Formal Complaint at Docket No. F-2019-301</w:t>
      </w:r>
      <w:r w:rsidR="005104B8">
        <w:rPr>
          <w:rFonts w:ascii="Times New Roman" w:hAnsi="Times New Roman" w:cs="Times New Roman"/>
        </w:rPr>
        <w:t xml:space="preserve">3070.  </w:t>
      </w:r>
    </w:p>
    <w:p w14:paraId="08187555" w14:textId="77777777" w:rsidR="004D0A04" w:rsidRDefault="004D0A04" w:rsidP="009740BC">
      <w:pPr>
        <w:spacing w:line="360" w:lineRule="auto"/>
        <w:rPr>
          <w:rFonts w:ascii="Times New Roman" w:hAnsi="Times New Roman" w:cs="Times New Roman"/>
        </w:rPr>
      </w:pPr>
    </w:p>
    <w:p w14:paraId="70E2E6D4" w14:textId="7FDAC268" w:rsidR="004D0A04" w:rsidRDefault="004D0A04" w:rsidP="009740B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April 24, 2023, </w:t>
      </w:r>
      <w:r w:rsidR="00C33358">
        <w:rPr>
          <w:rFonts w:ascii="Times New Roman" w:hAnsi="Times New Roman" w:cs="Times New Roman"/>
        </w:rPr>
        <w:t xml:space="preserve">the Respondent filed an Answer and New Matter to the Complaint.  In the Answer, the Respondent admitted that it terminated </w:t>
      </w:r>
      <w:r w:rsidR="00380B3F">
        <w:rPr>
          <w:rFonts w:ascii="Times New Roman" w:hAnsi="Times New Roman" w:cs="Times New Roman"/>
        </w:rPr>
        <w:t>the gas service at 4526 N. 12</w:t>
      </w:r>
      <w:r w:rsidR="00380B3F" w:rsidRPr="00380B3F">
        <w:rPr>
          <w:rFonts w:ascii="Times New Roman" w:hAnsi="Times New Roman" w:cs="Times New Roman"/>
          <w:vertAlign w:val="superscript"/>
        </w:rPr>
        <w:t>th</w:t>
      </w:r>
      <w:r w:rsidR="00380B3F">
        <w:rPr>
          <w:rFonts w:ascii="Times New Roman" w:hAnsi="Times New Roman" w:cs="Times New Roman"/>
        </w:rPr>
        <w:t xml:space="preserve"> Street, Philadelphia (service address) on April 3, 2023, after proper notification</w:t>
      </w:r>
      <w:r w:rsidR="00AF02ED">
        <w:rPr>
          <w:rFonts w:ascii="Times New Roman" w:hAnsi="Times New Roman" w:cs="Times New Roman"/>
        </w:rPr>
        <w:t>, due to non-payment.  The Respondent further answered</w:t>
      </w:r>
      <w:r w:rsidR="00871205">
        <w:rPr>
          <w:rFonts w:ascii="Times New Roman" w:hAnsi="Times New Roman" w:cs="Times New Roman"/>
        </w:rPr>
        <w:t>:</w:t>
      </w:r>
      <w:r w:rsidR="00AF02ED">
        <w:rPr>
          <w:rFonts w:ascii="Times New Roman" w:hAnsi="Times New Roman" w:cs="Times New Roman"/>
        </w:rPr>
        <w:t xml:space="preserve"> that </w:t>
      </w:r>
      <w:r w:rsidR="00871205">
        <w:rPr>
          <w:rFonts w:ascii="Times New Roman" w:hAnsi="Times New Roman" w:cs="Times New Roman"/>
        </w:rPr>
        <w:t xml:space="preserve">the Complainant established gas service at the service address as of August 5, 2018; that the </w:t>
      </w:r>
      <w:r w:rsidR="004D27DD">
        <w:rPr>
          <w:rFonts w:ascii="Times New Roman" w:hAnsi="Times New Roman" w:cs="Times New Roman"/>
        </w:rPr>
        <w:t xml:space="preserve">service is listed as residential heat and domestic appliances; that the property is </w:t>
      </w:r>
      <w:r w:rsidR="004F472F">
        <w:rPr>
          <w:rFonts w:ascii="Times New Roman" w:hAnsi="Times New Roman" w:cs="Times New Roman"/>
        </w:rPr>
        <w:t>equipped with an AMR device; and that the billing is based on actual meter readings.</w:t>
      </w:r>
    </w:p>
    <w:p w14:paraId="540B2FBD" w14:textId="77777777" w:rsidR="004F472F" w:rsidRDefault="004F472F" w:rsidP="009740BC">
      <w:pPr>
        <w:spacing w:line="360" w:lineRule="auto"/>
        <w:rPr>
          <w:rFonts w:ascii="Times New Roman" w:hAnsi="Times New Roman" w:cs="Times New Roman"/>
        </w:rPr>
      </w:pPr>
    </w:p>
    <w:p w14:paraId="67D263BE" w14:textId="094B9558" w:rsidR="004F472F" w:rsidRDefault="004F472F" w:rsidP="009740B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As New Matter, the Respondent </w:t>
      </w:r>
      <w:r w:rsidR="00BA3808">
        <w:rPr>
          <w:rFonts w:ascii="Times New Roman" w:hAnsi="Times New Roman" w:cs="Times New Roman"/>
        </w:rPr>
        <w:t xml:space="preserve">averred: </w:t>
      </w:r>
      <w:r w:rsidR="00CA3A01">
        <w:rPr>
          <w:rFonts w:ascii="Times New Roman" w:hAnsi="Times New Roman" w:cs="Times New Roman"/>
        </w:rPr>
        <w:t xml:space="preserve">that on February 25, 2015, the Complainant contacted PGW to terminate her gas service at 3047 Frankford Avenue, 1F; </w:t>
      </w:r>
      <w:r w:rsidR="00C54501">
        <w:rPr>
          <w:rFonts w:ascii="Times New Roman" w:hAnsi="Times New Roman" w:cs="Times New Roman"/>
        </w:rPr>
        <w:t xml:space="preserve">that on March 4, 2015, PGW issued a final bill to the Complainant for the gas service at 3047 Frankford Avenue, 1F; </w:t>
      </w:r>
      <w:r w:rsidR="008B038C">
        <w:rPr>
          <w:rFonts w:ascii="Times New Roman" w:hAnsi="Times New Roman" w:cs="Times New Roman"/>
        </w:rPr>
        <w:t>that on August 2, 2018, the Complainant contacted PGW to establish gas service at the service address</w:t>
      </w:r>
      <w:r w:rsidR="004067B6">
        <w:rPr>
          <w:rFonts w:ascii="Times New Roman" w:hAnsi="Times New Roman" w:cs="Times New Roman"/>
        </w:rPr>
        <w:t xml:space="preserve"> as of August 5, 2018; that PGW advised the Complainant that </w:t>
      </w:r>
      <w:r w:rsidR="004067B6">
        <w:rPr>
          <w:rFonts w:ascii="Times New Roman" w:hAnsi="Times New Roman" w:cs="Times New Roman"/>
        </w:rPr>
        <w:lastRenderedPageBreak/>
        <w:t>her balance was still outstanding and would appear on the bill for gas service</w:t>
      </w:r>
      <w:r w:rsidR="009B7317">
        <w:rPr>
          <w:rFonts w:ascii="Times New Roman" w:hAnsi="Times New Roman" w:cs="Times New Roman"/>
        </w:rPr>
        <w:t xml:space="preserve"> at the service address; that on October 1</w:t>
      </w:r>
      <w:r w:rsidR="00591A08">
        <w:rPr>
          <w:rFonts w:ascii="Times New Roman" w:hAnsi="Times New Roman" w:cs="Times New Roman"/>
        </w:rPr>
        <w:t>0</w:t>
      </w:r>
      <w:r w:rsidR="009B7317">
        <w:rPr>
          <w:rFonts w:ascii="Times New Roman" w:hAnsi="Times New Roman" w:cs="Times New Roman"/>
        </w:rPr>
        <w:t>, 2018, the Complainant filed an informal complaint with the Commission’s Bureau of Consumer Services (BCS)</w:t>
      </w:r>
      <w:r w:rsidR="00511481">
        <w:rPr>
          <w:rFonts w:ascii="Times New Roman" w:hAnsi="Times New Roman" w:cs="Times New Roman"/>
        </w:rPr>
        <w:t xml:space="preserve"> wherein she disputed the billing from her prior address as well as the transfer of the balance; that on July 11, 2019, BCS rendered its decision </w:t>
      </w:r>
      <w:r w:rsidR="00994A62">
        <w:rPr>
          <w:rFonts w:ascii="Times New Roman" w:hAnsi="Times New Roman" w:cs="Times New Roman"/>
        </w:rPr>
        <w:t xml:space="preserve">dismissing the informal complaint stating that the billing was correct and the transfer was proper; </w:t>
      </w:r>
      <w:r w:rsidR="005413A8">
        <w:rPr>
          <w:rFonts w:ascii="Times New Roman" w:hAnsi="Times New Roman" w:cs="Times New Roman"/>
        </w:rPr>
        <w:t>that on September 13, 2019, the Complainant filed a Formal Complaint at Docket No. F-2019-3013070</w:t>
      </w:r>
      <w:r w:rsidR="0017496D">
        <w:rPr>
          <w:rFonts w:ascii="Times New Roman" w:hAnsi="Times New Roman" w:cs="Times New Roman"/>
        </w:rPr>
        <w:t xml:space="preserve"> disputing her balance and alleging incorrect billing; </w:t>
      </w:r>
      <w:r w:rsidR="00BD5D30">
        <w:rPr>
          <w:rFonts w:ascii="Times New Roman" w:hAnsi="Times New Roman" w:cs="Times New Roman"/>
        </w:rPr>
        <w:t xml:space="preserve">that on March 2, 2020, the Complainant failed to appear for the evidentiary hearing </w:t>
      </w:r>
      <w:r w:rsidR="00C767D8">
        <w:rPr>
          <w:rFonts w:ascii="Times New Roman" w:hAnsi="Times New Roman" w:cs="Times New Roman"/>
        </w:rPr>
        <w:t xml:space="preserve">in the matter at Docket No. F-2019-3013070; that PGW moved to dismiss the Complainant’s Formal Complaint; that </w:t>
      </w:r>
      <w:r w:rsidR="00AA1695">
        <w:rPr>
          <w:rFonts w:ascii="Times New Roman" w:hAnsi="Times New Roman" w:cs="Times New Roman"/>
        </w:rPr>
        <w:t>an Initial Decision at Docket No. F-2019-3013070 was issued on June 25, 2020</w:t>
      </w:r>
      <w:r w:rsidR="00765A54">
        <w:rPr>
          <w:rFonts w:ascii="Times New Roman" w:hAnsi="Times New Roman" w:cs="Times New Roman"/>
        </w:rPr>
        <w:t xml:space="preserve"> granting PGW’s Motion to Dismiss the Complaint; </w:t>
      </w:r>
      <w:r w:rsidR="007523A3">
        <w:rPr>
          <w:rFonts w:ascii="Times New Roman" w:hAnsi="Times New Roman" w:cs="Times New Roman"/>
        </w:rPr>
        <w:t xml:space="preserve">that the Final Opinion and Order at Docket No. F-2019-3013070 was issued on August 17, 2020 adopting the Initial Decision </w:t>
      </w:r>
      <w:r w:rsidR="003E27F0">
        <w:rPr>
          <w:rFonts w:ascii="Times New Roman" w:hAnsi="Times New Roman" w:cs="Times New Roman"/>
        </w:rPr>
        <w:t>granting PGW’s Motion to Dismiss the Complaint; that the instant Complaint again raises issues relating to the billing dispute from 2015</w:t>
      </w:r>
      <w:r w:rsidR="004B7C07">
        <w:rPr>
          <w:rFonts w:ascii="Times New Roman" w:hAnsi="Times New Roman" w:cs="Times New Roman"/>
        </w:rPr>
        <w:t xml:space="preserve">; </w:t>
      </w:r>
      <w:r w:rsidR="00E254AD">
        <w:rPr>
          <w:rFonts w:ascii="Times New Roman" w:hAnsi="Times New Roman" w:cs="Times New Roman"/>
        </w:rPr>
        <w:t>that the statute of limitations at 66 Pa.C.S. 3314 provides that no action for recovery of penalties or forfeitures</w:t>
      </w:r>
      <w:r w:rsidR="007461CF">
        <w:rPr>
          <w:rFonts w:ascii="Times New Roman" w:hAnsi="Times New Roman" w:cs="Times New Roman"/>
        </w:rPr>
        <w:t>, or any prosecution, may be maintained unless brough within three years from the date the liability arose; that the statute of limitations at 66 Pa.C.S. 3314 divests the Commission of jurisdiction to hear an action brought more than three years from the date the liability arose</w:t>
      </w:r>
      <w:r w:rsidR="00242AEE">
        <w:rPr>
          <w:rFonts w:ascii="Times New Roman" w:hAnsi="Times New Roman" w:cs="Times New Roman"/>
        </w:rPr>
        <w:t>; and that the Complainant has lost her right to pursue litigation before the Commission regarding the billing at her Frankford Avenue address</w:t>
      </w:r>
      <w:r w:rsidR="00626952">
        <w:rPr>
          <w:rFonts w:ascii="Times New Roman" w:hAnsi="Times New Roman" w:cs="Times New Roman"/>
        </w:rPr>
        <w:t xml:space="preserve"> as any cause of action falls outside of the statute of limitations.  PGW endorsed its </w:t>
      </w:r>
      <w:r w:rsidR="00904611">
        <w:rPr>
          <w:rFonts w:ascii="Times New Roman" w:hAnsi="Times New Roman" w:cs="Times New Roman"/>
        </w:rPr>
        <w:t xml:space="preserve">Answer and </w:t>
      </w:r>
      <w:r w:rsidR="00626952">
        <w:rPr>
          <w:rFonts w:ascii="Times New Roman" w:hAnsi="Times New Roman" w:cs="Times New Roman"/>
        </w:rPr>
        <w:t>New Matter with a Notice to Plead advising that</w:t>
      </w:r>
      <w:r w:rsidR="00904611">
        <w:rPr>
          <w:rFonts w:ascii="Times New Roman" w:hAnsi="Times New Roman" w:cs="Times New Roman"/>
        </w:rPr>
        <w:t xml:space="preserve"> a response was due within twenty (20) days of service of the Answer and New Matter.</w:t>
      </w:r>
      <w:r w:rsidR="00B93E8C">
        <w:rPr>
          <w:rFonts w:ascii="Times New Roman" w:hAnsi="Times New Roman" w:cs="Times New Roman"/>
        </w:rPr>
        <w:t xml:space="preserve">  The Complainant’s response to PGW’s New Matter was due on or before May </w:t>
      </w:r>
      <w:r w:rsidR="005408EB">
        <w:rPr>
          <w:rFonts w:ascii="Times New Roman" w:hAnsi="Times New Roman" w:cs="Times New Roman"/>
        </w:rPr>
        <w:t>15</w:t>
      </w:r>
      <w:r w:rsidR="00B93E8C">
        <w:rPr>
          <w:rFonts w:ascii="Times New Roman" w:hAnsi="Times New Roman" w:cs="Times New Roman"/>
        </w:rPr>
        <w:t>, 2023.</w:t>
      </w:r>
      <w:r w:rsidR="00064947">
        <w:rPr>
          <w:rStyle w:val="FootnoteReference"/>
          <w:rFonts w:eastAsiaTheme="majorEastAsia"/>
        </w:rPr>
        <w:footnoteReference w:id="1"/>
      </w:r>
      <w:r w:rsidR="00B93E8C">
        <w:rPr>
          <w:rFonts w:ascii="Times New Roman" w:hAnsi="Times New Roman" w:cs="Times New Roman"/>
        </w:rPr>
        <w:t xml:space="preserve">  The Complainant did not file a reply to PGW’s New Matter.  </w:t>
      </w:r>
    </w:p>
    <w:p w14:paraId="0FC1930A" w14:textId="77777777" w:rsidR="00904611" w:rsidRDefault="00904611" w:rsidP="009740BC">
      <w:pPr>
        <w:spacing w:line="360" w:lineRule="auto"/>
        <w:rPr>
          <w:rFonts w:ascii="Times New Roman" w:hAnsi="Times New Roman" w:cs="Times New Roman"/>
        </w:rPr>
      </w:pPr>
    </w:p>
    <w:p w14:paraId="0120CC68" w14:textId="2A5C521D" w:rsidR="00904611" w:rsidRPr="009740BC" w:rsidRDefault="00904611" w:rsidP="009740B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214D6">
        <w:rPr>
          <w:rFonts w:ascii="Times New Roman" w:hAnsi="Times New Roman" w:cs="Times New Roman"/>
        </w:rPr>
        <w:t xml:space="preserve">Also on April 24, 2023, </w:t>
      </w:r>
      <w:r w:rsidR="001322E5">
        <w:rPr>
          <w:rFonts w:ascii="Times New Roman" w:hAnsi="Times New Roman" w:cs="Times New Roman"/>
        </w:rPr>
        <w:t xml:space="preserve">PGW filed </w:t>
      </w:r>
      <w:r w:rsidR="001746AA">
        <w:rPr>
          <w:rFonts w:ascii="Times New Roman" w:hAnsi="Times New Roman" w:cs="Times New Roman"/>
        </w:rPr>
        <w:t xml:space="preserve">its </w:t>
      </w:r>
      <w:r w:rsidR="001322E5">
        <w:rPr>
          <w:rFonts w:ascii="Times New Roman" w:hAnsi="Times New Roman" w:cs="Times New Roman"/>
        </w:rPr>
        <w:t>Preliminary Objection</w:t>
      </w:r>
      <w:r w:rsidR="00E70774">
        <w:rPr>
          <w:rFonts w:ascii="Times New Roman" w:hAnsi="Times New Roman" w:cs="Times New Roman"/>
        </w:rPr>
        <w:t xml:space="preserve">.  In its </w:t>
      </w:r>
      <w:r w:rsidR="000610B4">
        <w:rPr>
          <w:rFonts w:ascii="Times New Roman" w:hAnsi="Times New Roman" w:cs="Times New Roman"/>
        </w:rPr>
        <w:t xml:space="preserve">Preliminary Objection, </w:t>
      </w:r>
      <w:r w:rsidR="00305B89">
        <w:rPr>
          <w:rFonts w:ascii="Times New Roman" w:hAnsi="Times New Roman" w:cs="Times New Roman"/>
        </w:rPr>
        <w:t xml:space="preserve">PGW reiterated </w:t>
      </w:r>
      <w:r w:rsidR="009E0B37">
        <w:rPr>
          <w:rFonts w:ascii="Times New Roman" w:hAnsi="Times New Roman" w:cs="Times New Roman"/>
        </w:rPr>
        <w:t xml:space="preserve">its position that any allegations and claims that are </w:t>
      </w:r>
      <w:r w:rsidR="00242B47">
        <w:rPr>
          <w:rFonts w:ascii="Times New Roman" w:hAnsi="Times New Roman" w:cs="Times New Roman"/>
        </w:rPr>
        <w:t xml:space="preserve">beyond the statute of limitations are barred and are outside of the </w:t>
      </w:r>
      <w:r w:rsidR="00B93E8C">
        <w:rPr>
          <w:rFonts w:ascii="Times New Roman" w:hAnsi="Times New Roman" w:cs="Times New Roman"/>
        </w:rPr>
        <w:t xml:space="preserve">Commission’s jurisdiction.  PGW endorsed its Preliminary Objection with a Notice to Plead.  The Complainant’s response to </w:t>
      </w:r>
      <w:r w:rsidR="00B93E8C">
        <w:rPr>
          <w:rFonts w:ascii="Times New Roman" w:hAnsi="Times New Roman" w:cs="Times New Roman"/>
        </w:rPr>
        <w:lastRenderedPageBreak/>
        <w:t xml:space="preserve">PGW’s Preliminary Objection was due on or before May </w:t>
      </w:r>
      <w:r w:rsidR="00CD1E4E">
        <w:rPr>
          <w:rFonts w:ascii="Times New Roman" w:hAnsi="Times New Roman" w:cs="Times New Roman"/>
        </w:rPr>
        <w:t>4</w:t>
      </w:r>
      <w:r w:rsidR="00B93E8C">
        <w:rPr>
          <w:rFonts w:ascii="Times New Roman" w:hAnsi="Times New Roman" w:cs="Times New Roman"/>
        </w:rPr>
        <w:t>, 2023.</w:t>
      </w:r>
      <w:r w:rsidR="006920F7">
        <w:rPr>
          <w:rStyle w:val="FootnoteReference"/>
          <w:rFonts w:eastAsiaTheme="majorEastAsia"/>
        </w:rPr>
        <w:footnoteReference w:id="2"/>
      </w:r>
      <w:r w:rsidR="00B93E8C">
        <w:rPr>
          <w:rFonts w:ascii="Times New Roman" w:hAnsi="Times New Roman" w:cs="Times New Roman"/>
        </w:rPr>
        <w:t xml:space="preserve">  The Complainant did not file a reply to PGW’s Preliminary Objection.  </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6FC1B39D" w14:textId="3BBA48B8" w:rsidR="0053363B" w:rsidRDefault="0053363B" w:rsidP="0053363B">
      <w:pPr>
        <w:pStyle w:val="NoSpacing"/>
        <w:spacing w:line="360" w:lineRule="auto"/>
        <w:ind w:firstLine="1440"/>
        <w:rPr>
          <w:szCs w:val="24"/>
        </w:rPr>
      </w:pPr>
      <w:r>
        <w:rPr>
          <w:szCs w:val="24"/>
        </w:rPr>
        <w:t xml:space="preserve">By Hearing Notice dated June 7, 2023, </w:t>
      </w:r>
      <w:r w:rsidR="00A0017E">
        <w:rPr>
          <w:szCs w:val="24"/>
        </w:rPr>
        <w:t>an Initial Call-In Telephonic Hearing was scheduled for August 15, 2023</w:t>
      </w:r>
      <w:r w:rsidR="00C97DBB">
        <w:rPr>
          <w:szCs w:val="24"/>
        </w:rPr>
        <w:t xml:space="preserve">, and </w:t>
      </w:r>
      <w:r>
        <w:rPr>
          <w:szCs w:val="24"/>
        </w:rPr>
        <w:t xml:space="preserve">the matter, including PGW’s outstanding Preliminary Objection, was assigned to me.  </w:t>
      </w:r>
    </w:p>
    <w:p w14:paraId="7514811F" w14:textId="77777777" w:rsidR="0053363B" w:rsidRDefault="0053363B" w:rsidP="0053363B">
      <w:pPr>
        <w:pStyle w:val="NoSpacing"/>
        <w:spacing w:line="360" w:lineRule="auto"/>
        <w:rPr>
          <w:szCs w:val="24"/>
        </w:rPr>
      </w:pPr>
    </w:p>
    <w:p w14:paraId="587AA05E" w14:textId="0A247197" w:rsidR="000C1A32" w:rsidRDefault="0053363B" w:rsidP="0053363B">
      <w:pPr>
        <w:pStyle w:val="ParaTab1"/>
        <w:spacing w:line="360" w:lineRule="auto"/>
        <w:ind w:firstLine="0"/>
        <w:rPr>
          <w:rFonts w:ascii="Times New Roman" w:hAnsi="Times New Roman" w:cs="Times New Roman"/>
          <w:spacing w:val="-3"/>
        </w:rPr>
      </w:pPr>
      <w:r>
        <w:tab/>
      </w:r>
      <w:r>
        <w:tab/>
      </w:r>
      <w:r w:rsidR="001746AA">
        <w:t>For the reasons discussed below, PGW’s Preliminary Objection is granted in part and denied in part.</w:t>
      </w:r>
    </w:p>
    <w:p w14:paraId="4D7557D0" w14:textId="77777777" w:rsidR="0053363B" w:rsidRDefault="0053363B" w:rsidP="000C1A32">
      <w:pPr>
        <w:pStyle w:val="ParaTab1"/>
        <w:spacing w:line="360" w:lineRule="auto"/>
        <w:ind w:firstLine="0"/>
        <w:rPr>
          <w:rFonts w:ascii="Times New Roman" w:hAnsi="Times New Roman" w:cs="Times New Roman"/>
          <w:spacing w:val="-3"/>
        </w:rPr>
      </w:pPr>
    </w:p>
    <w:p w14:paraId="2310F159" w14:textId="77777777" w:rsidR="00E175D1" w:rsidRPr="006B4AE9" w:rsidRDefault="00E175D1" w:rsidP="00E175D1">
      <w:pPr>
        <w:pStyle w:val="NoSpacing"/>
        <w:spacing w:line="360" w:lineRule="auto"/>
        <w:jc w:val="center"/>
        <w:rPr>
          <w:u w:val="single"/>
        </w:rPr>
      </w:pPr>
      <w:r w:rsidRPr="006B4AE9">
        <w:rPr>
          <w:u w:val="single"/>
        </w:rPr>
        <w:t>DISCUSSION</w:t>
      </w:r>
    </w:p>
    <w:p w14:paraId="5C079828" w14:textId="77777777" w:rsidR="00E175D1" w:rsidRDefault="00E175D1" w:rsidP="00E175D1">
      <w:pPr>
        <w:pStyle w:val="NoSpacing"/>
        <w:spacing w:line="360" w:lineRule="auto"/>
      </w:pPr>
    </w:p>
    <w:p w14:paraId="2A65128B" w14:textId="77777777" w:rsidR="00E175D1" w:rsidRPr="002D2754" w:rsidRDefault="00E175D1" w:rsidP="00E175D1">
      <w:pPr>
        <w:widowControl w:val="0"/>
        <w:adjustRightInd w:val="0"/>
        <w:spacing w:line="360" w:lineRule="auto"/>
        <w:ind w:firstLine="1440"/>
        <w:rPr>
          <w:rFonts w:ascii="Times New Roman" w:hAnsi="Times New Roman" w:cs="Times New Roman"/>
          <w:color w:val="000000"/>
        </w:rPr>
      </w:pPr>
      <w:r w:rsidRPr="002D2754">
        <w:rPr>
          <w:rFonts w:ascii="Times New Roman" w:hAnsi="Times New Roman" w:cs="Times New Roman"/>
          <w:color w:val="000000"/>
        </w:rPr>
        <w:t xml:space="preserve">The Commission’s Rules of Administrative Practice and Procedure provide for the filing of Preliminary Objections.  52 Pa.Code </w:t>
      </w:r>
      <w:r w:rsidRPr="002D2754">
        <w:rPr>
          <w:rFonts w:ascii="Times New Roman" w:hAnsi="Times New Roman" w:cs="Times New Roman"/>
          <w:color w:val="000000"/>
          <w:w w:val="86"/>
        </w:rPr>
        <w:t xml:space="preserve">§ </w:t>
      </w:r>
      <w:r w:rsidRPr="002D2754">
        <w:rPr>
          <w:rFonts w:ascii="Times New Roman" w:hAnsi="Times New Roman" w:cs="Times New Roman"/>
          <w:color w:val="000000"/>
        </w:rPr>
        <w:t xml:space="preserve">5.101.  Commission Preliminary Objection practice is comparable to Pennsylvania civil practice respecting the filing of preliminary objections.  </w:t>
      </w:r>
      <w:r w:rsidRPr="002D2754">
        <w:rPr>
          <w:rFonts w:ascii="Times New Roman" w:hAnsi="Times New Roman" w:cs="Times New Roman"/>
          <w:i/>
          <w:iCs/>
          <w:color w:val="000000"/>
        </w:rPr>
        <w:t xml:space="preserve">Equitable Small Transportation Intervenors v. Equitable Gas Company, </w:t>
      </w:r>
      <w:r w:rsidRPr="002D2754">
        <w:rPr>
          <w:rFonts w:ascii="Times New Roman" w:hAnsi="Times New Roman" w:cs="Times New Roman"/>
          <w:color w:val="000000"/>
        </w:rPr>
        <w:t>1994 Pa</w:t>
      </w:r>
      <w:r>
        <w:rPr>
          <w:rFonts w:ascii="Times New Roman" w:hAnsi="Times New Roman" w:cs="Times New Roman"/>
          <w:color w:val="000000"/>
        </w:rPr>
        <w:t>. </w:t>
      </w:r>
      <w:r w:rsidRPr="002D2754">
        <w:rPr>
          <w:rFonts w:ascii="Times New Roman" w:hAnsi="Times New Roman" w:cs="Times New Roman"/>
          <w:color w:val="000000"/>
        </w:rPr>
        <w:t>PUC LEXIS 69, Docket No. C-00935435 (July 18, 1994).</w:t>
      </w:r>
      <w:r>
        <w:rPr>
          <w:rFonts w:ascii="Times New Roman" w:hAnsi="Times New Roman" w:cs="Times New Roman"/>
          <w:color w:val="000000"/>
        </w:rPr>
        <w:t xml:space="preserve">  </w:t>
      </w:r>
      <w:r w:rsidRPr="002D2754">
        <w:rPr>
          <w:rFonts w:ascii="Times New Roman" w:hAnsi="Times New Roman" w:cs="Times New Roman"/>
          <w:color w:val="000000"/>
        </w:rPr>
        <w:t>The Commission’s Rules provide, in relevant part:</w:t>
      </w:r>
    </w:p>
    <w:p w14:paraId="02853A70" w14:textId="77777777" w:rsidR="00E175D1" w:rsidRPr="002D2754" w:rsidRDefault="00E175D1" w:rsidP="00E175D1">
      <w:pPr>
        <w:widowControl w:val="0"/>
        <w:adjustRightInd w:val="0"/>
        <w:spacing w:line="360" w:lineRule="auto"/>
        <w:ind w:firstLine="1440"/>
        <w:rPr>
          <w:rFonts w:ascii="Times New Roman" w:hAnsi="Times New Roman" w:cs="Times New Roman"/>
          <w:color w:val="000000"/>
        </w:rPr>
      </w:pPr>
    </w:p>
    <w:p w14:paraId="4C1F894B" w14:textId="77777777" w:rsidR="00E175D1" w:rsidRPr="002D2754" w:rsidRDefault="00E175D1" w:rsidP="00E175D1">
      <w:pPr>
        <w:autoSpaceDE/>
        <w:autoSpaceDN/>
        <w:ind w:left="720" w:firstLine="720"/>
        <w:contextualSpacing/>
        <w:rPr>
          <w:rFonts w:ascii="Times New Roman" w:eastAsia="Calibri" w:hAnsi="Times New Roman" w:cs="Times New Roman"/>
        </w:rPr>
      </w:pPr>
      <w:r w:rsidRPr="002D2754">
        <w:rPr>
          <w:rFonts w:ascii="Times New Roman" w:eastAsia="Calibri" w:hAnsi="Times New Roman" w:cs="Times New Roman"/>
          <w:b/>
        </w:rPr>
        <w:t>§ 5.101.  Preliminary objections</w:t>
      </w:r>
      <w:r w:rsidRPr="002D2754">
        <w:rPr>
          <w:rFonts w:ascii="Times New Roman" w:eastAsia="Calibri" w:hAnsi="Times New Roman" w:cs="Times New Roman"/>
        </w:rPr>
        <w:t>.</w:t>
      </w:r>
    </w:p>
    <w:p w14:paraId="70E2DB56" w14:textId="77777777" w:rsidR="00E175D1" w:rsidRPr="002D2754" w:rsidRDefault="00E175D1" w:rsidP="00E175D1">
      <w:pPr>
        <w:autoSpaceDE/>
        <w:autoSpaceDN/>
        <w:contextualSpacing/>
        <w:rPr>
          <w:rFonts w:ascii="Times New Roman" w:eastAsia="Calibri" w:hAnsi="Times New Roman" w:cs="Times New Roman"/>
        </w:rPr>
      </w:pPr>
    </w:p>
    <w:p w14:paraId="4A0561F6" w14:textId="77777777" w:rsidR="00E175D1" w:rsidRPr="002D2754" w:rsidRDefault="00E175D1" w:rsidP="00E175D1">
      <w:pPr>
        <w:autoSpaceDE/>
        <w:autoSpaceDN/>
        <w:ind w:left="1440" w:right="1440"/>
        <w:contextualSpacing/>
        <w:rPr>
          <w:rFonts w:ascii="Times New Roman" w:eastAsia="Calibri" w:hAnsi="Times New Roman" w:cs="Times New Roman"/>
        </w:rPr>
      </w:pPr>
      <w:r w:rsidRPr="002D2754">
        <w:rPr>
          <w:rFonts w:ascii="Times New Roman" w:eastAsia="Calibri" w:hAnsi="Times New Roman" w:cs="Times New Roman"/>
        </w:rPr>
        <w:t>(a)</w:t>
      </w:r>
      <w:r w:rsidRPr="002D2754">
        <w:rPr>
          <w:rFonts w:ascii="Times New Roman" w:eastAsia="Calibri" w:hAnsi="Times New Roman" w:cs="Times New Roman"/>
        </w:rPr>
        <w:tab/>
      </w:r>
      <w:r w:rsidRPr="002D2754">
        <w:rPr>
          <w:rFonts w:ascii="Times New Roman" w:eastAsia="Calibri" w:hAnsi="Times New Roman" w:cs="Times New Roman"/>
          <w:i/>
        </w:rPr>
        <w:t>Grounds.</w:t>
      </w:r>
      <w:r w:rsidRPr="002D2754">
        <w:rPr>
          <w:rFonts w:ascii="Times New Roman" w:eastAsia="Calibri" w:hAnsi="Times New Roman" w:cs="Times New Roman"/>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4B8BED9D" w14:textId="77777777" w:rsidR="00E175D1" w:rsidRPr="002D2754" w:rsidRDefault="00E175D1" w:rsidP="00E175D1">
      <w:pPr>
        <w:autoSpaceDE/>
        <w:autoSpaceDN/>
        <w:ind w:left="1440" w:right="1440"/>
        <w:contextualSpacing/>
        <w:rPr>
          <w:rFonts w:ascii="Times New Roman" w:eastAsia="Calibri" w:hAnsi="Times New Roman" w:cs="Times New Roman"/>
        </w:rPr>
      </w:pPr>
    </w:p>
    <w:p w14:paraId="5227724E" w14:textId="77777777" w:rsidR="00E175D1" w:rsidRPr="002D2754" w:rsidRDefault="00E175D1" w:rsidP="00E175D1">
      <w:pPr>
        <w:autoSpaceDE/>
        <w:autoSpaceDN/>
        <w:ind w:left="1440" w:right="1440"/>
        <w:contextualSpacing/>
        <w:rPr>
          <w:rFonts w:ascii="Times New Roman" w:eastAsia="Calibri" w:hAnsi="Times New Roman" w:cs="Times New Roman"/>
        </w:rPr>
      </w:pPr>
      <w:r w:rsidRPr="002D2754">
        <w:rPr>
          <w:rFonts w:ascii="Times New Roman" w:eastAsia="Calibri" w:hAnsi="Times New Roman" w:cs="Times New Roman"/>
        </w:rPr>
        <w:tab/>
        <w:t>(1)</w:t>
      </w:r>
      <w:r w:rsidRPr="002D2754">
        <w:rPr>
          <w:rFonts w:ascii="Times New Roman" w:eastAsia="Calibri" w:hAnsi="Times New Roman" w:cs="Times New Roman"/>
        </w:rPr>
        <w:tab/>
        <w:t>Lack of Commission jurisdiction or improper service of the pleading initiating the proceeding.</w:t>
      </w:r>
    </w:p>
    <w:p w14:paraId="4E59051C" w14:textId="77777777" w:rsidR="00E175D1" w:rsidRPr="002D2754" w:rsidRDefault="00E175D1" w:rsidP="00E175D1">
      <w:pPr>
        <w:autoSpaceDE/>
        <w:autoSpaceDN/>
        <w:ind w:left="1440" w:right="1440"/>
        <w:contextualSpacing/>
        <w:rPr>
          <w:rFonts w:ascii="Times New Roman" w:eastAsia="Calibri" w:hAnsi="Times New Roman" w:cs="Times New Roman"/>
        </w:rPr>
      </w:pPr>
    </w:p>
    <w:p w14:paraId="4825D6CB" w14:textId="77777777" w:rsidR="00E175D1" w:rsidRPr="002D2754" w:rsidRDefault="00E175D1" w:rsidP="00E175D1">
      <w:pPr>
        <w:autoSpaceDE/>
        <w:autoSpaceDN/>
        <w:ind w:left="1440" w:right="1440"/>
        <w:contextualSpacing/>
        <w:rPr>
          <w:rFonts w:ascii="Times New Roman" w:eastAsia="Calibri" w:hAnsi="Times New Roman" w:cs="Times New Roman"/>
        </w:rPr>
      </w:pPr>
      <w:r w:rsidRPr="002D2754">
        <w:rPr>
          <w:rFonts w:ascii="Times New Roman" w:eastAsia="Calibri" w:hAnsi="Times New Roman" w:cs="Times New Roman"/>
        </w:rPr>
        <w:tab/>
        <w:t>(2)</w:t>
      </w:r>
      <w:r w:rsidRPr="002D2754">
        <w:rPr>
          <w:rFonts w:ascii="Times New Roman" w:eastAsia="Calibri" w:hAnsi="Times New Roman" w:cs="Times New Roman"/>
        </w:rPr>
        <w:tab/>
        <w:t>Failure of a pleading to conform to this chapter or the inclusion of scandalous or impertinent matter.</w:t>
      </w:r>
    </w:p>
    <w:p w14:paraId="6EADF87E" w14:textId="77777777" w:rsidR="00E175D1" w:rsidRPr="002D2754" w:rsidRDefault="00E175D1" w:rsidP="00E175D1">
      <w:pPr>
        <w:autoSpaceDE/>
        <w:autoSpaceDN/>
        <w:ind w:left="1440" w:right="1440"/>
        <w:contextualSpacing/>
        <w:rPr>
          <w:rFonts w:ascii="Times New Roman" w:eastAsia="Calibri" w:hAnsi="Times New Roman" w:cs="Times New Roman"/>
        </w:rPr>
      </w:pPr>
    </w:p>
    <w:p w14:paraId="2322F64E" w14:textId="77777777" w:rsidR="00E175D1" w:rsidRPr="002D2754" w:rsidRDefault="00E175D1" w:rsidP="00E175D1">
      <w:pPr>
        <w:autoSpaceDE/>
        <w:autoSpaceDN/>
        <w:ind w:left="1440" w:right="1440"/>
        <w:contextualSpacing/>
        <w:rPr>
          <w:rFonts w:ascii="Times New Roman" w:eastAsia="Calibri" w:hAnsi="Times New Roman" w:cs="Times New Roman"/>
        </w:rPr>
      </w:pPr>
      <w:r w:rsidRPr="002D2754">
        <w:rPr>
          <w:rFonts w:ascii="Times New Roman" w:eastAsia="Calibri" w:hAnsi="Times New Roman" w:cs="Times New Roman"/>
        </w:rPr>
        <w:tab/>
        <w:t>(3)</w:t>
      </w:r>
      <w:r w:rsidRPr="002D2754">
        <w:rPr>
          <w:rFonts w:ascii="Times New Roman" w:eastAsia="Calibri" w:hAnsi="Times New Roman" w:cs="Times New Roman"/>
        </w:rPr>
        <w:tab/>
        <w:t>Insufficient specificity of a pleading.</w:t>
      </w:r>
    </w:p>
    <w:p w14:paraId="0F4FE3FB" w14:textId="77777777" w:rsidR="00E175D1" w:rsidRPr="002D2754" w:rsidRDefault="00E175D1" w:rsidP="00E175D1">
      <w:pPr>
        <w:autoSpaceDE/>
        <w:autoSpaceDN/>
        <w:ind w:left="1440" w:right="1440"/>
        <w:contextualSpacing/>
        <w:rPr>
          <w:rFonts w:ascii="Times New Roman" w:eastAsia="Calibri" w:hAnsi="Times New Roman" w:cs="Times New Roman"/>
        </w:rPr>
      </w:pPr>
    </w:p>
    <w:p w14:paraId="06E9DF44" w14:textId="77777777" w:rsidR="00E175D1" w:rsidRPr="002D2754" w:rsidRDefault="00E175D1" w:rsidP="00E175D1">
      <w:pPr>
        <w:autoSpaceDE/>
        <w:autoSpaceDN/>
        <w:ind w:left="1440" w:right="1440"/>
        <w:contextualSpacing/>
        <w:rPr>
          <w:rFonts w:ascii="Times New Roman" w:eastAsia="Calibri" w:hAnsi="Times New Roman" w:cs="Times New Roman"/>
        </w:rPr>
      </w:pPr>
      <w:r w:rsidRPr="002D2754">
        <w:rPr>
          <w:rFonts w:ascii="Times New Roman" w:eastAsia="Calibri" w:hAnsi="Times New Roman" w:cs="Times New Roman"/>
        </w:rPr>
        <w:lastRenderedPageBreak/>
        <w:tab/>
        <w:t>(4)</w:t>
      </w:r>
      <w:r w:rsidRPr="002D2754">
        <w:rPr>
          <w:rFonts w:ascii="Times New Roman" w:eastAsia="Calibri" w:hAnsi="Times New Roman" w:cs="Times New Roman"/>
        </w:rPr>
        <w:tab/>
        <w:t>Legal insufficiency of a pleading.</w:t>
      </w:r>
    </w:p>
    <w:p w14:paraId="5526E754" w14:textId="77777777" w:rsidR="00E175D1" w:rsidRPr="002D2754" w:rsidRDefault="00E175D1" w:rsidP="00E175D1">
      <w:pPr>
        <w:autoSpaceDE/>
        <w:autoSpaceDN/>
        <w:ind w:left="1440" w:right="1440"/>
        <w:contextualSpacing/>
        <w:rPr>
          <w:rFonts w:ascii="Times New Roman" w:eastAsia="Calibri" w:hAnsi="Times New Roman" w:cs="Times New Roman"/>
        </w:rPr>
      </w:pPr>
    </w:p>
    <w:p w14:paraId="50856120" w14:textId="77777777" w:rsidR="00E175D1" w:rsidRPr="002D2754" w:rsidRDefault="00E175D1" w:rsidP="00E175D1">
      <w:pPr>
        <w:autoSpaceDE/>
        <w:autoSpaceDN/>
        <w:ind w:left="1440" w:right="1440"/>
        <w:contextualSpacing/>
        <w:rPr>
          <w:rFonts w:ascii="Times New Roman" w:eastAsia="Calibri" w:hAnsi="Times New Roman" w:cs="Times New Roman"/>
        </w:rPr>
      </w:pPr>
      <w:r w:rsidRPr="002D2754">
        <w:rPr>
          <w:rFonts w:ascii="Times New Roman" w:eastAsia="Calibri" w:hAnsi="Times New Roman" w:cs="Times New Roman"/>
        </w:rPr>
        <w:tab/>
        <w:t>(5)</w:t>
      </w:r>
      <w:r w:rsidRPr="002D2754">
        <w:rPr>
          <w:rFonts w:ascii="Times New Roman" w:eastAsia="Calibri" w:hAnsi="Times New Roman" w:cs="Times New Roman"/>
        </w:rPr>
        <w:tab/>
        <w:t>Lack of capacity to sue, nonjoinder of a necessary party or misjoinder of a cause of action.</w:t>
      </w:r>
    </w:p>
    <w:p w14:paraId="27EBD9C6" w14:textId="77777777" w:rsidR="00E175D1" w:rsidRPr="002D2754" w:rsidRDefault="00E175D1" w:rsidP="00E175D1">
      <w:pPr>
        <w:autoSpaceDE/>
        <w:autoSpaceDN/>
        <w:ind w:left="1440" w:right="1440"/>
        <w:contextualSpacing/>
        <w:rPr>
          <w:rFonts w:ascii="Times New Roman" w:eastAsia="Calibri" w:hAnsi="Times New Roman" w:cs="Times New Roman"/>
        </w:rPr>
      </w:pPr>
    </w:p>
    <w:p w14:paraId="1E0E4FE8" w14:textId="77777777" w:rsidR="00E175D1" w:rsidRPr="002D2754" w:rsidRDefault="00E175D1" w:rsidP="00E175D1">
      <w:pPr>
        <w:autoSpaceDE/>
        <w:autoSpaceDN/>
        <w:ind w:left="1440" w:right="1440"/>
        <w:contextualSpacing/>
        <w:rPr>
          <w:rFonts w:ascii="Times New Roman" w:eastAsia="Calibri" w:hAnsi="Times New Roman" w:cs="Times New Roman"/>
        </w:rPr>
      </w:pPr>
      <w:r w:rsidRPr="002D2754">
        <w:rPr>
          <w:rFonts w:ascii="Times New Roman" w:eastAsia="Calibri" w:hAnsi="Times New Roman" w:cs="Times New Roman"/>
        </w:rPr>
        <w:tab/>
        <w:t>(6)</w:t>
      </w:r>
      <w:r w:rsidRPr="002D2754">
        <w:rPr>
          <w:rFonts w:ascii="Times New Roman" w:eastAsia="Calibri" w:hAnsi="Times New Roman" w:cs="Times New Roman"/>
        </w:rPr>
        <w:tab/>
        <w:t>Pendency of a prior proceeding or agreement for alternative dispute resolution.</w:t>
      </w:r>
    </w:p>
    <w:p w14:paraId="261C3BFE" w14:textId="77777777" w:rsidR="00E175D1" w:rsidRPr="002D2754" w:rsidRDefault="00E175D1" w:rsidP="00E175D1">
      <w:pPr>
        <w:autoSpaceDE/>
        <w:autoSpaceDN/>
        <w:ind w:left="1440" w:right="1440"/>
        <w:contextualSpacing/>
        <w:rPr>
          <w:rFonts w:ascii="Times New Roman" w:eastAsia="Calibri" w:hAnsi="Times New Roman" w:cs="Times New Roman"/>
        </w:rPr>
      </w:pPr>
    </w:p>
    <w:p w14:paraId="24364868" w14:textId="77777777" w:rsidR="00E175D1" w:rsidRPr="002D2754" w:rsidRDefault="00E175D1" w:rsidP="00E175D1">
      <w:pPr>
        <w:autoSpaceDE/>
        <w:autoSpaceDN/>
        <w:ind w:left="1440" w:right="1440"/>
        <w:contextualSpacing/>
        <w:rPr>
          <w:rFonts w:ascii="Times New Roman" w:eastAsia="Calibri" w:hAnsi="Times New Roman" w:cs="Times New Roman"/>
        </w:rPr>
      </w:pPr>
      <w:r w:rsidRPr="002D2754">
        <w:rPr>
          <w:rFonts w:ascii="Times New Roman" w:eastAsia="Calibri" w:hAnsi="Times New Roman" w:cs="Times New Roman"/>
        </w:rPr>
        <w:tab/>
        <w:t>(7)</w:t>
      </w:r>
      <w:r w:rsidRPr="002D2754">
        <w:rPr>
          <w:rFonts w:ascii="Times New Roman" w:eastAsia="Calibri" w:hAnsi="Times New Roman" w:cs="Times New Roman"/>
        </w:rPr>
        <w:tab/>
        <w:t>Standing of a party to participate in the proceeding.</w:t>
      </w:r>
    </w:p>
    <w:p w14:paraId="51847C0C" w14:textId="77777777" w:rsidR="00E175D1" w:rsidRPr="002D2754" w:rsidRDefault="00E175D1" w:rsidP="00E175D1">
      <w:pPr>
        <w:autoSpaceDE/>
        <w:autoSpaceDN/>
        <w:spacing w:line="360" w:lineRule="auto"/>
        <w:rPr>
          <w:rFonts w:ascii="Times New Roman" w:eastAsia="Calibri" w:hAnsi="Times New Roman" w:cs="Times New Roman"/>
        </w:rPr>
      </w:pPr>
    </w:p>
    <w:p w14:paraId="6297B006" w14:textId="77777777" w:rsidR="00E175D1" w:rsidRPr="002D2754" w:rsidRDefault="00E175D1" w:rsidP="00E175D1">
      <w:pPr>
        <w:autoSpaceDE/>
        <w:autoSpaceDN/>
        <w:spacing w:line="360" w:lineRule="auto"/>
        <w:rPr>
          <w:rFonts w:ascii="Times New Roman" w:eastAsia="Calibri" w:hAnsi="Times New Roman" w:cs="Times New Roman"/>
        </w:rPr>
      </w:pPr>
      <w:r w:rsidRPr="002D2754">
        <w:rPr>
          <w:rFonts w:ascii="Times New Roman" w:eastAsia="Calibri" w:hAnsi="Times New Roman" w:cs="Times New Roman"/>
        </w:rPr>
        <w:t xml:space="preserve">52 Pa. Code § 5.101(a).  </w:t>
      </w:r>
    </w:p>
    <w:p w14:paraId="7048C3F2" w14:textId="77777777" w:rsidR="00E175D1" w:rsidRPr="002D2754" w:rsidRDefault="00E175D1" w:rsidP="00E175D1">
      <w:pPr>
        <w:widowControl w:val="0"/>
        <w:adjustRightInd w:val="0"/>
        <w:spacing w:line="360" w:lineRule="auto"/>
        <w:ind w:right="200"/>
        <w:rPr>
          <w:rFonts w:ascii="Times New Roman" w:hAnsi="Times New Roman" w:cs="Times New Roman"/>
          <w:color w:val="000000"/>
        </w:rPr>
      </w:pPr>
    </w:p>
    <w:p w14:paraId="32921F17" w14:textId="77777777" w:rsidR="00E175D1" w:rsidRDefault="00E175D1" w:rsidP="00E175D1">
      <w:pPr>
        <w:autoSpaceDE/>
        <w:autoSpaceDN/>
        <w:spacing w:line="360" w:lineRule="auto"/>
        <w:ind w:firstLine="1440"/>
        <w:rPr>
          <w:rFonts w:ascii="Times New Roman" w:hAnsi="Times New Roman" w:cs="Times New Roman"/>
        </w:rPr>
      </w:pPr>
      <w:r w:rsidRPr="002D2754">
        <w:rPr>
          <w:rFonts w:ascii="Times New Roman" w:eastAsia="Calibri" w:hAnsi="Times New Roman" w:cs="Times New Roman"/>
        </w:rPr>
        <w:t xml:space="preserve">In deciding the preliminary objections, the Commission must determine whether, based on well-pleaded factual averments of the Complainant, recovery or relief is possible.  </w:t>
      </w:r>
      <w:r w:rsidRPr="002D2754">
        <w:rPr>
          <w:rFonts w:ascii="Times New Roman" w:eastAsia="Calibri" w:hAnsi="Times New Roman" w:cs="Times New Roman"/>
          <w:i/>
        </w:rPr>
        <w:t>Dept. of Auditor General v. S</w:t>
      </w:r>
      <w:r>
        <w:rPr>
          <w:rFonts w:ascii="Times New Roman" w:eastAsia="Calibri" w:hAnsi="Times New Roman" w:cs="Times New Roman"/>
          <w:i/>
        </w:rPr>
        <w:t xml:space="preserve">tate </w:t>
      </w:r>
      <w:r w:rsidRPr="002D2754">
        <w:rPr>
          <w:rFonts w:ascii="Times New Roman" w:eastAsia="Calibri" w:hAnsi="Times New Roman" w:cs="Times New Roman"/>
          <w:i/>
        </w:rPr>
        <w:t>E</w:t>
      </w:r>
      <w:r>
        <w:rPr>
          <w:rFonts w:ascii="Times New Roman" w:eastAsia="Calibri" w:hAnsi="Times New Roman" w:cs="Times New Roman"/>
          <w:i/>
        </w:rPr>
        <w:t xml:space="preserve">mployees’ </w:t>
      </w:r>
      <w:r w:rsidRPr="002D2754">
        <w:rPr>
          <w:rFonts w:ascii="Times New Roman" w:eastAsia="Calibri" w:hAnsi="Times New Roman" w:cs="Times New Roman"/>
          <w:i/>
        </w:rPr>
        <w:t>R</w:t>
      </w:r>
      <w:r>
        <w:rPr>
          <w:rFonts w:ascii="Times New Roman" w:eastAsia="Calibri" w:hAnsi="Times New Roman" w:cs="Times New Roman"/>
          <w:i/>
        </w:rPr>
        <w:t xml:space="preserve">etirement </w:t>
      </w:r>
      <w:r w:rsidRPr="002D2754">
        <w:rPr>
          <w:rFonts w:ascii="Times New Roman" w:eastAsia="Calibri" w:hAnsi="Times New Roman" w:cs="Times New Roman"/>
          <w:i/>
        </w:rPr>
        <w:t>S</w:t>
      </w:r>
      <w:r>
        <w:rPr>
          <w:rFonts w:ascii="Times New Roman" w:eastAsia="Calibri" w:hAnsi="Times New Roman" w:cs="Times New Roman"/>
          <w:i/>
        </w:rPr>
        <w:t>ystem</w:t>
      </w:r>
      <w:r w:rsidRPr="002D2754">
        <w:rPr>
          <w:rFonts w:ascii="Times New Roman" w:eastAsia="Calibri" w:hAnsi="Times New Roman" w:cs="Times New Roman"/>
          <w:i/>
        </w:rPr>
        <w:t xml:space="preserve">, </w:t>
      </w:r>
      <w:r w:rsidRPr="002D2754">
        <w:rPr>
          <w:rFonts w:ascii="Times New Roman" w:eastAsia="Calibri" w:hAnsi="Times New Roman" w:cs="Times New Roman"/>
        </w:rPr>
        <w:t>836 A.2d 1053, 1064 (Pa.</w:t>
      </w:r>
      <w:r>
        <w:rPr>
          <w:rFonts w:ascii="Times New Roman" w:eastAsia="Calibri" w:hAnsi="Times New Roman" w:cs="Times New Roman"/>
        </w:rPr>
        <w:t> </w:t>
      </w:r>
      <w:r w:rsidRPr="002D2754">
        <w:rPr>
          <w:rFonts w:ascii="Times New Roman" w:eastAsia="Calibri" w:hAnsi="Times New Roman" w:cs="Times New Roman"/>
        </w:rPr>
        <w:t xml:space="preserve">Cmwlth. 2003); </w:t>
      </w:r>
      <w:r w:rsidRPr="002D2754">
        <w:rPr>
          <w:rFonts w:ascii="Times New Roman" w:eastAsia="Calibri" w:hAnsi="Times New Roman" w:cs="Times New Roman"/>
          <w:i/>
        </w:rPr>
        <w:t>P.J.S. v.  State Ethics Comm’n,</w:t>
      </w:r>
      <w:r w:rsidRPr="002D2754">
        <w:rPr>
          <w:rFonts w:ascii="Times New Roman" w:eastAsia="Calibri" w:hAnsi="Times New Roman" w:cs="Times New Roman"/>
        </w:rPr>
        <w:t xml:space="preserve"> 669 A.2d 1105 (Pa.</w:t>
      </w:r>
      <w:r>
        <w:rPr>
          <w:rFonts w:ascii="Times New Roman" w:eastAsia="Calibri" w:hAnsi="Times New Roman" w:cs="Times New Roman"/>
        </w:rPr>
        <w:t xml:space="preserve"> </w:t>
      </w:r>
      <w:r w:rsidRPr="002D2754">
        <w:rPr>
          <w:rFonts w:ascii="Times New Roman" w:eastAsia="Calibri" w:hAnsi="Times New Roman" w:cs="Times New Roman"/>
        </w:rPr>
        <w:t>Cmwlth. 1996).</w:t>
      </w:r>
      <w:r>
        <w:rPr>
          <w:rFonts w:ascii="Times New Roman" w:eastAsia="Calibri" w:hAnsi="Times New Roman" w:cs="Times New Roman"/>
        </w:rPr>
        <w:t xml:space="preserve">  </w:t>
      </w:r>
      <w:r w:rsidRPr="00AF6A27">
        <w:rPr>
          <w:rFonts w:ascii="Times New Roman" w:hAnsi="Times New Roman" w:cs="Times New Roman"/>
        </w:rPr>
        <w:t>The Commission may not rely upon the factual assertions of the moving party</w:t>
      </w:r>
      <w:r>
        <w:rPr>
          <w:rFonts w:ascii="Times New Roman" w:hAnsi="Times New Roman" w:cs="Times New Roman"/>
        </w:rPr>
        <w:t xml:space="preserve"> (PGW)</w:t>
      </w:r>
      <w:r w:rsidRPr="00AF6A27">
        <w:rPr>
          <w:rFonts w:ascii="Times New Roman" w:hAnsi="Times New Roman" w:cs="Times New Roman"/>
        </w:rPr>
        <w:t xml:space="preserve"> but must accept as true, for purposes of disposing of the motion, all well pleaded, material facts of the nonmoving party</w:t>
      </w:r>
      <w:r>
        <w:rPr>
          <w:rFonts w:ascii="Times New Roman" w:hAnsi="Times New Roman" w:cs="Times New Roman"/>
        </w:rPr>
        <w:t xml:space="preserve"> (Complainant)</w:t>
      </w:r>
      <w:r w:rsidRPr="00AF6A27">
        <w:rPr>
          <w:rFonts w:ascii="Times New Roman" w:hAnsi="Times New Roman" w:cs="Times New Roman"/>
        </w:rPr>
        <w:t xml:space="preserve">, as well as every reasonable inference from those facts.  </w:t>
      </w:r>
      <w:r w:rsidRPr="002D2754">
        <w:rPr>
          <w:rFonts w:ascii="Times New Roman" w:hAnsi="Times New Roman" w:cs="Times New Roman"/>
          <w:i/>
        </w:rPr>
        <w:t>County of Allegheny v. Commonwealth</w:t>
      </w:r>
      <w:r w:rsidRPr="00AF6A27">
        <w:rPr>
          <w:rFonts w:ascii="Times New Roman" w:hAnsi="Times New Roman" w:cs="Times New Roman"/>
        </w:rPr>
        <w:t xml:space="preserve">, 490 A. 2d 402 (Pa. 1985); </w:t>
      </w:r>
      <w:r w:rsidRPr="002D2754">
        <w:rPr>
          <w:rFonts w:ascii="Times New Roman" w:hAnsi="Times New Roman" w:cs="Times New Roman"/>
          <w:i/>
        </w:rPr>
        <w:t>Commonwealth v. Bell Telephone Co. of Pa.</w:t>
      </w:r>
      <w:r w:rsidRPr="00AF6A27">
        <w:rPr>
          <w:rFonts w:ascii="Times New Roman" w:hAnsi="Times New Roman" w:cs="Times New Roman"/>
        </w:rPr>
        <w:t xml:space="preserve">, 551 A.2d 602 (Pa.Cmwlth. 1988).  The Commission must view the complaint in this case in the light most favorable to the Complainant and should dismiss the complaint only if it appears that the Complainant would not be entitled to relief under any circumstances as a matter of law.  </w:t>
      </w:r>
      <w:r w:rsidRPr="002D2754">
        <w:rPr>
          <w:rFonts w:ascii="Times New Roman" w:hAnsi="Times New Roman" w:cs="Times New Roman"/>
          <w:i/>
        </w:rPr>
        <w:t>Equitable Small Transportation Intervenors v. Equitable Gas Company</w:t>
      </w:r>
      <w:r w:rsidRPr="00AF6A27">
        <w:rPr>
          <w:rFonts w:ascii="Times New Roman" w:hAnsi="Times New Roman" w:cs="Times New Roman"/>
        </w:rPr>
        <w:t>, 1994 Pa PUC LEXIS 69, Docket No. C-00935435 (July 18, 1994).</w:t>
      </w:r>
    </w:p>
    <w:p w14:paraId="4B76F16F" w14:textId="77777777" w:rsidR="007D0B97" w:rsidRDefault="007D0B97" w:rsidP="00357609">
      <w:pPr>
        <w:pStyle w:val="ParaTab1"/>
        <w:spacing w:line="360" w:lineRule="auto"/>
      </w:pPr>
    </w:p>
    <w:p w14:paraId="24865B48" w14:textId="1362AC41" w:rsidR="00357609" w:rsidRDefault="00357609" w:rsidP="00357609">
      <w:pPr>
        <w:pStyle w:val="ParaTab1"/>
        <w:spacing w:line="360" w:lineRule="auto"/>
      </w:pPr>
      <w:r w:rsidRPr="004856C4">
        <w:t xml:space="preserve">As a creature of legislation, the Commission possesses only the authority the state legislature has specifically granted to it in the Public Utility Code.  66 Pa. C.S. §101 </w:t>
      </w:r>
      <w:r w:rsidRPr="004856C4">
        <w:rPr>
          <w:i/>
        </w:rPr>
        <w:t>et seq</w:t>
      </w:r>
      <w:r w:rsidRPr="004856C4">
        <w:t xml:space="preserve">.  </w:t>
      </w:r>
      <w:r w:rsidRPr="00723ECB">
        <w:rPr>
          <w:i/>
          <w:szCs w:val="20"/>
        </w:rPr>
        <w:t>Feingold v. Bell of Pennsylvania,</w:t>
      </w:r>
      <w:r w:rsidRPr="00723ECB">
        <w:rPr>
          <w:szCs w:val="20"/>
        </w:rPr>
        <w:t xml:space="preserve"> 383 A.2d 791 (Pa. 1977)</w:t>
      </w:r>
      <w:r>
        <w:rPr>
          <w:szCs w:val="20"/>
        </w:rPr>
        <w:t xml:space="preserve">.  </w:t>
      </w:r>
      <w:r w:rsidRPr="004856C4">
        <w:t xml:space="preserve">The Commission must act within and cannot exceed its jurisdiction.  </w:t>
      </w:r>
      <w:r w:rsidRPr="00723ECB">
        <w:rPr>
          <w:i/>
          <w:szCs w:val="20"/>
        </w:rPr>
        <w:t>City of Pittsburgh v. Pa. Pub. Util. Comm’n</w:t>
      </w:r>
      <w:r w:rsidRPr="00723ECB">
        <w:rPr>
          <w:szCs w:val="20"/>
        </w:rPr>
        <w:t>, 43 A.2d 348 (Pa.</w:t>
      </w:r>
      <w:r>
        <w:rPr>
          <w:szCs w:val="20"/>
        </w:rPr>
        <w:t xml:space="preserve"> </w:t>
      </w:r>
      <w:r w:rsidRPr="00723ECB">
        <w:rPr>
          <w:szCs w:val="20"/>
        </w:rPr>
        <w:t>Super. 1945)</w:t>
      </w:r>
      <w:r>
        <w:rPr>
          <w:szCs w:val="20"/>
        </w:rPr>
        <w:t xml:space="preserve">.  </w:t>
      </w:r>
      <w:r w:rsidRPr="004856C4">
        <w:t xml:space="preserve">Jurisdiction may not be conferred by the parties where none exists.  </w:t>
      </w:r>
      <w:r w:rsidRPr="004856C4">
        <w:rPr>
          <w:i/>
        </w:rPr>
        <w:t>Roberts</w:t>
      </w:r>
      <w:r>
        <w:rPr>
          <w:i/>
        </w:rPr>
        <w:t> </w:t>
      </w:r>
      <w:r w:rsidRPr="004856C4">
        <w:rPr>
          <w:i/>
        </w:rPr>
        <w:t>v. Matorano</w:t>
      </w:r>
      <w:r w:rsidRPr="004856C4">
        <w:t>,</w:t>
      </w:r>
      <w:r>
        <w:t xml:space="preserve"> </w:t>
      </w:r>
      <w:r w:rsidRPr="004856C4">
        <w:t>235 A.2d 602 (</w:t>
      </w:r>
      <w:r>
        <w:t xml:space="preserve">Pa. </w:t>
      </w:r>
      <w:r w:rsidRPr="004856C4">
        <w:t xml:space="preserve">1967).  </w:t>
      </w:r>
    </w:p>
    <w:p w14:paraId="33CB0A4F" w14:textId="77777777" w:rsidR="00357609" w:rsidRDefault="00357609" w:rsidP="00E175D1">
      <w:pPr>
        <w:pStyle w:val="ParaTab1"/>
        <w:spacing w:line="360" w:lineRule="auto"/>
        <w:ind w:firstLine="0"/>
      </w:pPr>
    </w:p>
    <w:p w14:paraId="1FF655A8" w14:textId="120C523E" w:rsidR="008054FA" w:rsidRDefault="00B143CD" w:rsidP="00E175D1">
      <w:pPr>
        <w:pStyle w:val="ParaTab1"/>
        <w:spacing w:line="360" w:lineRule="auto"/>
        <w:ind w:firstLine="0"/>
      </w:pPr>
      <w:r>
        <w:lastRenderedPageBreak/>
        <w:tab/>
      </w:r>
      <w:r>
        <w:tab/>
        <w:t>Viewing the Complaint in the light most favorable to the Complainant, the Complainant alleges that</w:t>
      </w:r>
      <w:r w:rsidR="009B66F1">
        <w:t xml:space="preserve"> PGW compelled her to assume an incorrect bill in 2018, and that she originally raised concerns about th</w:t>
      </w:r>
      <w:r w:rsidR="007D0B97">
        <w:t>is</w:t>
      </w:r>
      <w:r w:rsidR="009B66F1">
        <w:t xml:space="preserve"> bill in 2015.  Additionally, the Complainant indicated </w:t>
      </w:r>
      <w:r w:rsidR="00EE1168">
        <w:t>that a hearing was scheduled to address these charges in 2020</w:t>
      </w:r>
      <w:r w:rsidR="0069160D">
        <w:t xml:space="preserve">, and that she </w:t>
      </w:r>
      <w:r w:rsidR="008949C3">
        <w:t>failed to attend</w:t>
      </w:r>
      <w:r w:rsidR="0069160D">
        <w:t xml:space="preserve"> the</w:t>
      </w:r>
      <w:r w:rsidR="00AA2705">
        <w:t xml:space="preserve"> scheduled</w:t>
      </w:r>
      <w:r w:rsidR="0069160D">
        <w:t xml:space="preserve"> hearing.</w:t>
      </w:r>
      <w:r w:rsidR="005A1EDB">
        <w:t xml:space="preserve">  </w:t>
      </w:r>
      <w:r w:rsidR="00C37141">
        <w:t>Regarding this prior hearing, t</w:t>
      </w:r>
      <w:r w:rsidR="005A1EDB">
        <w:t xml:space="preserve">he Complainant attached several documents to her Complaint, including </w:t>
      </w:r>
      <w:r w:rsidR="00A53123">
        <w:t xml:space="preserve">PGW’s Answer </w:t>
      </w:r>
      <w:r w:rsidR="00113022">
        <w:t xml:space="preserve">and New Matter </w:t>
      </w:r>
      <w:r w:rsidR="00A53123">
        <w:t>and Preliminary Objection</w:t>
      </w:r>
      <w:r w:rsidR="00113022">
        <w:t>s</w:t>
      </w:r>
      <w:r w:rsidR="00A53123">
        <w:t xml:space="preserve"> to her prior Formal Complaint at Docket No. F-2019-3013070</w:t>
      </w:r>
      <w:r w:rsidR="00113022">
        <w:t xml:space="preserve">, </w:t>
      </w:r>
      <w:r w:rsidR="000372EF">
        <w:t xml:space="preserve">as well as a Prehearing Order issued by Administrative Law Judge Marta Guhl on December 10, 2019.  </w:t>
      </w:r>
    </w:p>
    <w:p w14:paraId="7B099ED4" w14:textId="77777777" w:rsidR="008054FA" w:rsidRDefault="008054FA" w:rsidP="00E175D1">
      <w:pPr>
        <w:pStyle w:val="ParaTab1"/>
        <w:spacing w:line="360" w:lineRule="auto"/>
        <w:ind w:firstLine="0"/>
      </w:pPr>
    </w:p>
    <w:p w14:paraId="6B8B7D72" w14:textId="00EEEB4C" w:rsidR="008054FA" w:rsidRPr="000C2656" w:rsidRDefault="008054FA" w:rsidP="00A272EC">
      <w:pPr>
        <w:pStyle w:val="NoSpacing"/>
        <w:spacing w:line="360" w:lineRule="auto"/>
        <w:ind w:firstLine="1440"/>
        <w:rPr>
          <w:strike/>
          <w:szCs w:val="24"/>
        </w:rPr>
      </w:pPr>
      <w:r>
        <w:t>Regarding the limitation of actions and cumulation of remedies, the Public Utility Code provides in pertinent part that:</w:t>
      </w:r>
    </w:p>
    <w:p w14:paraId="61586DFB" w14:textId="77777777" w:rsidR="008054FA" w:rsidRDefault="008054FA" w:rsidP="008054FA">
      <w:pPr>
        <w:pStyle w:val="NoSpacing"/>
      </w:pPr>
    </w:p>
    <w:p w14:paraId="188021DC" w14:textId="77777777" w:rsidR="008054FA" w:rsidRDefault="008054FA" w:rsidP="008054FA">
      <w:pPr>
        <w:pStyle w:val="NoSpacing"/>
        <w:ind w:left="1440" w:right="1440"/>
      </w:pPr>
      <w:r>
        <w:t xml:space="preserve">No action for the recovery of any penalties or forfeitures incurred under the provisions of this part, and no prosecutions on account of any matter or thing mentioned in this part, </w:t>
      </w:r>
      <w:r w:rsidRPr="00CA2B98">
        <w:t>shall be maintained</w:t>
      </w:r>
      <w:r w:rsidRPr="003E28DC">
        <w:rPr>
          <w:b/>
          <w:bCs/>
        </w:rPr>
        <w:t xml:space="preserve"> unless brought within three years from the date at which the liability therefore arose</w:t>
      </w:r>
      <w:r>
        <w:t xml:space="preserve">.  </w:t>
      </w:r>
    </w:p>
    <w:p w14:paraId="069FA913" w14:textId="77777777" w:rsidR="008054FA" w:rsidRDefault="008054FA" w:rsidP="0077503D">
      <w:pPr>
        <w:pStyle w:val="NoSpacing"/>
        <w:spacing w:line="360" w:lineRule="auto"/>
      </w:pPr>
    </w:p>
    <w:p w14:paraId="77B39D51" w14:textId="58E51D10" w:rsidR="00B807F5" w:rsidRDefault="008054FA" w:rsidP="008054FA">
      <w:pPr>
        <w:pStyle w:val="ParaTab1"/>
        <w:spacing w:line="360" w:lineRule="auto"/>
        <w:ind w:firstLine="0"/>
      </w:pPr>
      <w:r w:rsidRPr="00FE1CB9">
        <w:t>66 Pa.C.S. § 3314</w:t>
      </w:r>
      <w:r>
        <w:t xml:space="preserve">(a)(emphasis added).  </w:t>
      </w:r>
      <w:r w:rsidR="00AB75B5">
        <w:t xml:space="preserve">This means that the </w:t>
      </w:r>
      <w:r w:rsidR="003817A5">
        <w:t>liability</w:t>
      </w:r>
      <w:r w:rsidR="00E543E5">
        <w:t xml:space="preserve"> at issue</w:t>
      </w:r>
      <w:r w:rsidR="00AB75B5">
        <w:t xml:space="preserve"> would have had to </w:t>
      </w:r>
      <w:r w:rsidR="003817A5">
        <w:t xml:space="preserve">have </w:t>
      </w:r>
      <w:r w:rsidR="00AB75B5">
        <w:t xml:space="preserve">occurred </w:t>
      </w:r>
      <w:r w:rsidR="00084161">
        <w:t xml:space="preserve">within the </w:t>
      </w:r>
      <w:r w:rsidR="00C62B69">
        <w:t>three-year</w:t>
      </w:r>
      <w:r w:rsidR="00084161">
        <w:t xml:space="preserve"> period prior to the date the Complainant filed her Complaint.  In this instance,</w:t>
      </w:r>
      <w:r w:rsidR="00D61108">
        <w:t xml:space="preserve"> the </w:t>
      </w:r>
      <w:r w:rsidR="003817A5">
        <w:t>liability</w:t>
      </w:r>
      <w:r w:rsidR="00D61108">
        <w:t xml:space="preserve"> would have had to have arisen on or after April 3, 2020 for </w:t>
      </w:r>
      <w:r w:rsidR="00AE16AF">
        <w:t>it to fall within the</w:t>
      </w:r>
      <w:r w:rsidR="00923CB9">
        <w:t xml:space="preserve"> three-year</w:t>
      </w:r>
      <w:r w:rsidR="00AE16AF">
        <w:t xml:space="preserve"> statute of limitations.  </w:t>
      </w:r>
      <w:r>
        <w:t xml:space="preserve">Therefore, </w:t>
      </w:r>
      <w:r w:rsidR="00F83213">
        <w:t>any</w:t>
      </w:r>
      <w:r>
        <w:t xml:space="preserve"> billing issues the Complainant seeks to address</w:t>
      </w:r>
      <w:r w:rsidR="00F83213">
        <w:t xml:space="preserve"> that</w:t>
      </w:r>
      <w:r>
        <w:t xml:space="preserve"> occurred </w:t>
      </w:r>
      <w:r w:rsidR="0043387F">
        <w:t xml:space="preserve">in 2015 or 2018, which </w:t>
      </w:r>
      <w:r w:rsidR="00A272EC">
        <w:t>are</w:t>
      </w:r>
      <w:r w:rsidR="0043387F">
        <w:t xml:space="preserve"> </w:t>
      </w:r>
      <w:r>
        <w:t xml:space="preserve">beyond the </w:t>
      </w:r>
      <w:r w:rsidR="00F83213">
        <w:t xml:space="preserve">three-year </w:t>
      </w:r>
      <w:r>
        <w:t xml:space="preserve">statute of limitations set out at </w:t>
      </w:r>
      <w:r w:rsidRPr="00FE1CB9">
        <w:t>66 Pa.C.S. § 3314</w:t>
      </w:r>
      <w:r w:rsidR="00ED7846">
        <w:t xml:space="preserve"> and which</w:t>
      </w:r>
      <w:r w:rsidR="00451DF0">
        <w:t>, according to the Complainant</w:t>
      </w:r>
      <w:r w:rsidR="00ED7846">
        <w:t xml:space="preserve"> were already the subject of a prior Formal Complaint</w:t>
      </w:r>
      <w:r w:rsidR="00451DF0">
        <w:t xml:space="preserve"> </w:t>
      </w:r>
      <w:r w:rsidR="00393DB6">
        <w:t xml:space="preserve">she </w:t>
      </w:r>
      <w:r w:rsidR="00451DF0">
        <w:t>filed against PGW</w:t>
      </w:r>
      <w:r w:rsidR="00F83213">
        <w:t xml:space="preserve">, </w:t>
      </w:r>
      <w:r w:rsidR="005644BB">
        <w:t xml:space="preserve">are dismissed.  However, </w:t>
      </w:r>
      <w:r w:rsidR="00515525">
        <w:t xml:space="preserve">any </w:t>
      </w:r>
      <w:r w:rsidR="005644BB">
        <w:t xml:space="preserve">billing issues </w:t>
      </w:r>
      <w:r w:rsidR="00790FF0">
        <w:t xml:space="preserve">that arose </w:t>
      </w:r>
      <w:r w:rsidR="00803E0F">
        <w:t xml:space="preserve">at the service address </w:t>
      </w:r>
      <w:r w:rsidR="00790FF0">
        <w:t>within the statute of limi</w:t>
      </w:r>
      <w:r w:rsidR="00803E0F">
        <w:t>t</w:t>
      </w:r>
      <w:r w:rsidR="00790FF0">
        <w:t>ations</w:t>
      </w:r>
      <w:r>
        <w:t xml:space="preserve"> (i.e., if these billing issues arose </w:t>
      </w:r>
      <w:r w:rsidR="00803E0F" w:rsidRPr="00CA1C31">
        <w:rPr>
          <w:u w:val="single"/>
        </w:rPr>
        <w:t>on or after</w:t>
      </w:r>
      <w:r>
        <w:t xml:space="preserve"> </w:t>
      </w:r>
      <w:r w:rsidR="00591C4B">
        <w:t>April 3, 2020</w:t>
      </w:r>
      <w:r>
        <w:t>, which is three years to the day before the Complainant filed this Complaint), may be addressed during the</w:t>
      </w:r>
      <w:r w:rsidR="007A15E7">
        <w:t xml:space="preserve"> August 15, 2023</w:t>
      </w:r>
      <w:r>
        <w:t xml:space="preserve"> hearing.</w:t>
      </w:r>
      <w:r w:rsidR="000777FC">
        <w:t xml:space="preserve">  </w:t>
      </w:r>
    </w:p>
    <w:p w14:paraId="680ED22B" w14:textId="77777777" w:rsidR="00B807F5" w:rsidRDefault="00B807F5" w:rsidP="008054FA">
      <w:pPr>
        <w:pStyle w:val="ParaTab1"/>
        <w:spacing w:line="360" w:lineRule="auto"/>
        <w:ind w:firstLine="0"/>
      </w:pPr>
    </w:p>
    <w:p w14:paraId="3708E6D0" w14:textId="48D2F861" w:rsidR="008054FA" w:rsidRDefault="006155FA" w:rsidP="00B807F5">
      <w:pPr>
        <w:pStyle w:val="ParaTab1"/>
        <w:spacing w:line="360" w:lineRule="auto"/>
      </w:pPr>
      <w:r>
        <w:t>Additionally, since the Complainant also indicated that PGW was threatening to terminate</w:t>
      </w:r>
      <w:r w:rsidR="00D816A9">
        <w:t>, or had already terminated, her</w:t>
      </w:r>
      <w:r>
        <w:t xml:space="preserve"> </w:t>
      </w:r>
      <w:r w:rsidR="00B807F5">
        <w:t>gas service on or about April 3, 2023, p</w:t>
      </w:r>
      <w:r w:rsidR="00B807F5" w:rsidRPr="00BE4573">
        <w:t>roceedings with respect to this issue will continue.</w:t>
      </w:r>
    </w:p>
    <w:p w14:paraId="21294AC9" w14:textId="4F5A9D20" w:rsidR="00357609" w:rsidRDefault="00B25A50" w:rsidP="00E175D1">
      <w:pPr>
        <w:pStyle w:val="ParaTab1"/>
        <w:spacing w:line="360" w:lineRule="auto"/>
        <w:ind w:firstLine="0"/>
      </w:pPr>
      <w:r>
        <w:t xml:space="preserve">  </w:t>
      </w:r>
    </w:p>
    <w:p w14:paraId="554CF5C6" w14:textId="77777777" w:rsidR="003032CE" w:rsidRDefault="003032CE" w:rsidP="003032CE">
      <w:pPr>
        <w:spacing w:line="360" w:lineRule="auto"/>
        <w:jc w:val="center"/>
        <w:rPr>
          <w:rFonts w:ascii="Times New Roman" w:hAnsi="Times New Roman" w:cs="Times New Roman"/>
          <w:u w:val="single"/>
        </w:rPr>
      </w:pPr>
      <w:r w:rsidRPr="00FE1CB9">
        <w:rPr>
          <w:rFonts w:ascii="Times New Roman" w:hAnsi="Times New Roman" w:cs="Times New Roman"/>
          <w:u w:val="single"/>
        </w:rPr>
        <w:lastRenderedPageBreak/>
        <w:t>ORDER</w:t>
      </w:r>
    </w:p>
    <w:p w14:paraId="047D995B" w14:textId="77777777" w:rsidR="003032CE" w:rsidRPr="00FE1CB9" w:rsidRDefault="003032CE" w:rsidP="003032CE">
      <w:pPr>
        <w:spacing w:line="360" w:lineRule="auto"/>
        <w:rPr>
          <w:rFonts w:ascii="Times New Roman" w:hAnsi="Times New Roman" w:cs="Times New Roman"/>
          <w:u w:val="single"/>
        </w:rPr>
      </w:pPr>
    </w:p>
    <w:p w14:paraId="6170E52A" w14:textId="77777777" w:rsidR="003032CE" w:rsidRPr="00FE1CB9" w:rsidRDefault="003032CE" w:rsidP="003032CE">
      <w:pPr>
        <w:spacing w:line="360" w:lineRule="auto"/>
        <w:rPr>
          <w:rFonts w:ascii="Times New Roman" w:hAnsi="Times New Roman" w:cs="Times New Roman"/>
        </w:rPr>
      </w:pPr>
    </w:p>
    <w:p w14:paraId="4314636F" w14:textId="77777777" w:rsidR="003032CE" w:rsidRPr="00FE1CB9" w:rsidRDefault="003032CE" w:rsidP="003032CE">
      <w:pPr>
        <w:spacing w:line="360" w:lineRule="auto"/>
        <w:rPr>
          <w:rFonts w:ascii="Times New Roman" w:hAnsi="Times New Roman" w:cs="Times New Roman"/>
        </w:rPr>
      </w:pPr>
      <w:r w:rsidRPr="00FE1CB9">
        <w:rPr>
          <w:rFonts w:ascii="Times New Roman" w:hAnsi="Times New Roman" w:cs="Times New Roman"/>
        </w:rPr>
        <w:tab/>
      </w:r>
      <w:r w:rsidRPr="00FE1CB9">
        <w:rPr>
          <w:rFonts w:ascii="Times New Roman" w:hAnsi="Times New Roman" w:cs="Times New Roman"/>
        </w:rPr>
        <w:tab/>
        <w:t>THEREFORE,</w:t>
      </w:r>
    </w:p>
    <w:p w14:paraId="003777BD" w14:textId="77777777" w:rsidR="003032CE" w:rsidRPr="00FE1CB9" w:rsidRDefault="003032CE" w:rsidP="003032CE">
      <w:pPr>
        <w:rPr>
          <w:rFonts w:ascii="Times New Roman" w:hAnsi="Times New Roman" w:cs="Times New Roman"/>
        </w:rPr>
      </w:pPr>
    </w:p>
    <w:p w14:paraId="6AF93C0A" w14:textId="77777777" w:rsidR="003032CE" w:rsidRPr="00FE1CB9" w:rsidRDefault="003032CE" w:rsidP="003032CE">
      <w:pPr>
        <w:spacing w:line="360" w:lineRule="auto"/>
        <w:rPr>
          <w:rFonts w:ascii="Times New Roman" w:hAnsi="Times New Roman" w:cs="Times New Roman"/>
        </w:rPr>
      </w:pPr>
      <w:r w:rsidRPr="00FE1CB9">
        <w:rPr>
          <w:rFonts w:ascii="Times New Roman" w:hAnsi="Times New Roman" w:cs="Times New Roman"/>
        </w:rPr>
        <w:tab/>
      </w:r>
      <w:r w:rsidRPr="00FE1CB9">
        <w:rPr>
          <w:rFonts w:ascii="Times New Roman" w:hAnsi="Times New Roman" w:cs="Times New Roman"/>
        </w:rPr>
        <w:tab/>
        <w:t>IT IS ORDERED:</w:t>
      </w:r>
    </w:p>
    <w:p w14:paraId="7681362E" w14:textId="77777777" w:rsidR="003032CE" w:rsidRPr="00FE1CB9" w:rsidRDefault="003032CE" w:rsidP="003032CE">
      <w:pPr>
        <w:spacing w:line="360" w:lineRule="auto"/>
        <w:rPr>
          <w:rFonts w:ascii="Times New Roman" w:hAnsi="Times New Roman" w:cs="Times New Roman"/>
        </w:rPr>
      </w:pPr>
    </w:p>
    <w:p w14:paraId="5608762D" w14:textId="0AB41311" w:rsidR="003032CE" w:rsidRDefault="003032CE" w:rsidP="003032CE">
      <w:pPr>
        <w:numPr>
          <w:ilvl w:val="0"/>
          <w:numId w:val="41"/>
        </w:numPr>
        <w:spacing w:line="360" w:lineRule="auto"/>
        <w:ind w:left="0" w:firstLine="1440"/>
        <w:rPr>
          <w:rFonts w:ascii="Times New Roman" w:hAnsi="Times New Roman" w:cs="Times New Roman"/>
        </w:rPr>
      </w:pPr>
      <w:r w:rsidRPr="006F0180">
        <w:rPr>
          <w:color w:val="000000"/>
        </w:rPr>
        <w:t xml:space="preserve">That the </w:t>
      </w:r>
      <w:r>
        <w:rPr>
          <w:color w:val="000000"/>
        </w:rPr>
        <w:t>Preliminary</w:t>
      </w:r>
      <w:r w:rsidRPr="006F0180">
        <w:rPr>
          <w:color w:val="000000"/>
        </w:rPr>
        <w:t xml:space="preserve"> Objection filed by Philadelphia Gas Works in the </w:t>
      </w:r>
      <w:r>
        <w:rPr>
          <w:color w:val="000000"/>
        </w:rPr>
        <w:t xml:space="preserve">matter </w:t>
      </w:r>
      <w:r w:rsidRPr="006F0180">
        <w:rPr>
          <w:color w:val="000000"/>
        </w:rPr>
        <w:t xml:space="preserve">captioned </w:t>
      </w:r>
      <w:r>
        <w:rPr>
          <w:color w:val="000000"/>
        </w:rPr>
        <w:t xml:space="preserve">as </w:t>
      </w:r>
      <w:r>
        <w:rPr>
          <w:rFonts w:ascii="Times New Roman" w:hAnsi="Times New Roman" w:cs="Times New Roman"/>
          <w:spacing w:val="-3"/>
        </w:rPr>
        <w:t>Shari A. Palmer</w:t>
      </w:r>
      <w:r>
        <w:rPr>
          <w:color w:val="000000"/>
        </w:rPr>
        <w:t xml:space="preserve"> v. Philadelphia Gas Works at Docket No. </w:t>
      </w:r>
      <w:r>
        <w:rPr>
          <w:rFonts w:ascii="Times New Roman" w:hAnsi="Times New Roman" w:cs="Times New Roman"/>
          <w:spacing w:val="-3"/>
        </w:rPr>
        <w:t>C-2023-3039473</w:t>
      </w:r>
      <w:r>
        <w:rPr>
          <w:color w:val="000000"/>
        </w:rPr>
        <w:t xml:space="preserve"> </w:t>
      </w:r>
      <w:r w:rsidR="00CA7D00">
        <w:rPr>
          <w:color w:val="000000"/>
        </w:rPr>
        <w:t>is</w:t>
      </w:r>
      <w:r w:rsidRPr="006F0180">
        <w:rPr>
          <w:color w:val="000000"/>
        </w:rPr>
        <w:t xml:space="preserve"> granted in part and denied in part</w:t>
      </w:r>
      <w:r w:rsidRPr="00FE1CB9">
        <w:rPr>
          <w:rFonts w:ascii="Times New Roman" w:hAnsi="Times New Roman" w:cs="Times New Roman"/>
        </w:rPr>
        <w:t>;</w:t>
      </w:r>
      <w:r>
        <w:rPr>
          <w:rFonts w:ascii="Times New Roman" w:hAnsi="Times New Roman" w:cs="Times New Roman"/>
        </w:rPr>
        <w:t xml:space="preserve"> </w:t>
      </w:r>
      <w:r w:rsidR="004B5F48">
        <w:rPr>
          <w:rFonts w:ascii="Times New Roman" w:hAnsi="Times New Roman" w:cs="Times New Roman"/>
        </w:rPr>
        <w:t xml:space="preserve">and </w:t>
      </w:r>
    </w:p>
    <w:p w14:paraId="4715C197" w14:textId="77777777" w:rsidR="003032CE" w:rsidRDefault="003032CE" w:rsidP="003032CE">
      <w:pPr>
        <w:spacing w:line="360" w:lineRule="auto"/>
        <w:ind w:left="1440"/>
        <w:rPr>
          <w:rFonts w:ascii="Times New Roman" w:hAnsi="Times New Roman" w:cs="Times New Roman"/>
        </w:rPr>
      </w:pPr>
    </w:p>
    <w:p w14:paraId="28B0A136" w14:textId="3D898418" w:rsidR="003032CE" w:rsidRDefault="003032CE" w:rsidP="003032CE">
      <w:pPr>
        <w:numPr>
          <w:ilvl w:val="0"/>
          <w:numId w:val="41"/>
        </w:numPr>
        <w:spacing w:line="360" w:lineRule="auto"/>
        <w:ind w:left="0" w:firstLine="1440"/>
      </w:pPr>
      <w:r>
        <w:rPr>
          <w:rFonts w:ascii="Times New Roman" w:hAnsi="Times New Roman" w:cs="Times New Roman"/>
        </w:rPr>
        <w:t xml:space="preserve">That the hearing set for August </w:t>
      </w:r>
      <w:r w:rsidR="00283201">
        <w:rPr>
          <w:rFonts w:ascii="Times New Roman" w:hAnsi="Times New Roman" w:cs="Times New Roman"/>
        </w:rPr>
        <w:t>15</w:t>
      </w:r>
      <w:r>
        <w:rPr>
          <w:rFonts w:ascii="Times New Roman" w:hAnsi="Times New Roman" w:cs="Times New Roman"/>
        </w:rPr>
        <w:t>, 20</w:t>
      </w:r>
      <w:r w:rsidR="00283201">
        <w:rPr>
          <w:rFonts w:ascii="Times New Roman" w:hAnsi="Times New Roman" w:cs="Times New Roman"/>
        </w:rPr>
        <w:t>23</w:t>
      </w:r>
      <w:r>
        <w:rPr>
          <w:rFonts w:ascii="Times New Roman" w:hAnsi="Times New Roman" w:cs="Times New Roman"/>
        </w:rPr>
        <w:t xml:space="preserve"> will proceed as scheduled to address any billing claims that arose at the service address on or after </w:t>
      </w:r>
      <w:r w:rsidR="00283201">
        <w:t>April 3, 2020</w:t>
      </w:r>
      <w:r w:rsidR="00F43CE0">
        <w:t xml:space="preserve">, as well </w:t>
      </w:r>
      <w:r w:rsidR="00224CC5">
        <w:t xml:space="preserve">as </w:t>
      </w:r>
      <w:r w:rsidR="00F43CE0">
        <w:t>the service termination issue raised in the Complaint</w:t>
      </w:r>
      <w:r>
        <w:rPr>
          <w:rFonts w:ascii="Times New Roman" w:hAnsi="Times New Roman" w:cs="Times New Roman"/>
        </w:rPr>
        <w:t>.</w:t>
      </w:r>
    </w:p>
    <w:p w14:paraId="1217C498" w14:textId="77777777" w:rsidR="00357609" w:rsidRDefault="00357609" w:rsidP="00E175D1">
      <w:pPr>
        <w:pStyle w:val="ParaTab1"/>
        <w:spacing w:line="360" w:lineRule="auto"/>
        <w:ind w:firstLine="0"/>
      </w:pPr>
    </w:p>
    <w:p w14:paraId="37C0119F" w14:textId="77777777" w:rsidR="00357609" w:rsidRDefault="00357609" w:rsidP="00E175D1">
      <w:pPr>
        <w:pStyle w:val="ParaTab1"/>
        <w:spacing w:line="360" w:lineRule="auto"/>
        <w:ind w:firstLine="0"/>
        <w:rPr>
          <w:rFonts w:ascii="Times New Roman" w:hAnsi="Times New Roman" w:cs="Times New Roman"/>
          <w:spacing w:val="-3"/>
        </w:rPr>
      </w:pPr>
    </w:p>
    <w:p w14:paraId="4725C545" w14:textId="5F84803D" w:rsidR="008D6670" w:rsidRPr="002D1426" w:rsidRDefault="008D6670" w:rsidP="008D6670">
      <w:pPr>
        <w:pStyle w:val="NoSpacing"/>
        <w:rPr>
          <w:szCs w:val="24"/>
        </w:rPr>
      </w:pPr>
      <w:r w:rsidRPr="002D1426">
        <w:rPr>
          <w:szCs w:val="24"/>
        </w:rPr>
        <w:t>Date:</w:t>
      </w:r>
      <w:r w:rsidR="00F24A73">
        <w:rPr>
          <w:szCs w:val="24"/>
        </w:rPr>
        <w:t xml:space="preserve">  </w:t>
      </w:r>
      <w:r w:rsidR="0077503D">
        <w:rPr>
          <w:szCs w:val="24"/>
          <w:u w:val="single"/>
        </w:rPr>
        <w:t>July 7, 2023</w:t>
      </w:r>
      <w:r w:rsidRPr="002D1426">
        <w:rPr>
          <w:szCs w:val="24"/>
        </w:rPr>
        <w:tab/>
      </w:r>
      <w:r w:rsidRPr="002D1426">
        <w:rPr>
          <w:szCs w:val="24"/>
        </w:rPr>
        <w:tab/>
      </w:r>
      <w:r w:rsidR="00EF6FA3">
        <w:rPr>
          <w:szCs w:val="24"/>
        </w:rPr>
        <w:tab/>
      </w:r>
      <w:r w:rsidRPr="002D1426">
        <w:rPr>
          <w:szCs w:val="24"/>
        </w:rPr>
        <w:tab/>
      </w:r>
      <w:r w:rsidR="00F37DC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99B0AEE"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37DC9">
        <w:rPr>
          <w:szCs w:val="24"/>
        </w:rPr>
        <w:tab/>
      </w:r>
      <w:r w:rsidR="00336F4C">
        <w:rPr>
          <w:szCs w:val="24"/>
        </w:rPr>
        <w:t>Christopher P. Pell</w:t>
      </w:r>
    </w:p>
    <w:p w14:paraId="1E6A2C3B" w14:textId="6BFF01F5" w:rsidR="008D6670"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37DC9">
        <w:rPr>
          <w:szCs w:val="24"/>
        </w:rPr>
        <w:tab/>
      </w:r>
      <w:r w:rsidR="00336F4C">
        <w:rPr>
          <w:szCs w:val="24"/>
        </w:rPr>
        <w:t xml:space="preserve">Deputy Chief </w:t>
      </w:r>
      <w:r w:rsidRPr="002D1426">
        <w:rPr>
          <w:szCs w:val="24"/>
        </w:rPr>
        <w:t>Administrative Law Judge</w:t>
      </w:r>
    </w:p>
    <w:p w14:paraId="7E47CCBC" w14:textId="77777777" w:rsidR="00D76F4A" w:rsidRDefault="00D76F4A" w:rsidP="00D76F4A">
      <w:pPr>
        <w:pStyle w:val="NoSpacing"/>
        <w:spacing w:line="360" w:lineRule="auto"/>
        <w:rPr>
          <w:szCs w:val="24"/>
        </w:rPr>
      </w:pPr>
    </w:p>
    <w:p w14:paraId="6FC95D24" w14:textId="77777777" w:rsidR="00D76F4A" w:rsidRPr="002D1426" w:rsidRDefault="00D76F4A" w:rsidP="00D76F4A">
      <w:pPr>
        <w:pStyle w:val="NoSpacing"/>
        <w:spacing w:line="360" w:lineRule="auto"/>
        <w:rPr>
          <w:szCs w:val="24"/>
        </w:rPr>
      </w:pPr>
    </w:p>
    <w:p w14:paraId="7F747697" w14:textId="79388663" w:rsidR="0077503D" w:rsidRDefault="0077503D">
      <w:pPr>
        <w:autoSpaceDE/>
        <w:autoSpaceDN/>
        <w:rPr>
          <w:rFonts w:ascii="Times New Roman" w:hAnsi="Times New Roman" w:cs="Times New Roman"/>
          <w:spacing w:val="-3"/>
        </w:rPr>
      </w:pPr>
      <w:r>
        <w:rPr>
          <w:rFonts w:ascii="Times New Roman" w:hAnsi="Times New Roman" w:cs="Times New Roman"/>
          <w:spacing w:val="-3"/>
        </w:rPr>
        <w:br w:type="page"/>
      </w:r>
    </w:p>
    <w:p w14:paraId="2A3F0138" w14:textId="77777777" w:rsidR="0077503D" w:rsidRPr="0077503D" w:rsidRDefault="0077503D" w:rsidP="0077503D">
      <w:pPr>
        <w:rPr>
          <w:rFonts w:ascii="Times New Roman" w:hAnsi="Times New Roman" w:cs="Times New Roman"/>
        </w:rPr>
      </w:pPr>
      <w:r w:rsidRPr="0077503D">
        <w:rPr>
          <w:rFonts w:ascii="Times New Roman" w:eastAsia="Microsoft Sans Serif" w:hAnsi="Times New Roman" w:cs="Times New Roman"/>
          <w:b/>
          <w:u w:val="single"/>
        </w:rPr>
        <w:lastRenderedPageBreak/>
        <w:t>C-2023-3039473 - SHARI A PALMER v. PHILADELPHIA GAS WORKS</w:t>
      </w:r>
      <w:r w:rsidRPr="0077503D">
        <w:rPr>
          <w:rFonts w:ascii="Times New Roman" w:eastAsia="Microsoft Sans Serif" w:hAnsi="Times New Roman" w:cs="Times New Roman"/>
          <w:b/>
          <w:u w:val="single"/>
        </w:rPr>
        <w:cr/>
      </w:r>
      <w:r w:rsidRPr="0077503D">
        <w:rPr>
          <w:rFonts w:ascii="Times New Roman" w:eastAsia="Microsoft Sans Serif" w:hAnsi="Times New Roman" w:cs="Times New Roman"/>
          <w:b/>
          <w:u w:val="single"/>
        </w:rPr>
        <w:cr/>
      </w:r>
      <w:r w:rsidRPr="0077503D">
        <w:rPr>
          <w:rFonts w:ascii="Times New Roman" w:eastAsia="Microsoft Sans Serif" w:hAnsi="Times New Roman" w:cs="Times New Roman"/>
        </w:rPr>
        <w:t>SHARI A PALMER</w:t>
      </w:r>
      <w:r w:rsidRPr="0077503D">
        <w:rPr>
          <w:rFonts w:ascii="Times New Roman" w:eastAsia="Microsoft Sans Serif" w:hAnsi="Times New Roman" w:cs="Times New Roman"/>
        </w:rPr>
        <w:cr/>
        <w:t>4526 N 12TH STREET</w:t>
      </w:r>
      <w:r w:rsidRPr="0077503D">
        <w:rPr>
          <w:rFonts w:ascii="Times New Roman" w:eastAsia="Microsoft Sans Serif" w:hAnsi="Times New Roman" w:cs="Times New Roman"/>
        </w:rPr>
        <w:cr/>
        <w:t>PHILADELPHIA PA  19140</w:t>
      </w:r>
      <w:r w:rsidRPr="0077503D">
        <w:rPr>
          <w:rFonts w:ascii="Times New Roman" w:eastAsia="Microsoft Sans Serif" w:hAnsi="Times New Roman" w:cs="Times New Roman"/>
        </w:rPr>
        <w:cr/>
      </w:r>
      <w:r w:rsidRPr="0077503D">
        <w:rPr>
          <w:rFonts w:ascii="Times New Roman" w:eastAsia="Microsoft Sans Serif" w:hAnsi="Times New Roman" w:cs="Times New Roman"/>
          <w:b/>
          <w:bCs/>
        </w:rPr>
        <w:t>215.431.5518</w:t>
      </w:r>
      <w:r w:rsidRPr="0077503D">
        <w:rPr>
          <w:rFonts w:ascii="Times New Roman" w:eastAsia="Microsoft Sans Serif" w:hAnsi="Times New Roman" w:cs="Times New Roman"/>
          <w:b/>
          <w:bCs/>
        </w:rPr>
        <w:cr/>
      </w:r>
      <w:r w:rsidRPr="0077503D">
        <w:rPr>
          <w:rFonts w:ascii="Times New Roman" w:eastAsia="Microsoft Sans Serif" w:hAnsi="Times New Roman" w:cs="Times New Roman"/>
        </w:rPr>
        <w:t>spholla1@gmail.com</w:t>
      </w:r>
      <w:r w:rsidRPr="0077503D">
        <w:rPr>
          <w:rFonts w:ascii="Times New Roman" w:eastAsia="Microsoft Sans Serif" w:hAnsi="Times New Roman" w:cs="Times New Roman"/>
        </w:rPr>
        <w:cr/>
        <w:t xml:space="preserve">Accepts </w:t>
      </w:r>
      <w:proofErr w:type="gramStart"/>
      <w:r w:rsidRPr="0077503D">
        <w:rPr>
          <w:rFonts w:ascii="Times New Roman" w:eastAsia="Microsoft Sans Serif" w:hAnsi="Times New Roman" w:cs="Times New Roman"/>
        </w:rPr>
        <w:t>eService</w:t>
      </w:r>
      <w:proofErr w:type="gramEnd"/>
      <w:r w:rsidRPr="0077503D">
        <w:rPr>
          <w:rFonts w:ascii="Times New Roman" w:eastAsia="Microsoft Sans Serif" w:hAnsi="Times New Roman" w:cs="Times New Roman"/>
        </w:rPr>
        <w:t xml:space="preserve"> </w:t>
      </w:r>
      <w:r w:rsidRPr="0077503D">
        <w:rPr>
          <w:rFonts w:ascii="Times New Roman" w:eastAsia="Microsoft Sans Serif" w:hAnsi="Times New Roman" w:cs="Times New Roman"/>
        </w:rPr>
        <w:cr/>
      </w:r>
      <w:r w:rsidRPr="0077503D">
        <w:rPr>
          <w:rFonts w:ascii="Times New Roman" w:eastAsia="Microsoft Sans Serif" w:hAnsi="Times New Roman" w:cs="Times New Roman"/>
        </w:rPr>
        <w:br/>
        <w:t>GRACIELA CHRISTLIEB ESQUIRE</w:t>
      </w:r>
      <w:r w:rsidRPr="0077503D">
        <w:rPr>
          <w:rFonts w:ascii="Times New Roman" w:eastAsia="Microsoft Sans Serif" w:hAnsi="Times New Roman" w:cs="Times New Roman"/>
        </w:rPr>
        <w:cr/>
        <w:t>PHILADELPHIA GAS WORKS</w:t>
      </w:r>
      <w:r w:rsidRPr="0077503D">
        <w:rPr>
          <w:rFonts w:ascii="Times New Roman" w:eastAsia="Microsoft Sans Serif" w:hAnsi="Times New Roman" w:cs="Times New Roman"/>
        </w:rPr>
        <w:cr/>
        <w:t>800 WEST MONTGOMERY AVE</w:t>
      </w:r>
      <w:r w:rsidRPr="0077503D">
        <w:rPr>
          <w:rFonts w:ascii="Times New Roman" w:eastAsia="Microsoft Sans Serif" w:hAnsi="Times New Roman" w:cs="Times New Roman"/>
        </w:rPr>
        <w:cr/>
        <w:t>PHILADELPHIA PA  19122</w:t>
      </w:r>
      <w:r w:rsidRPr="0077503D">
        <w:rPr>
          <w:rFonts w:ascii="Times New Roman" w:eastAsia="Microsoft Sans Serif" w:hAnsi="Times New Roman" w:cs="Times New Roman"/>
        </w:rPr>
        <w:cr/>
      </w:r>
      <w:r w:rsidRPr="0077503D">
        <w:rPr>
          <w:rFonts w:ascii="Times New Roman" w:eastAsia="Microsoft Sans Serif" w:hAnsi="Times New Roman" w:cs="Times New Roman"/>
          <w:b/>
          <w:bCs/>
        </w:rPr>
        <w:t>215.684.6164</w:t>
      </w:r>
      <w:r w:rsidRPr="0077503D">
        <w:rPr>
          <w:rFonts w:ascii="Times New Roman" w:eastAsia="Microsoft Sans Serif" w:hAnsi="Times New Roman" w:cs="Times New Roman"/>
          <w:b/>
          <w:bCs/>
        </w:rPr>
        <w:cr/>
      </w:r>
      <w:r w:rsidRPr="0077503D">
        <w:rPr>
          <w:rFonts w:ascii="Times New Roman" w:eastAsia="Microsoft Sans Serif" w:hAnsi="Times New Roman" w:cs="Times New Roman"/>
        </w:rPr>
        <w:t>Graciela.Christlieb@pgworks.com</w:t>
      </w:r>
      <w:r w:rsidRPr="0077503D">
        <w:rPr>
          <w:rFonts w:ascii="Times New Roman" w:eastAsia="Microsoft Sans Serif" w:hAnsi="Times New Roman" w:cs="Times New Roman"/>
        </w:rPr>
        <w:cr/>
        <w:t xml:space="preserve">Accepts </w:t>
      </w:r>
      <w:proofErr w:type="gramStart"/>
      <w:r w:rsidRPr="0077503D">
        <w:rPr>
          <w:rFonts w:ascii="Times New Roman" w:eastAsia="Microsoft Sans Serif" w:hAnsi="Times New Roman" w:cs="Times New Roman"/>
        </w:rPr>
        <w:t>eService</w:t>
      </w:r>
      <w:proofErr w:type="gramEnd"/>
      <w:r w:rsidRPr="0077503D">
        <w:rPr>
          <w:rFonts w:ascii="Times New Roman" w:eastAsia="Microsoft Sans Serif" w:hAnsi="Times New Roman" w:cs="Times New Roman"/>
        </w:rPr>
        <w:t xml:space="preserve"> </w:t>
      </w:r>
      <w:r w:rsidRPr="0077503D">
        <w:rPr>
          <w:rFonts w:ascii="Times New Roman" w:eastAsia="Microsoft Sans Serif" w:hAnsi="Times New Roman" w:cs="Times New Roman"/>
        </w:rPr>
        <w:cr/>
      </w:r>
      <w:r w:rsidRPr="0077503D">
        <w:rPr>
          <w:rFonts w:ascii="Times New Roman" w:eastAsia="Microsoft Sans Serif" w:hAnsi="Times New Roman" w:cs="Times New Roman"/>
        </w:rPr>
        <w:cr/>
      </w:r>
    </w:p>
    <w:p w14:paraId="4E1E9257" w14:textId="77777777" w:rsidR="0077503D" w:rsidRPr="0077503D" w:rsidRDefault="0077503D" w:rsidP="0077503D">
      <w:pPr>
        <w:rPr>
          <w:rFonts w:ascii="Times New Roman" w:hAnsi="Times New Roman" w:cs="Times New Roman"/>
        </w:rPr>
      </w:pPr>
    </w:p>
    <w:p w14:paraId="08888931" w14:textId="77777777" w:rsidR="00AB3FFC" w:rsidRPr="0077503D" w:rsidRDefault="00AB3FFC">
      <w:pPr>
        <w:autoSpaceDE/>
        <w:autoSpaceDN/>
        <w:rPr>
          <w:rFonts w:ascii="Times New Roman" w:hAnsi="Times New Roman" w:cs="Times New Roman"/>
          <w:spacing w:val="-3"/>
        </w:rPr>
      </w:pPr>
    </w:p>
    <w:sectPr w:rsidR="00AB3FFC" w:rsidRPr="0077503D"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F0333" w14:textId="77777777" w:rsidR="00B00767" w:rsidRDefault="00B00767" w:rsidP="00244F8F">
      <w:r>
        <w:separator/>
      </w:r>
    </w:p>
  </w:endnote>
  <w:endnote w:type="continuationSeparator" w:id="0">
    <w:p w14:paraId="62AB537B" w14:textId="77777777" w:rsidR="00B00767" w:rsidRDefault="00B0076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A5101" w14:textId="77777777" w:rsidR="00B00767" w:rsidRDefault="00B00767" w:rsidP="00244F8F">
      <w:r>
        <w:separator/>
      </w:r>
    </w:p>
  </w:footnote>
  <w:footnote w:type="continuationSeparator" w:id="0">
    <w:p w14:paraId="32254507" w14:textId="77777777" w:rsidR="00B00767" w:rsidRDefault="00B00767" w:rsidP="00244F8F">
      <w:r>
        <w:continuationSeparator/>
      </w:r>
    </w:p>
  </w:footnote>
  <w:footnote w:id="1">
    <w:p w14:paraId="5BF468AD" w14:textId="77777777" w:rsidR="00064947" w:rsidRDefault="00064947" w:rsidP="00A5745B">
      <w:pPr>
        <w:pStyle w:val="FootnoteText"/>
        <w:ind w:firstLine="720"/>
        <w:rPr>
          <w:rFonts w:ascii="Times New Roman" w:eastAsia="Calibri" w:hAnsi="Times New Roman" w:cs="Times New Roman"/>
          <w:sz w:val="20"/>
        </w:rPr>
      </w:pPr>
      <w:r w:rsidRPr="001C4F4D">
        <w:rPr>
          <w:rStyle w:val="FootnoteReference"/>
          <w:rFonts w:ascii="Times New Roman" w:eastAsiaTheme="majorEastAsia" w:hAnsi="Times New Roman" w:cs="Times New Roman"/>
          <w:sz w:val="20"/>
        </w:rPr>
        <w:footnoteRef/>
      </w:r>
      <w:r w:rsidRPr="001C4F4D">
        <w:rPr>
          <w:rFonts w:ascii="Times New Roman" w:hAnsi="Times New Roman" w:cs="Times New Roman"/>
          <w:sz w:val="20"/>
        </w:rPr>
        <w:t xml:space="preserve"> </w:t>
      </w:r>
      <w:r w:rsidRPr="001C4F4D">
        <w:rPr>
          <w:rFonts w:ascii="Times New Roman" w:hAnsi="Times New Roman" w:cs="Times New Roman"/>
          <w:sz w:val="20"/>
        </w:rPr>
        <w:tab/>
        <w:t xml:space="preserve">55 Pa. Code </w:t>
      </w:r>
      <w:r w:rsidRPr="001C4F4D">
        <w:rPr>
          <w:rFonts w:ascii="Times New Roman" w:eastAsia="Calibri" w:hAnsi="Times New Roman" w:cs="Times New Roman"/>
          <w:sz w:val="20"/>
        </w:rPr>
        <w:t>§ 5.63(a)</w:t>
      </w:r>
    </w:p>
    <w:p w14:paraId="443D5347" w14:textId="77777777" w:rsidR="00A5745B" w:rsidRDefault="00A5745B" w:rsidP="00A5745B">
      <w:pPr>
        <w:pStyle w:val="FootnoteText"/>
        <w:ind w:firstLine="720"/>
      </w:pPr>
    </w:p>
  </w:footnote>
  <w:footnote w:id="2">
    <w:p w14:paraId="2D42F161" w14:textId="77777777" w:rsidR="006920F7" w:rsidRDefault="006920F7" w:rsidP="006920F7">
      <w:pPr>
        <w:pStyle w:val="FootnoteText"/>
      </w:pPr>
      <w:r>
        <w:rPr>
          <w:rStyle w:val="FootnoteReference"/>
          <w:rFonts w:eastAsiaTheme="majorEastAsia"/>
        </w:rPr>
        <w:footnoteRef/>
      </w:r>
      <w:r>
        <w:t xml:space="preserve"> </w:t>
      </w:r>
      <w:r>
        <w:tab/>
      </w:r>
      <w:r w:rsidRPr="001C4F4D">
        <w:rPr>
          <w:rFonts w:ascii="Times New Roman" w:hAnsi="Times New Roman" w:cs="Times New Roman"/>
          <w:sz w:val="20"/>
        </w:rPr>
        <w:t xml:space="preserve">55 Pa. Code </w:t>
      </w:r>
      <w:r w:rsidRPr="001C4F4D">
        <w:rPr>
          <w:rFonts w:ascii="Times New Roman" w:eastAsia="Calibri" w:hAnsi="Times New Roman" w:cs="Times New Roman"/>
          <w:sz w:val="20"/>
        </w:rPr>
        <w:t>§ 5.</w:t>
      </w:r>
      <w:r>
        <w:rPr>
          <w:rFonts w:ascii="Times New Roman" w:eastAsia="Calibri" w:hAnsi="Times New Roman" w:cs="Times New Roman"/>
          <w:sz w:val="20"/>
        </w:rPr>
        <w:t>101(f).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1A54A0"/>
    <w:multiLevelType w:val="hybridMultilevel"/>
    <w:tmpl w:val="9424C1DA"/>
    <w:lvl w:ilvl="0" w:tplc="2E48D6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99824653">
    <w:abstractNumId w:val="34"/>
  </w:num>
  <w:num w:numId="2" w16cid:durableId="199321403">
    <w:abstractNumId w:val="14"/>
  </w:num>
  <w:num w:numId="3" w16cid:durableId="250428747">
    <w:abstractNumId w:val="11"/>
  </w:num>
  <w:num w:numId="4" w16cid:durableId="540483952">
    <w:abstractNumId w:val="36"/>
  </w:num>
  <w:num w:numId="5" w16cid:durableId="310142351">
    <w:abstractNumId w:val="17"/>
  </w:num>
  <w:num w:numId="6" w16cid:durableId="1277909764">
    <w:abstractNumId w:val="28"/>
  </w:num>
  <w:num w:numId="7" w16cid:durableId="2042167417">
    <w:abstractNumId w:val="33"/>
  </w:num>
  <w:num w:numId="8" w16cid:durableId="124127464">
    <w:abstractNumId w:val="9"/>
  </w:num>
  <w:num w:numId="9" w16cid:durableId="707493025">
    <w:abstractNumId w:val="7"/>
  </w:num>
  <w:num w:numId="10" w16cid:durableId="967467437">
    <w:abstractNumId w:val="6"/>
  </w:num>
  <w:num w:numId="11" w16cid:durableId="1948849537">
    <w:abstractNumId w:val="5"/>
  </w:num>
  <w:num w:numId="12" w16cid:durableId="1155150024">
    <w:abstractNumId w:val="4"/>
  </w:num>
  <w:num w:numId="13" w16cid:durableId="2082874018">
    <w:abstractNumId w:val="8"/>
  </w:num>
  <w:num w:numId="14" w16cid:durableId="256329920">
    <w:abstractNumId w:val="3"/>
  </w:num>
  <w:num w:numId="15" w16cid:durableId="1512329846">
    <w:abstractNumId w:val="2"/>
  </w:num>
  <w:num w:numId="16" w16cid:durableId="176042052">
    <w:abstractNumId w:val="1"/>
  </w:num>
  <w:num w:numId="17" w16cid:durableId="1160342093">
    <w:abstractNumId w:val="0"/>
  </w:num>
  <w:num w:numId="18" w16cid:durableId="1661037014">
    <w:abstractNumId w:val="22"/>
  </w:num>
  <w:num w:numId="19" w16cid:durableId="300043893">
    <w:abstractNumId w:val="25"/>
  </w:num>
  <w:num w:numId="20" w16cid:durableId="1696536128">
    <w:abstractNumId w:val="35"/>
  </w:num>
  <w:num w:numId="21" w16cid:durableId="2129349178">
    <w:abstractNumId w:val="31"/>
  </w:num>
  <w:num w:numId="22" w16cid:durableId="1481192607">
    <w:abstractNumId w:val="13"/>
  </w:num>
  <w:num w:numId="23" w16cid:durableId="2062747157">
    <w:abstractNumId w:val="40"/>
  </w:num>
  <w:num w:numId="24" w16cid:durableId="1513758845">
    <w:abstractNumId w:val="21"/>
  </w:num>
  <w:num w:numId="25" w16cid:durableId="259920123">
    <w:abstractNumId w:val="30"/>
  </w:num>
  <w:num w:numId="26" w16cid:durableId="1466659125">
    <w:abstractNumId w:val="12"/>
  </w:num>
  <w:num w:numId="27" w16cid:durableId="61941119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140876289">
    <w:abstractNumId w:val="18"/>
  </w:num>
  <w:num w:numId="29" w16cid:durableId="1398085860">
    <w:abstractNumId w:val="32"/>
  </w:num>
  <w:num w:numId="30" w16cid:durableId="320426810">
    <w:abstractNumId w:val="20"/>
  </w:num>
  <w:num w:numId="31" w16cid:durableId="855773997">
    <w:abstractNumId w:val="26"/>
  </w:num>
  <w:num w:numId="32" w16cid:durableId="1953781505">
    <w:abstractNumId w:val="39"/>
  </w:num>
  <w:num w:numId="33" w16cid:durableId="1918980056">
    <w:abstractNumId w:val="23"/>
  </w:num>
  <w:num w:numId="34" w16cid:durableId="915893728">
    <w:abstractNumId w:val="27"/>
  </w:num>
  <w:num w:numId="35" w16cid:durableId="688684230">
    <w:abstractNumId w:val="19"/>
  </w:num>
  <w:num w:numId="36" w16cid:durableId="854072201">
    <w:abstractNumId w:val="16"/>
  </w:num>
  <w:num w:numId="37" w16cid:durableId="1226794048">
    <w:abstractNumId w:val="24"/>
  </w:num>
  <w:num w:numId="38" w16cid:durableId="728724747">
    <w:abstractNumId w:val="29"/>
  </w:num>
  <w:num w:numId="39" w16cid:durableId="1317296625">
    <w:abstractNumId w:val="37"/>
  </w:num>
  <w:num w:numId="40" w16cid:durableId="2135562552">
    <w:abstractNumId w:val="15"/>
  </w:num>
  <w:num w:numId="41" w16cid:durableId="133210082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16B63"/>
    <w:rsid w:val="00017DBC"/>
    <w:rsid w:val="00021493"/>
    <w:rsid w:val="000306A7"/>
    <w:rsid w:val="000372EF"/>
    <w:rsid w:val="00040B38"/>
    <w:rsid w:val="00046C0F"/>
    <w:rsid w:val="000571B7"/>
    <w:rsid w:val="00057321"/>
    <w:rsid w:val="000610B4"/>
    <w:rsid w:val="00064176"/>
    <w:rsid w:val="00064947"/>
    <w:rsid w:val="000653B3"/>
    <w:rsid w:val="00070F9E"/>
    <w:rsid w:val="0007271F"/>
    <w:rsid w:val="000777FC"/>
    <w:rsid w:val="00084161"/>
    <w:rsid w:val="00096CB5"/>
    <w:rsid w:val="000A69B3"/>
    <w:rsid w:val="000C0CA4"/>
    <w:rsid w:val="000C1579"/>
    <w:rsid w:val="000C1A32"/>
    <w:rsid w:val="000C2656"/>
    <w:rsid w:val="000D3A08"/>
    <w:rsid w:val="000D4818"/>
    <w:rsid w:val="000D6838"/>
    <w:rsid w:val="000E169E"/>
    <w:rsid w:val="000E244C"/>
    <w:rsid w:val="000E48E5"/>
    <w:rsid w:val="000E5FD5"/>
    <w:rsid w:val="000E69C3"/>
    <w:rsid w:val="00100DED"/>
    <w:rsid w:val="00101A0B"/>
    <w:rsid w:val="00102FFB"/>
    <w:rsid w:val="00113022"/>
    <w:rsid w:val="001134FA"/>
    <w:rsid w:val="001200AF"/>
    <w:rsid w:val="001322E5"/>
    <w:rsid w:val="00133F78"/>
    <w:rsid w:val="00136D85"/>
    <w:rsid w:val="00147408"/>
    <w:rsid w:val="00157114"/>
    <w:rsid w:val="00166D3F"/>
    <w:rsid w:val="00172900"/>
    <w:rsid w:val="001746AA"/>
    <w:rsid w:val="0017496D"/>
    <w:rsid w:val="00174DB7"/>
    <w:rsid w:val="001761F1"/>
    <w:rsid w:val="00177B18"/>
    <w:rsid w:val="00187155"/>
    <w:rsid w:val="001950EA"/>
    <w:rsid w:val="001A1E4F"/>
    <w:rsid w:val="001A4041"/>
    <w:rsid w:val="001A4E19"/>
    <w:rsid w:val="001A6DAF"/>
    <w:rsid w:val="001B155C"/>
    <w:rsid w:val="001B168E"/>
    <w:rsid w:val="001C67DB"/>
    <w:rsid w:val="001D3C7F"/>
    <w:rsid w:val="001E20C0"/>
    <w:rsid w:val="001E2831"/>
    <w:rsid w:val="001E5370"/>
    <w:rsid w:val="001F152D"/>
    <w:rsid w:val="00204018"/>
    <w:rsid w:val="0021278A"/>
    <w:rsid w:val="002214D6"/>
    <w:rsid w:val="0022324C"/>
    <w:rsid w:val="00223BA7"/>
    <w:rsid w:val="00224CC5"/>
    <w:rsid w:val="0023187E"/>
    <w:rsid w:val="00236822"/>
    <w:rsid w:val="00237895"/>
    <w:rsid w:val="00242AEE"/>
    <w:rsid w:val="00242B47"/>
    <w:rsid w:val="00244F8F"/>
    <w:rsid w:val="00257FA8"/>
    <w:rsid w:val="00261D39"/>
    <w:rsid w:val="002638F3"/>
    <w:rsid w:val="00276B4C"/>
    <w:rsid w:val="00276E5C"/>
    <w:rsid w:val="00283201"/>
    <w:rsid w:val="0028740E"/>
    <w:rsid w:val="00290B15"/>
    <w:rsid w:val="002A1542"/>
    <w:rsid w:val="002A48CD"/>
    <w:rsid w:val="002B2F20"/>
    <w:rsid w:val="002C04D6"/>
    <w:rsid w:val="002C7CAA"/>
    <w:rsid w:val="003032CE"/>
    <w:rsid w:val="00305B89"/>
    <w:rsid w:val="00320B34"/>
    <w:rsid w:val="0032153D"/>
    <w:rsid w:val="0032213A"/>
    <w:rsid w:val="0032346D"/>
    <w:rsid w:val="00331863"/>
    <w:rsid w:val="00331D2F"/>
    <w:rsid w:val="00332D89"/>
    <w:rsid w:val="00336F4C"/>
    <w:rsid w:val="0034617E"/>
    <w:rsid w:val="00346D1B"/>
    <w:rsid w:val="00352467"/>
    <w:rsid w:val="00357609"/>
    <w:rsid w:val="00361A87"/>
    <w:rsid w:val="00362C38"/>
    <w:rsid w:val="00364E00"/>
    <w:rsid w:val="00380B3F"/>
    <w:rsid w:val="003817A5"/>
    <w:rsid w:val="003905C0"/>
    <w:rsid w:val="003934CD"/>
    <w:rsid w:val="00393DB6"/>
    <w:rsid w:val="00394965"/>
    <w:rsid w:val="00394B4C"/>
    <w:rsid w:val="003B551F"/>
    <w:rsid w:val="003C26DD"/>
    <w:rsid w:val="003C642A"/>
    <w:rsid w:val="003D53E4"/>
    <w:rsid w:val="003E27F0"/>
    <w:rsid w:val="003E4DE8"/>
    <w:rsid w:val="003E6DC6"/>
    <w:rsid w:val="003F0684"/>
    <w:rsid w:val="00402085"/>
    <w:rsid w:val="004054B8"/>
    <w:rsid w:val="004067B6"/>
    <w:rsid w:val="0041218A"/>
    <w:rsid w:val="00417F7E"/>
    <w:rsid w:val="00421C36"/>
    <w:rsid w:val="00423284"/>
    <w:rsid w:val="0043387F"/>
    <w:rsid w:val="00433EAC"/>
    <w:rsid w:val="00435357"/>
    <w:rsid w:val="00443F9B"/>
    <w:rsid w:val="0044484F"/>
    <w:rsid w:val="00451DF0"/>
    <w:rsid w:val="00485311"/>
    <w:rsid w:val="00497845"/>
    <w:rsid w:val="004A437F"/>
    <w:rsid w:val="004A75DA"/>
    <w:rsid w:val="004B0FC5"/>
    <w:rsid w:val="004B3AE5"/>
    <w:rsid w:val="004B5F48"/>
    <w:rsid w:val="004B7C07"/>
    <w:rsid w:val="004D0A04"/>
    <w:rsid w:val="004D0FFD"/>
    <w:rsid w:val="004D27DD"/>
    <w:rsid w:val="004E1986"/>
    <w:rsid w:val="004F22C5"/>
    <w:rsid w:val="004F472F"/>
    <w:rsid w:val="00502879"/>
    <w:rsid w:val="005104B8"/>
    <w:rsid w:val="00511481"/>
    <w:rsid w:val="00515525"/>
    <w:rsid w:val="00520770"/>
    <w:rsid w:val="00531562"/>
    <w:rsid w:val="0053363B"/>
    <w:rsid w:val="005408EB"/>
    <w:rsid w:val="005413A8"/>
    <w:rsid w:val="005644BB"/>
    <w:rsid w:val="00573F58"/>
    <w:rsid w:val="0057780C"/>
    <w:rsid w:val="00577D50"/>
    <w:rsid w:val="00581E81"/>
    <w:rsid w:val="00586F6D"/>
    <w:rsid w:val="00590A47"/>
    <w:rsid w:val="00591A08"/>
    <w:rsid w:val="00591C4B"/>
    <w:rsid w:val="005A0CF6"/>
    <w:rsid w:val="005A1EDB"/>
    <w:rsid w:val="005A1FB5"/>
    <w:rsid w:val="005A6B04"/>
    <w:rsid w:val="005B0399"/>
    <w:rsid w:val="005B31BA"/>
    <w:rsid w:val="005B49DA"/>
    <w:rsid w:val="005D355F"/>
    <w:rsid w:val="005D78F2"/>
    <w:rsid w:val="005E0459"/>
    <w:rsid w:val="005E10E9"/>
    <w:rsid w:val="005E26F7"/>
    <w:rsid w:val="006155FA"/>
    <w:rsid w:val="00626952"/>
    <w:rsid w:val="00636518"/>
    <w:rsid w:val="00640139"/>
    <w:rsid w:val="00645252"/>
    <w:rsid w:val="00653209"/>
    <w:rsid w:val="00654737"/>
    <w:rsid w:val="00663476"/>
    <w:rsid w:val="006706DB"/>
    <w:rsid w:val="00684C58"/>
    <w:rsid w:val="006859FB"/>
    <w:rsid w:val="0069160D"/>
    <w:rsid w:val="006920F7"/>
    <w:rsid w:val="006C483E"/>
    <w:rsid w:val="006D3D74"/>
    <w:rsid w:val="006D4620"/>
    <w:rsid w:val="006D6908"/>
    <w:rsid w:val="006E30B2"/>
    <w:rsid w:val="006E5881"/>
    <w:rsid w:val="006E5FD3"/>
    <w:rsid w:val="006E6368"/>
    <w:rsid w:val="006F400C"/>
    <w:rsid w:val="007014B3"/>
    <w:rsid w:val="00704042"/>
    <w:rsid w:val="007043DB"/>
    <w:rsid w:val="0070517D"/>
    <w:rsid w:val="007058DB"/>
    <w:rsid w:val="00713A30"/>
    <w:rsid w:val="00723367"/>
    <w:rsid w:val="00724ACB"/>
    <w:rsid w:val="00741F63"/>
    <w:rsid w:val="007422CB"/>
    <w:rsid w:val="00744D4F"/>
    <w:rsid w:val="007461CF"/>
    <w:rsid w:val="0075227A"/>
    <w:rsid w:val="007523A3"/>
    <w:rsid w:val="00761ABF"/>
    <w:rsid w:val="00765A54"/>
    <w:rsid w:val="00767276"/>
    <w:rsid w:val="0077503D"/>
    <w:rsid w:val="0077585C"/>
    <w:rsid w:val="00777389"/>
    <w:rsid w:val="0078007D"/>
    <w:rsid w:val="00781F2F"/>
    <w:rsid w:val="007866F2"/>
    <w:rsid w:val="00790FF0"/>
    <w:rsid w:val="007A15E7"/>
    <w:rsid w:val="007A4C3A"/>
    <w:rsid w:val="007B4E63"/>
    <w:rsid w:val="007D0B97"/>
    <w:rsid w:val="007D1A13"/>
    <w:rsid w:val="007D3E06"/>
    <w:rsid w:val="007E7BCC"/>
    <w:rsid w:val="007F6C2D"/>
    <w:rsid w:val="00803E0F"/>
    <w:rsid w:val="008054FA"/>
    <w:rsid w:val="00810209"/>
    <w:rsid w:val="00821B31"/>
    <w:rsid w:val="00831130"/>
    <w:rsid w:val="0083569A"/>
    <w:rsid w:val="00852F9D"/>
    <w:rsid w:val="00855059"/>
    <w:rsid w:val="008551E0"/>
    <w:rsid w:val="00864317"/>
    <w:rsid w:val="00871205"/>
    <w:rsid w:val="0087452F"/>
    <w:rsid w:val="008749E6"/>
    <w:rsid w:val="00887CB6"/>
    <w:rsid w:val="008949C3"/>
    <w:rsid w:val="00897E73"/>
    <w:rsid w:val="008B038C"/>
    <w:rsid w:val="008B6732"/>
    <w:rsid w:val="008C2E45"/>
    <w:rsid w:val="008C5B3E"/>
    <w:rsid w:val="008D3A01"/>
    <w:rsid w:val="008D6670"/>
    <w:rsid w:val="008E0085"/>
    <w:rsid w:val="008E3282"/>
    <w:rsid w:val="00904611"/>
    <w:rsid w:val="009136C1"/>
    <w:rsid w:val="00913A7F"/>
    <w:rsid w:val="00921971"/>
    <w:rsid w:val="00923CB9"/>
    <w:rsid w:val="0093655A"/>
    <w:rsid w:val="00937948"/>
    <w:rsid w:val="00944CD2"/>
    <w:rsid w:val="00950645"/>
    <w:rsid w:val="0096691F"/>
    <w:rsid w:val="009740BC"/>
    <w:rsid w:val="0098348C"/>
    <w:rsid w:val="00983590"/>
    <w:rsid w:val="00994A62"/>
    <w:rsid w:val="009B66F1"/>
    <w:rsid w:val="009B7317"/>
    <w:rsid w:val="009C7076"/>
    <w:rsid w:val="009E0B37"/>
    <w:rsid w:val="009F028E"/>
    <w:rsid w:val="00A0017E"/>
    <w:rsid w:val="00A02578"/>
    <w:rsid w:val="00A04C95"/>
    <w:rsid w:val="00A15339"/>
    <w:rsid w:val="00A1634B"/>
    <w:rsid w:val="00A163D3"/>
    <w:rsid w:val="00A17DF6"/>
    <w:rsid w:val="00A25E93"/>
    <w:rsid w:val="00A272EC"/>
    <w:rsid w:val="00A368C3"/>
    <w:rsid w:val="00A36F1D"/>
    <w:rsid w:val="00A40888"/>
    <w:rsid w:val="00A416D1"/>
    <w:rsid w:val="00A47871"/>
    <w:rsid w:val="00A50967"/>
    <w:rsid w:val="00A53123"/>
    <w:rsid w:val="00A5745B"/>
    <w:rsid w:val="00A6343F"/>
    <w:rsid w:val="00A67878"/>
    <w:rsid w:val="00A812FD"/>
    <w:rsid w:val="00A83387"/>
    <w:rsid w:val="00A9204E"/>
    <w:rsid w:val="00A938EE"/>
    <w:rsid w:val="00A974AF"/>
    <w:rsid w:val="00AA1695"/>
    <w:rsid w:val="00AA2705"/>
    <w:rsid w:val="00AB349B"/>
    <w:rsid w:val="00AB3B9B"/>
    <w:rsid w:val="00AB3FFC"/>
    <w:rsid w:val="00AB75B5"/>
    <w:rsid w:val="00AD04F2"/>
    <w:rsid w:val="00AD6F33"/>
    <w:rsid w:val="00AE0BDE"/>
    <w:rsid w:val="00AE0CA8"/>
    <w:rsid w:val="00AE16AF"/>
    <w:rsid w:val="00AF02ED"/>
    <w:rsid w:val="00AF4A2A"/>
    <w:rsid w:val="00B00767"/>
    <w:rsid w:val="00B00CC7"/>
    <w:rsid w:val="00B143CD"/>
    <w:rsid w:val="00B15498"/>
    <w:rsid w:val="00B165DA"/>
    <w:rsid w:val="00B21DAC"/>
    <w:rsid w:val="00B24F23"/>
    <w:rsid w:val="00B25419"/>
    <w:rsid w:val="00B25A50"/>
    <w:rsid w:val="00B34BD3"/>
    <w:rsid w:val="00B35488"/>
    <w:rsid w:val="00B372AC"/>
    <w:rsid w:val="00B41531"/>
    <w:rsid w:val="00B5347E"/>
    <w:rsid w:val="00B5700A"/>
    <w:rsid w:val="00B67E39"/>
    <w:rsid w:val="00B72F1F"/>
    <w:rsid w:val="00B758C6"/>
    <w:rsid w:val="00B75E19"/>
    <w:rsid w:val="00B807F5"/>
    <w:rsid w:val="00B829AC"/>
    <w:rsid w:val="00B8412E"/>
    <w:rsid w:val="00B93E8C"/>
    <w:rsid w:val="00BA3808"/>
    <w:rsid w:val="00BA6E30"/>
    <w:rsid w:val="00BB1FFA"/>
    <w:rsid w:val="00BC3ED5"/>
    <w:rsid w:val="00BD0E6D"/>
    <w:rsid w:val="00BD5D30"/>
    <w:rsid w:val="00BE4573"/>
    <w:rsid w:val="00BE4A24"/>
    <w:rsid w:val="00BF323B"/>
    <w:rsid w:val="00BF7CEE"/>
    <w:rsid w:val="00C16DC1"/>
    <w:rsid w:val="00C175C7"/>
    <w:rsid w:val="00C2358F"/>
    <w:rsid w:val="00C25146"/>
    <w:rsid w:val="00C277B3"/>
    <w:rsid w:val="00C33358"/>
    <w:rsid w:val="00C37141"/>
    <w:rsid w:val="00C54501"/>
    <w:rsid w:val="00C54D75"/>
    <w:rsid w:val="00C60937"/>
    <w:rsid w:val="00C62B69"/>
    <w:rsid w:val="00C6327B"/>
    <w:rsid w:val="00C6377F"/>
    <w:rsid w:val="00C66B8C"/>
    <w:rsid w:val="00C745AB"/>
    <w:rsid w:val="00C767D8"/>
    <w:rsid w:val="00C76CCF"/>
    <w:rsid w:val="00C97DBB"/>
    <w:rsid w:val="00CA1C31"/>
    <w:rsid w:val="00CA3A01"/>
    <w:rsid w:val="00CA3B10"/>
    <w:rsid w:val="00CA4E06"/>
    <w:rsid w:val="00CA7D00"/>
    <w:rsid w:val="00CB1A24"/>
    <w:rsid w:val="00CC77BE"/>
    <w:rsid w:val="00CD07C8"/>
    <w:rsid w:val="00CD1E4E"/>
    <w:rsid w:val="00CD2E4C"/>
    <w:rsid w:val="00CD3F67"/>
    <w:rsid w:val="00CE4D5B"/>
    <w:rsid w:val="00CE7E2C"/>
    <w:rsid w:val="00CF06C4"/>
    <w:rsid w:val="00CF1D2B"/>
    <w:rsid w:val="00D106B6"/>
    <w:rsid w:val="00D22E3F"/>
    <w:rsid w:val="00D322E3"/>
    <w:rsid w:val="00D5283A"/>
    <w:rsid w:val="00D61108"/>
    <w:rsid w:val="00D61305"/>
    <w:rsid w:val="00D67AA8"/>
    <w:rsid w:val="00D70320"/>
    <w:rsid w:val="00D76F4A"/>
    <w:rsid w:val="00D81550"/>
    <w:rsid w:val="00D816A9"/>
    <w:rsid w:val="00D833F3"/>
    <w:rsid w:val="00DA542B"/>
    <w:rsid w:val="00DB3AE3"/>
    <w:rsid w:val="00DB3BF4"/>
    <w:rsid w:val="00DC347B"/>
    <w:rsid w:val="00DD3E04"/>
    <w:rsid w:val="00DD5640"/>
    <w:rsid w:val="00DE5492"/>
    <w:rsid w:val="00DF2609"/>
    <w:rsid w:val="00DF6444"/>
    <w:rsid w:val="00E00E94"/>
    <w:rsid w:val="00E043F1"/>
    <w:rsid w:val="00E175D1"/>
    <w:rsid w:val="00E17C7E"/>
    <w:rsid w:val="00E20B50"/>
    <w:rsid w:val="00E254AD"/>
    <w:rsid w:val="00E30DF9"/>
    <w:rsid w:val="00E3157A"/>
    <w:rsid w:val="00E35E0A"/>
    <w:rsid w:val="00E42CDD"/>
    <w:rsid w:val="00E43791"/>
    <w:rsid w:val="00E5422C"/>
    <w:rsid w:val="00E543E5"/>
    <w:rsid w:val="00E54984"/>
    <w:rsid w:val="00E65574"/>
    <w:rsid w:val="00E70774"/>
    <w:rsid w:val="00E82FB5"/>
    <w:rsid w:val="00E8563B"/>
    <w:rsid w:val="00E9463D"/>
    <w:rsid w:val="00E969D5"/>
    <w:rsid w:val="00EB7DA3"/>
    <w:rsid w:val="00EC74A1"/>
    <w:rsid w:val="00ED672F"/>
    <w:rsid w:val="00ED6C45"/>
    <w:rsid w:val="00ED7846"/>
    <w:rsid w:val="00EE1168"/>
    <w:rsid w:val="00EE2AA5"/>
    <w:rsid w:val="00EF0867"/>
    <w:rsid w:val="00EF40F4"/>
    <w:rsid w:val="00EF6FA3"/>
    <w:rsid w:val="00F00719"/>
    <w:rsid w:val="00F0161B"/>
    <w:rsid w:val="00F14BEB"/>
    <w:rsid w:val="00F21DA9"/>
    <w:rsid w:val="00F24A73"/>
    <w:rsid w:val="00F33F94"/>
    <w:rsid w:val="00F34C1A"/>
    <w:rsid w:val="00F37DC9"/>
    <w:rsid w:val="00F43CE0"/>
    <w:rsid w:val="00F525F4"/>
    <w:rsid w:val="00F527E9"/>
    <w:rsid w:val="00F71664"/>
    <w:rsid w:val="00F774A0"/>
    <w:rsid w:val="00F779FB"/>
    <w:rsid w:val="00F83213"/>
    <w:rsid w:val="00FA77C2"/>
    <w:rsid w:val="00FB19CC"/>
    <w:rsid w:val="00FB1FCF"/>
    <w:rsid w:val="00FC3314"/>
    <w:rsid w:val="00FD60AC"/>
    <w:rsid w:val="00FF2193"/>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645252"/>
    <w:rPr>
      <w:szCs w:val="20"/>
    </w:rPr>
  </w:style>
  <w:style w:type="character" w:customStyle="1" w:styleId="FootnoteTextChar">
    <w:name w:val="Footnote Text Char"/>
    <w:basedOn w:val="DefaultParagraphFont"/>
    <w:link w:val="FootnoteText"/>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8</Pages>
  <Words>1969</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2022-01-03T15:08:00Z</cp:lastPrinted>
  <dcterms:created xsi:type="dcterms:W3CDTF">2023-07-07T13:30:00Z</dcterms:created>
  <dcterms:modified xsi:type="dcterms:W3CDTF">2023-07-07T13:33:00Z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