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9813C" w14:textId="77777777" w:rsidR="00B53CCB" w:rsidRPr="00B53CCB" w:rsidRDefault="00B53CCB" w:rsidP="00B53CCB">
      <w:pPr>
        <w:tabs>
          <w:tab w:val="left" w:pos="360"/>
        </w:tabs>
        <w:spacing w:after="0" w:line="240" w:lineRule="auto"/>
        <w:ind w:left="420"/>
        <w:jc w:val="center"/>
        <w:rPr>
          <w:rFonts w:eastAsia="SimSun" w:cs="Times New Roman"/>
          <w:b/>
          <w:kern w:val="0"/>
          <w:szCs w:val="20"/>
          <w14:ligatures w14:val="none"/>
        </w:rPr>
      </w:pPr>
      <w:r w:rsidRPr="00B53CCB">
        <w:rPr>
          <w:rFonts w:eastAsia="SimSun" w:cs="Times New Roman"/>
          <w:b/>
          <w:kern w:val="0"/>
          <w:szCs w:val="20"/>
          <w14:ligatures w14:val="none"/>
        </w:rPr>
        <w:t>BEFORE THE</w:t>
      </w:r>
    </w:p>
    <w:p w14:paraId="626FA520" w14:textId="77777777" w:rsidR="00B53CCB" w:rsidRPr="00B53CCB" w:rsidRDefault="00B53CCB" w:rsidP="00B53CCB">
      <w:pPr>
        <w:tabs>
          <w:tab w:val="left" w:pos="360"/>
        </w:tabs>
        <w:spacing w:after="0" w:line="240" w:lineRule="auto"/>
        <w:jc w:val="center"/>
        <w:rPr>
          <w:rFonts w:eastAsia="SimSun" w:cs="Times New Roman"/>
          <w:b/>
          <w:kern w:val="0"/>
          <w:szCs w:val="20"/>
          <w14:ligatures w14:val="none"/>
        </w:rPr>
      </w:pPr>
      <w:r w:rsidRPr="00B53CCB">
        <w:rPr>
          <w:rFonts w:eastAsia="SimSun" w:cs="Times New Roman"/>
          <w:b/>
          <w:kern w:val="0"/>
          <w:szCs w:val="20"/>
          <w14:ligatures w14:val="none"/>
        </w:rPr>
        <w:t>PENNSYLVANIA PUBLIC UTILITY COMMISSION</w:t>
      </w:r>
    </w:p>
    <w:p w14:paraId="701E9DA8" w14:textId="77777777" w:rsidR="00B53CCB" w:rsidRPr="00B53CCB" w:rsidRDefault="00B53CCB" w:rsidP="00B53CCB">
      <w:pPr>
        <w:tabs>
          <w:tab w:val="left" w:pos="360"/>
        </w:tabs>
        <w:spacing w:after="0" w:line="240" w:lineRule="auto"/>
        <w:jc w:val="both"/>
        <w:rPr>
          <w:rFonts w:eastAsia="SimSun" w:cs="Times New Roman"/>
          <w:b/>
          <w:kern w:val="0"/>
          <w:szCs w:val="20"/>
          <w14:ligatures w14:val="none"/>
        </w:rPr>
      </w:pPr>
    </w:p>
    <w:p w14:paraId="6193187C" w14:textId="77777777" w:rsidR="00B53CCB" w:rsidRPr="00B53CCB" w:rsidRDefault="00B53CCB" w:rsidP="00B53CCB">
      <w:pPr>
        <w:tabs>
          <w:tab w:val="left" w:pos="360"/>
        </w:tabs>
        <w:spacing w:after="0" w:line="240" w:lineRule="auto"/>
        <w:jc w:val="both"/>
        <w:rPr>
          <w:rFonts w:eastAsia="SimSun" w:cs="Times New Roman"/>
          <w:b/>
          <w:kern w:val="0"/>
          <w:szCs w:val="20"/>
          <w14:ligatures w14:val="none"/>
        </w:rPr>
      </w:pPr>
    </w:p>
    <w:p w14:paraId="631F40F6" w14:textId="77777777" w:rsidR="00B53CCB" w:rsidRPr="00B53CCB" w:rsidRDefault="00B53CCB" w:rsidP="00B53CCB">
      <w:pPr>
        <w:tabs>
          <w:tab w:val="left" w:pos="360"/>
        </w:tabs>
        <w:spacing w:after="0" w:line="240" w:lineRule="auto"/>
        <w:jc w:val="both"/>
        <w:rPr>
          <w:rFonts w:eastAsia="SimSun" w:cs="Times New Roman"/>
          <w:b/>
          <w:kern w:val="0"/>
          <w:szCs w:val="20"/>
          <w14:ligatures w14:val="none"/>
        </w:rPr>
      </w:pPr>
    </w:p>
    <w:p w14:paraId="410BF722" w14:textId="77777777" w:rsidR="00B53CCB" w:rsidRPr="00B53CCB" w:rsidRDefault="00B53CCB" w:rsidP="00B53CCB">
      <w:pPr>
        <w:tabs>
          <w:tab w:val="left" w:pos="360"/>
        </w:tabs>
        <w:spacing w:after="0" w:line="240" w:lineRule="auto"/>
        <w:jc w:val="both"/>
        <w:rPr>
          <w:rFonts w:eastAsia="SimSun" w:cs="Times New Roman"/>
          <w:kern w:val="0"/>
          <w:szCs w:val="20"/>
          <w14:ligatures w14:val="none"/>
        </w:rPr>
      </w:pPr>
      <w:r w:rsidRPr="00B53CCB">
        <w:rPr>
          <w:rFonts w:eastAsia="SimSun" w:cs="Times New Roman"/>
          <w:kern w:val="0"/>
          <w:szCs w:val="20"/>
          <w14:ligatures w14:val="none"/>
        </w:rPr>
        <w:t>Kathleen A. Plumb</w:t>
      </w:r>
      <w:r w:rsidRPr="00B53CCB">
        <w:rPr>
          <w:rFonts w:eastAsia="SimSun" w:cs="Times New Roman"/>
          <w:kern w:val="0"/>
          <w:szCs w:val="20"/>
          <w14:ligatures w14:val="none"/>
        </w:rPr>
        <w:tab/>
      </w:r>
      <w:r w:rsidRPr="00B53CCB">
        <w:rPr>
          <w:rFonts w:eastAsia="SimSun" w:cs="Times New Roman"/>
          <w:kern w:val="0"/>
          <w:szCs w:val="20"/>
          <w14:ligatures w14:val="none"/>
        </w:rPr>
        <w:tab/>
      </w:r>
      <w:r w:rsidRPr="00B53CCB">
        <w:rPr>
          <w:rFonts w:eastAsia="SimSun" w:cs="Times New Roman"/>
          <w:kern w:val="0"/>
          <w:szCs w:val="20"/>
          <w14:ligatures w14:val="none"/>
        </w:rPr>
        <w:tab/>
      </w:r>
      <w:r w:rsidRPr="00B53CCB">
        <w:rPr>
          <w:rFonts w:eastAsia="SimSun" w:cs="Times New Roman"/>
          <w:kern w:val="0"/>
          <w:szCs w:val="20"/>
          <w14:ligatures w14:val="none"/>
        </w:rPr>
        <w:tab/>
      </w:r>
      <w:r w:rsidRPr="00B53CCB">
        <w:rPr>
          <w:rFonts w:eastAsia="SimSun" w:cs="Times New Roman"/>
          <w:kern w:val="0"/>
          <w:szCs w:val="20"/>
          <w14:ligatures w14:val="none"/>
        </w:rPr>
        <w:tab/>
        <w:t>:</w:t>
      </w:r>
      <w:r w:rsidRPr="00B53CCB">
        <w:rPr>
          <w:rFonts w:eastAsia="SimSun" w:cs="Times New Roman"/>
          <w:kern w:val="0"/>
          <w:szCs w:val="20"/>
          <w14:ligatures w14:val="none"/>
        </w:rPr>
        <w:tab/>
      </w:r>
      <w:r w:rsidRPr="00B53CCB">
        <w:rPr>
          <w:rFonts w:eastAsia="SimSun" w:cs="Times New Roman"/>
          <w:kern w:val="0"/>
          <w:szCs w:val="20"/>
          <w14:ligatures w14:val="none"/>
        </w:rPr>
        <w:tab/>
        <w:t>C-2023-3041181</w:t>
      </w:r>
    </w:p>
    <w:p w14:paraId="03149E0F" w14:textId="77777777" w:rsidR="00B53CCB" w:rsidRPr="00B53CCB" w:rsidRDefault="00B53CCB" w:rsidP="00B53CCB">
      <w:pPr>
        <w:tabs>
          <w:tab w:val="left" w:pos="360"/>
        </w:tabs>
        <w:spacing w:after="0" w:line="240" w:lineRule="auto"/>
        <w:jc w:val="both"/>
        <w:rPr>
          <w:rFonts w:eastAsia="SimSun" w:cs="Times New Roman"/>
          <w:kern w:val="0"/>
          <w:szCs w:val="20"/>
          <w14:ligatures w14:val="none"/>
        </w:rPr>
      </w:pPr>
      <w:r w:rsidRPr="00B53CCB">
        <w:rPr>
          <w:rFonts w:eastAsia="SimSun" w:cs="Times New Roman"/>
          <w:kern w:val="0"/>
          <w:szCs w:val="20"/>
          <w14:ligatures w14:val="none"/>
        </w:rPr>
        <w:tab/>
      </w:r>
      <w:r w:rsidRPr="00B53CCB">
        <w:rPr>
          <w:rFonts w:eastAsia="SimSun" w:cs="Times New Roman"/>
          <w:kern w:val="0"/>
          <w:szCs w:val="20"/>
          <w14:ligatures w14:val="none"/>
        </w:rPr>
        <w:tab/>
      </w:r>
      <w:r w:rsidRPr="00B53CCB">
        <w:rPr>
          <w:rFonts w:eastAsia="SimSun" w:cs="Times New Roman"/>
          <w:kern w:val="0"/>
          <w:szCs w:val="20"/>
          <w14:ligatures w14:val="none"/>
        </w:rPr>
        <w:tab/>
      </w:r>
      <w:r w:rsidRPr="00B53CCB">
        <w:rPr>
          <w:rFonts w:eastAsia="SimSun" w:cs="Times New Roman"/>
          <w:kern w:val="0"/>
          <w:szCs w:val="20"/>
          <w14:ligatures w14:val="none"/>
        </w:rPr>
        <w:tab/>
      </w:r>
      <w:r w:rsidRPr="00B53CCB">
        <w:rPr>
          <w:rFonts w:eastAsia="SimSun" w:cs="Times New Roman"/>
          <w:kern w:val="0"/>
          <w:szCs w:val="20"/>
          <w14:ligatures w14:val="none"/>
        </w:rPr>
        <w:tab/>
      </w:r>
      <w:r w:rsidRPr="00B53CCB">
        <w:rPr>
          <w:rFonts w:eastAsia="SimSun" w:cs="Times New Roman"/>
          <w:kern w:val="0"/>
          <w:szCs w:val="20"/>
          <w14:ligatures w14:val="none"/>
        </w:rPr>
        <w:tab/>
      </w:r>
      <w:r w:rsidRPr="00B53CCB">
        <w:rPr>
          <w:rFonts w:eastAsia="SimSun" w:cs="Times New Roman"/>
          <w:kern w:val="0"/>
          <w:szCs w:val="20"/>
          <w14:ligatures w14:val="none"/>
        </w:rPr>
        <w:tab/>
      </w:r>
      <w:r w:rsidRPr="00B53CCB">
        <w:rPr>
          <w:rFonts w:eastAsia="SimSun" w:cs="Times New Roman"/>
          <w:kern w:val="0"/>
          <w:szCs w:val="20"/>
          <w14:ligatures w14:val="none"/>
        </w:rPr>
        <w:tab/>
        <w:t>:</w:t>
      </w:r>
      <w:r w:rsidRPr="00B53CCB">
        <w:rPr>
          <w:rFonts w:eastAsia="SimSun" w:cs="Times New Roman"/>
          <w:kern w:val="0"/>
          <w:szCs w:val="20"/>
          <w14:ligatures w14:val="none"/>
        </w:rPr>
        <w:tab/>
      </w:r>
    </w:p>
    <w:p w14:paraId="49005C99" w14:textId="77777777" w:rsidR="00B53CCB" w:rsidRPr="00B53CCB" w:rsidRDefault="00B53CCB" w:rsidP="00B53CCB">
      <w:pPr>
        <w:tabs>
          <w:tab w:val="left" w:pos="360"/>
          <w:tab w:val="left" w:pos="720"/>
        </w:tabs>
        <w:spacing w:after="0" w:line="240" w:lineRule="auto"/>
        <w:jc w:val="both"/>
        <w:rPr>
          <w:rFonts w:eastAsia="SimSun" w:cs="Times New Roman"/>
          <w:kern w:val="0"/>
          <w:szCs w:val="20"/>
          <w14:ligatures w14:val="none"/>
        </w:rPr>
      </w:pPr>
      <w:r w:rsidRPr="00B53CCB">
        <w:rPr>
          <w:rFonts w:eastAsia="SimSun" w:cs="Times New Roman"/>
          <w:kern w:val="0"/>
          <w:szCs w:val="20"/>
          <w14:ligatures w14:val="none"/>
        </w:rPr>
        <w:tab/>
      </w:r>
      <w:r w:rsidRPr="00B53CCB">
        <w:rPr>
          <w:rFonts w:eastAsia="SimSun" w:cs="Times New Roman"/>
          <w:kern w:val="0"/>
          <w:szCs w:val="20"/>
          <w14:ligatures w14:val="none"/>
        </w:rPr>
        <w:tab/>
        <w:t>v.</w:t>
      </w:r>
      <w:r w:rsidRPr="00B53CCB">
        <w:rPr>
          <w:rFonts w:eastAsia="SimSun" w:cs="Times New Roman"/>
          <w:kern w:val="0"/>
          <w:szCs w:val="20"/>
          <w14:ligatures w14:val="none"/>
        </w:rPr>
        <w:tab/>
      </w:r>
      <w:r w:rsidRPr="00B53CCB">
        <w:rPr>
          <w:rFonts w:eastAsia="SimSun" w:cs="Times New Roman"/>
          <w:kern w:val="0"/>
          <w:szCs w:val="20"/>
          <w14:ligatures w14:val="none"/>
        </w:rPr>
        <w:tab/>
      </w:r>
      <w:r w:rsidRPr="00B53CCB">
        <w:rPr>
          <w:rFonts w:eastAsia="SimSun" w:cs="Times New Roman"/>
          <w:kern w:val="0"/>
          <w:szCs w:val="20"/>
          <w14:ligatures w14:val="none"/>
        </w:rPr>
        <w:tab/>
      </w:r>
      <w:r w:rsidRPr="00B53CCB">
        <w:rPr>
          <w:rFonts w:eastAsia="SimSun" w:cs="Times New Roman"/>
          <w:kern w:val="0"/>
          <w:szCs w:val="20"/>
          <w14:ligatures w14:val="none"/>
        </w:rPr>
        <w:tab/>
      </w:r>
      <w:r w:rsidRPr="00B53CCB">
        <w:rPr>
          <w:rFonts w:eastAsia="SimSun" w:cs="Times New Roman"/>
          <w:kern w:val="0"/>
          <w:szCs w:val="20"/>
          <w14:ligatures w14:val="none"/>
        </w:rPr>
        <w:tab/>
      </w:r>
      <w:r w:rsidRPr="00B53CCB">
        <w:rPr>
          <w:rFonts w:eastAsia="SimSun" w:cs="Times New Roman"/>
          <w:kern w:val="0"/>
          <w:szCs w:val="20"/>
          <w14:ligatures w14:val="none"/>
        </w:rPr>
        <w:tab/>
        <w:t>:</w:t>
      </w:r>
      <w:r w:rsidRPr="00B53CCB">
        <w:rPr>
          <w:rFonts w:eastAsia="SimSun" w:cs="Times New Roman"/>
          <w:kern w:val="0"/>
          <w:szCs w:val="20"/>
          <w14:ligatures w14:val="none"/>
        </w:rPr>
        <w:tab/>
      </w:r>
      <w:r w:rsidRPr="00B53CCB">
        <w:rPr>
          <w:rFonts w:eastAsia="SimSun" w:cs="Times New Roman"/>
          <w:kern w:val="0"/>
          <w:szCs w:val="20"/>
          <w14:ligatures w14:val="none"/>
        </w:rPr>
        <w:tab/>
      </w:r>
    </w:p>
    <w:p w14:paraId="2DED2770" w14:textId="77777777" w:rsidR="00B53CCB" w:rsidRPr="00B53CCB" w:rsidRDefault="00B53CCB" w:rsidP="00B53CCB">
      <w:pPr>
        <w:tabs>
          <w:tab w:val="left" w:pos="360"/>
        </w:tabs>
        <w:spacing w:after="0" w:line="240" w:lineRule="auto"/>
        <w:jc w:val="both"/>
        <w:rPr>
          <w:rFonts w:eastAsia="SimSun" w:cs="Times New Roman"/>
          <w:kern w:val="0"/>
          <w:szCs w:val="20"/>
          <w14:ligatures w14:val="none"/>
        </w:rPr>
      </w:pPr>
      <w:r w:rsidRPr="00B53CCB">
        <w:rPr>
          <w:rFonts w:eastAsia="SimSun" w:cs="Times New Roman"/>
          <w:kern w:val="0"/>
          <w:szCs w:val="20"/>
          <w14:ligatures w14:val="none"/>
        </w:rPr>
        <w:tab/>
      </w:r>
      <w:r w:rsidRPr="00B53CCB">
        <w:rPr>
          <w:rFonts w:eastAsia="SimSun" w:cs="Times New Roman"/>
          <w:kern w:val="0"/>
          <w:szCs w:val="20"/>
          <w14:ligatures w14:val="none"/>
        </w:rPr>
        <w:tab/>
      </w:r>
      <w:r w:rsidRPr="00B53CCB">
        <w:rPr>
          <w:rFonts w:eastAsia="SimSun" w:cs="Times New Roman"/>
          <w:kern w:val="0"/>
          <w:szCs w:val="20"/>
          <w14:ligatures w14:val="none"/>
        </w:rPr>
        <w:tab/>
      </w:r>
      <w:r w:rsidRPr="00B53CCB">
        <w:rPr>
          <w:rFonts w:eastAsia="SimSun" w:cs="Times New Roman"/>
          <w:kern w:val="0"/>
          <w:szCs w:val="20"/>
          <w14:ligatures w14:val="none"/>
        </w:rPr>
        <w:tab/>
      </w:r>
      <w:r w:rsidRPr="00B53CCB">
        <w:rPr>
          <w:rFonts w:eastAsia="SimSun" w:cs="Times New Roman"/>
          <w:kern w:val="0"/>
          <w:szCs w:val="20"/>
          <w14:ligatures w14:val="none"/>
        </w:rPr>
        <w:tab/>
      </w:r>
      <w:r w:rsidRPr="00B53CCB">
        <w:rPr>
          <w:rFonts w:eastAsia="SimSun" w:cs="Times New Roman"/>
          <w:kern w:val="0"/>
          <w:szCs w:val="20"/>
          <w14:ligatures w14:val="none"/>
        </w:rPr>
        <w:tab/>
      </w:r>
      <w:r w:rsidRPr="00B53CCB">
        <w:rPr>
          <w:rFonts w:eastAsia="SimSun" w:cs="Times New Roman"/>
          <w:kern w:val="0"/>
          <w:szCs w:val="20"/>
          <w14:ligatures w14:val="none"/>
        </w:rPr>
        <w:tab/>
      </w:r>
      <w:r w:rsidRPr="00B53CCB">
        <w:rPr>
          <w:rFonts w:eastAsia="SimSun" w:cs="Times New Roman"/>
          <w:kern w:val="0"/>
          <w:szCs w:val="20"/>
          <w14:ligatures w14:val="none"/>
        </w:rPr>
        <w:tab/>
        <w:t>:</w:t>
      </w:r>
    </w:p>
    <w:p w14:paraId="7E0EB399" w14:textId="77777777" w:rsidR="00B53CCB" w:rsidRPr="00B53CCB" w:rsidRDefault="00B53CCB" w:rsidP="00B53CCB">
      <w:pPr>
        <w:tabs>
          <w:tab w:val="left" w:pos="360"/>
        </w:tabs>
        <w:spacing w:after="0" w:line="240" w:lineRule="auto"/>
        <w:jc w:val="both"/>
        <w:rPr>
          <w:rFonts w:eastAsia="SimSun" w:cs="Times New Roman"/>
          <w:kern w:val="0"/>
          <w:szCs w:val="20"/>
          <w14:ligatures w14:val="none"/>
        </w:rPr>
      </w:pPr>
      <w:r w:rsidRPr="00B53CCB">
        <w:rPr>
          <w:rFonts w:eastAsia="SimSun" w:cs="Times New Roman"/>
          <w:kern w:val="0"/>
          <w:szCs w:val="20"/>
          <w14:ligatures w14:val="none"/>
        </w:rPr>
        <w:t>Duquesne Light Company</w:t>
      </w:r>
      <w:r w:rsidRPr="00B53CCB">
        <w:rPr>
          <w:rFonts w:eastAsia="SimSun" w:cs="Times New Roman"/>
          <w:kern w:val="0"/>
          <w:szCs w:val="20"/>
          <w14:ligatures w14:val="none"/>
        </w:rPr>
        <w:tab/>
      </w:r>
      <w:r w:rsidRPr="00B53CCB">
        <w:rPr>
          <w:rFonts w:eastAsia="SimSun" w:cs="Times New Roman"/>
          <w:kern w:val="0"/>
          <w:szCs w:val="20"/>
          <w14:ligatures w14:val="none"/>
        </w:rPr>
        <w:tab/>
      </w:r>
      <w:r w:rsidRPr="00B53CCB">
        <w:rPr>
          <w:rFonts w:eastAsia="SimSun" w:cs="Times New Roman"/>
          <w:kern w:val="0"/>
          <w:szCs w:val="20"/>
          <w14:ligatures w14:val="none"/>
        </w:rPr>
        <w:tab/>
      </w:r>
      <w:r w:rsidRPr="00B53CCB">
        <w:rPr>
          <w:rFonts w:eastAsia="SimSun" w:cs="Times New Roman"/>
          <w:kern w:val="0"/>
          <w:szCs w:val="20"/>
          <w14:ligatures w14:val="none"/>
        </w:rPr>
        <w:tab/>
        <w:t>:</w:t>
      </w:r>
    </w:p>
    <w:p w14:paraId="150CF277" w14:textId="77777777" w:rsidR="00B53CCB" w:rsidRPr="00B53CCB" w:rsidRDefault="00B53CCB" w:rsidP="00B53CCB">
      <w:pPr>
        <w:tabs>
          <w:tab w:val="left" w:pos="-720"/>
          <w:tab w:val="left" w:pos="5040"/>
        </w:tabs>
        <w:suppressAutoHyphens/>
        <w:autoSpaceDE w:val="0"/>
        <w:autoSpaceDN w:val="0"/>
        <w:spacing w:after="0" w:line="240" w:lineRule="auto"/>
        <w:jc w:val="both"/>
        <w:rPr>
          <w:rFonts w:eastAsia="Times New Roman" w:cs="Times New Roman"/>
          <w:spacing w:val="-3"/>
          <w:kern w:val="0"/>
          <w:szCs w:val="24"/>
          <w14:ligatures w14:val="none"/>
        </w:rPr>
      </w:pPr>
    </w:p>
    <w:p w14:paraId="2CBE78B4" w14:textId="77777777" w:rsidR="00B53CCB" w:rsidRPr="00B53CCB" w:rsidRDefault="00B53CCB" w:rsidP="00B53CCB">
      <w:pPr>
        <w:tabs>
          <w:tab w:val="left" w:pos="-720"/>
          <w:tab w:val="left" w:pos="5040"/>
        </w:tabs>
        <w:suppressAutoHyphens/>
        <w:autoSpaceDE w:val="0"/>
        <w:autoSpaceDN w:val="0"/>
        <w:spacing w:after="0" w:line="240" w:lineRule="auto"/>
        <w:jc w:val="both"/>
        <w:rPr>
          <w:rFonts w:eastAsia="Times New Roman" w:cs="Times New Roman"/>
          <w:spacing w:val="-3"/>
          <w:kern w:val="0"/>
          <w:szCs w:val="24"/>
          <w14:ligatures w14:val="none"/>
        </w:rPr>
      </w:pPr>
    </w:p>
    <w:p w14:paraId="22295115" w14:textId="77777777" w:rsidR="00B53CCB" w:rsidRPr="00B53CCB" w:rsidRDefault="00B53CCB" w:rsidP="00B53CCB">
      <w:pPr>
        <w:tabs>
          <w:tab w:val="left" w:pos="-720"/>
          <w:tab w:val="left" w:pos="5040"/>
        </w:tabs>
        <w:suppressAutoHyphens/>
        <w:autoSpaceDE w:val="0"/>
        <w:autoSpaceDN w:val="0"/>
        <w:spacing w:after="0" w:line="240" w:lineRule="auto"/>
        <w:jc w:val="both"/>
        <w:rPr>
          <w:rFonts w:eastAsia="Times New Roman" w:cs="Times New Roman"/>
          <w:spacing w:val="-3"/>
          <w:kern w:val="0"/>
          <w:szCs w:val="24"/>
          <w14:ligatures w14:val="none"/>
        </w:rPr>
      </w:pPr>
    </w:p>
    <w:p w14:paraId="410ED7BA" w14:textId="514B94F2" w:rsidR="00792796" w:rsidRPr="00B53CCB" w:rsidRDefault="00B53CCB" w:rsidP="00B53CCB">
      <w:pPr>
        <w:spacing w:after="0" w:line="240" w:lineRule="auto"/>
        <w:jc w:val="center"/>
        <w:rPr>
          <w:b/>
          <w:bCs/>
        </w:rPr>
      </w:pPr>
      <w:r w:rsidRPr="00B53CCB">
        <w:rPr>
          <w:b/>
          <w:bCs/>
        </w:rPr>
        <w:t>INTERIM ORDER</w:t>
      </w:r>
    </w:p>
    <w:p w14:paraId="51E206AF" w14:textId="75507610" w:rsidR="00B53CCB" w:rsidRPr="00B53CCB" w:rsidRDefault="00B53CCB" w:rsidP="00B53CCB">
      <w:pPr>
        <w:spacing w:after="0" w:line="240" w:lineRule="auto"/>
        <w:jc w:val="center"/>
        <w:rPr>
          <w:u w:val="single"/>
        </w:rPr>
      </w:pPr>
      <w:r w:rsidRPr="00B53CCB">
        <w:rPr>
          <w:b/>
          <w:bCs/>
          <w:u w:val="single"/>
        </w:rPr>
        <w:t>DENYING MOTION FOR PROTECTIVE ORDER</w:t>
      </w:r>
    </w:p>
    <w:p w14:paraId="36A4D5DB" w14:textId="77777777" w:rsidR="00D72E67" w:rsidRDefault="00D72E67" w:rsidP="001E50C6">
      <w:pPr>
        <w:spacing w:after="0"/>
      </w:pPr>
    </w:p>
    <w:p w14:paraId="45F25487" w14:textId="65B22126" w:rsidR="00D72E67" w:rsidRDefault="00D72E67" w:rsidP="001E50C6">
      <w:pPr>
        <w:spacing w:after="0"/>
      </w:pPr>
      <w:r>
        <w:tab/>
      </w:r>
      <w:r>
        <w:tab/>
        <w:t>On June 8, 2023, Kathleen Plumb (Complainant) filed a formal complaint</w:t>
      </w:r>
      <w:r w:rsidR="0030149F">
        <w:t xml:space="preserve"> against Duquesne Light Company (DLC).  Ms. Plumb states that she has concerns about a new monopole that was installed beside her home because the lines are lower than she thinks they should be.</w:t>
      </w:r>
    </w:p>
    <w:p w14:paraId="51B4CDA3" w14:textId="77777777" w:rsidR="00EA30E2" w:rsidRDefault="00EA30E2" w:rsidP="001E50C6">
      <w:pPr>
        <w:spacing w:after="0"/>
      </w:pPr>
    </w:p>
    <w:p w14:paraId="25F706F9" w14:textId="07669F30" w:rsidR="0030149F" w:rsidRDefault="0030149F" w:rsidP="001E50C6">
      <w:pPr>
        <w:spacing w:after="0"/>
      </w:pPr>
      <w:r>
        <w:tab/>
      </w:r>
      <w:r>
        <w:tab/>
        <w:t>On June 26, 2023, DLC filed a motion for a protective order.  DLC asserts that Ms. Plumb seeks information that is customarily treated as confidential or proprietary.  DLC proposes an order that is in the form typically used in technical cases before the Commission, such as rate cases and transmission line applications.  DLC’s motion indicates that Ms. Plumb was provided with a copy of DLC’s proposed order, but she did not respond to DLC’s request for consent or objection to the proposed order.</w:t>
      </w:r>
    </w:p>
    <w:p w14:paraId="1726971A" w14:textId="77777777" w:rsidR="00EA30E2" w:rsidRDefault="00EA30E2" w:rsidP="001E50C6">
      <w:pPr>
        <w:spacing w:after="0"/>
      </w:pPr>
    </w:p>
    <w:p w14:paraId="1B7673D1" w14:textId="1171E997" w:rsidR="0030149F" w:rsidRDefault="0030149F" w:rsidP="001E50C6">
      <w:pPr>
        <w:spacing w:after="0"/>
      </w:pPr>
      <w:r>
        <w:tab/>
      </w:r>
      <w:r>
        <w:tab/>
        <w:t>DLC filed an answer to the complaint on June 28, 2023, admitting that it replaced the lattice structure near Ms. Plumb’s property with a steel monopole.  According to DLC the steel monopole conforms to the Commission-approved application for the replacement project</w:t>
      </w:r>
      <w:r w:rsidR="00A06D3B">
        <w:t xml:space="preserve"> and meets or exceeds industry standards.  DLC notes that the specifications of the replacement pole are proprietary.</w:t>
      </w:r>
    </w:p>
    <w:p w14:paraId="3E5A8AB2" w14:textId="77777777" w:rsidR="00EA30E2" w:rsidRDefault="00EA30E2" w:rsidP="001E50C6">
      <w:pPr>
        <w:spacing w:after="0"/>
      </w:pPr>
    </w:p>
    <w:p w14:paraId="566EF3F9" w14:textId="124609C8" w:rsidR="00A06D3B" w:rsidRDefault="00A06D3B" w:rsidP="001E50C6">
      <w:pPr>
        <w:spacing w:after="0"/>
      </w:pPr>
      <w:r>
        <w:tab/>
      </w:r>
      <w:r>
        <w:tab/>
        <w:t>This matter is scheduled for a hearing on September 7, 2023.  Ms. Plumb has not filed a response to DLC’s request for a protective order.</w:t>
      </w:r>
    </w:p>
    <w:p w14:paraId="306E8751" w14:textId="5E2DB878" w:rsidR="00E45A9A" w:rsidRPr="00E45A9A" w:rsidRDefault="00E45A9A" w:rsidP="001E50C6">
      <w:pPr>
        <w:tabs>
          <w:tab w:val="left" w:pos="1440"/>
        </w:tabs>
        <w:spacing w:after="0"/>
        <w:rPr>
          <w:rFonts w:eastAsia="Times New Roman" w:cs="Times New Roman"/>
          <w:kern w:val="0"/>
          <w:szCs w:val="20"/>
          <w14:ligatures w14:val="none"/>
        </w:rPr>
      </w:pPr>
      <w:r w:rsidRPr="00E45A9A">
        <w:rPr>
          <w:rFonts w:eastAsia="Times New Roman" w:cs="Times New Roman"/>
          <w:kern w:val="0"/>
          <w:szCs w:val="20"/>
          <w14:ligatures w14:val="none"/>
        </w:rPr>
        <w:lastRenderedPageBreak/>
        <w:t>The exclusion of records from the public domain is antithetical to the public’s interest in free and open access to the administrative process.  Therefore the Commission’s rules of procedure limit the circumstances under which matters should be shielded from the public eye:</w:t>
      </w:r>
    </w:p>
    <w:p w14:paraId="1B49FB14" w14:textId="77777777" w:rsidR="00E45A9A" w:rsidRPr="00E45A9A" w:rsidRDefault="00E45A9A" w:rsidP="00E45A9A">
      <w:pPr>
        <w:spacing w:before="100" w:beforeAutospacing="1" w:after="100" w:afterAutospacing="1" w:line="240" w:lineRule="auto"/>
        <w:ind w:left="1440" w:right="1080"/>
        <w:rPr>
          <w:rFonts w:eastAsia="Times New Roman" w:cs="Times New Roman"/>
          <w:kern w:val="0"/>
          <w:szCs w:val="24"/>
          <w14:ligatures w14:val="none"/>
        </w:rPr>
      </w:pPr>
      <w:r w:rsidRPr="00E45A9A">
        <w:rPr>
          <w:rFonts w:eastAsia="Times New Roman" w:cs="Times New Roman"/>
          <w:kern w:val="0"/>
          <w:szCs w:val="24"/>
          <w14:ligatures w14:val="none"/>
        </w:rPr>
        <w:t>    (a)  </w:t>
      </w:r>
      <w:r w:rsidRPr="00E45A9A">
        <w:rPr>
          <w:rFonts w:eastAsia="Times New Roman" w:cs="Times New Roman"/>
          <w:i/>
          <w:iCs/>
          <w:kern w:val="0"/>
          <w:szCs w:val="24"/>
          <w14:ligatures w14:val="none"/>
        </w:rPr>
        <w:t>General rule for adversarial proceedings</w:t>
      </w:r>
      <w:r w:rsidRPr="00E45A9A">
        <w:rPr>
          <w:rFonts w:eastAsia="Times New Roman" w:cs="Times New Roman"/>
          <w:kern w:val="0"/>
          <w:szCs w:val="24"/>
          <w14:ligatures w14:val="none"/>
        </w:rPr>
        <w:t xml:space="preserve">. A petition for protective order to limit the disclosure of a trade secret or other confidential information on the public record will be granted only when a party demonstrates that the potential harm to the party of providing the information would be substantial and that the harm to the party if the information is disclosed without restriction outweighs the public’s interest in free and open access to the administrative hearing process.… In considering whether a protective order to limit the availability of proprietary information should issue, the Commission or the presiding officer should consider, along with other relevant factors, the following: </w:t>
      </w:r>
    </w:p>
    <w:p w14:paraId="00320124" w14:textId="77777777" w:rsidR="00E45A9A" w:rsidRPr="00E45A9A" w:rsidRDefault="00E45A9A" w:rsidP="00E45A9A">
      <w:pPr>
        <w:spacing w:before="100" w:beforeAutospacing="1" w:after="100" w:afterAutospacing="1" w:line="240" w:lineRule="auto"/>
        <w:ind w:left="1440" w:right="1080"/>
        <w:rPr>
          <w:rFonts w:eastAsia="Times New Roman" w:cs="Times New Roman"/>
          <w:kern w:val="0"/>
          <w:szCs w:val="24"/>
          <w14:ligatures w14:val="none"/>
        </w:rPr>
      </w:pPr>
      <w:r w:rsidRPr="00E45A9A">
        <w:rPr>
          <w:rFonts w:eastAsia="Times New Roman" w:cs="Times New Roman"/>
          <w:kern w:val="0"/>
          <w:szCs w:val="24"/>
          <w14:ligatures w14:val="none"/>
        </w:rPr>
        <w:t xml:space="preserve">     (1)  The extent to which the disclosure would cause unfair economic or competitive damage. </w:t>
      </w:r>
    </w:p>
    <w:p w14:paraId="19627183" w14:textId="77777777" w:rsidR="00E45A9A" w:rsidRPr="00E45A9A" w:rsidRDefault="00E45A9A" w:rsidP="00E45A9A">
      <w:pPr>
        <w:spacing w:before="100" w:beforeAutospacing="1" w:after="100" w:afterAutospacing="1" w:line="240" w:lineRule="auto"/>
        <w:ind w:left="1440" w:right="1080"/>
        <w:rPr>
          <w:rFonts w:eastAsia="Times New Roman" w:cs="Times New Roman"/>
          <w:kern w:val="0"/>
          <w:szCs w:val="24"/>
          <w14:ligatures w14:val="none"/>
        </w:rPr>
      </w:pPr>
      <w:r w:rsidRPr="00E45A9A">
        <w:rPr>
          <w:rFonts w:eastAsia="Times New Roman" w:cs="Times New Roman"/>
          <w:kern w:val="0"/>
          <w:szCs w:val="24"/>
          <w14:ligatures w14:val="none"/>
        </w:rPr>
        <w:t xml:space="preserve">     (2)  The extent to which the information is known by others and used in similar activities. </w:t>
      </w:r>
    </w:p>
    <w:p w14:paraId="70A9613D" w14:textId="77777777" w:rsidR="00E45A9A" w:rsidRPr="00E45A9A" w:rsidRDefault="00E45A9A" w:rsidP="00E45A9A">
      <w:pPr>
        <w:spacing w:before="100" w:beforeAutospacing="1" w:after="100" w:afterAutospacing="1" w:line="240" w:lineRule="auto"/>
        <w:ind w:left="1440" w:right="1080"/>
        <w:rPr>
          <w:rFonts w:eastAsia="Times New Roman" w:cs="Times New Roman"/>
          <w:kern w:val="0"/>
          <w:szCs w:val="24"/>
          <w14:ligatures w14:val="none"/>
        </w:rPr>
      </w:pPr>
      <w:r w:rsidRPr="00E45A9A">
        <w:rPr>
          <w:rFonts w:eastAsia="Times New Roman" w:cs="Times New Roman"/>
          <w:kern w:val="0"/>
          <w:szCs w:val="24"/>
          <w14:ligatures w14:val="none"/>
        </w:rPr>
        <w:t xml:space="preserve">     (3)  The worth or value of the information to the party and to the party’s competitors. </w:t>
      </w:r>
    </w:p>
    <w:p w14:paraId="2D0467A4" w14:textId="77777777" w:rsidR="00E45A9A" w:rsidRPr="00E45A9A" w:rsidRDefault="00E45A9A" w:rsidP="00E45A9A">
      <w:pPr>
        <w:spacing w:before="100" w:beforeAutospacing="1" w:after="100" w:afterAutospacing="1" w:line="240" w:lineRule="auto"/>
        <w:ind w:left="1440" w:right="1080"/>
        <w:rPr>
          <w:rFonts w:eastAsia="Times New Roman" w:cs="Times New Roman"/>
          <w:kern w:val="0"/>
          <w:szCs w:val="24"/>
          <w14:ligatures w14:val="none"/>
        </w:rPr>
      </w:pPr>
      <w:r w:rsidRPr="00E45A9A">
        <w:rPr>
          <w:rFonts w:eastAsia="Times New Roman" w:cs="Times New Roman"/>
          <w:kern w:val="0"/>
          <w:szCs w:val="24"/>
          <w14:ligatures w14:val="none"/>
        </w:rPr>
        <w:t xml:space="preserve">     (4)  The degree of difficulty and cost of developing the information. </w:t>
      </w:r>
    </w:p>
    <w:p w14:paraId="1D08BBA6" w14:textId="77777777" w:rsidR="00E45A9A" w:rsidRPr="00E45A9A" w:rsidRDefault="00E45A9A" w:rsidP="00E45A9A">
      <w:pPr>
        <w:spacing w:before="100" w:beforeAutospacing="1" w:after="100" w:afterAutospacing="1" w:line="240" w:lineRule="auto"/>
        <w:ind w:left="1440" w:right="1080"/>
        <w:rPr>
          <w:rFonts w:eastAsia="Times New Roman" w:cs="Times New Roman"/>
          <w:kern w:val="0"/>
          <w:szCs w:val="24"/>
          <w14:ligatures w14:val="none"/>
        </w:rPr>
      </w:pPr>
      <w:r w:rsidRPr="00E45A9A">
        <w:rPr>
          <w:rFonts w:eastAsia="Times New Roman" w:cs="Times New Roman"/>
          <w:kern w:val="0"/>
          <w:szCs w:val="24"/>
          <w14:ligatures w14:val="none"/>
        </w:rPr>
        <w:t>     (5)  Other statutes or regulations dealing specifically with disclosure of the information.</w:t>
      </w:r>
      <w:r w:rsidRPr="00E45A9A">
        <w:rPr>
          <w:rFonts w:eastAsia="Times New Roman" w:cs="Times New Roman"/>
          <w:kern w:val="0"/>
          <w:szCs w:val="24"/>
          <w:vertAlign w:val="superscript"/>
          <w14:ligatures w14:val="none"/>
        </w:rPr>
        <w:footnoteReference w:id="1"/>
      </w:r>
    </w:p>
    <w:p w14:paraId="73138434" w14:textId="77777777" w:rsidR="00E45A9A" w:rsidRPr="00E45A9A" w:rsidRDefault="00E45A9A" w:rsidP="00EA30E2">
      <w:pPr>
        <w:spacing w:after="0"/>
        <w:ind w:left="1440" w:right="1080"/>
        <w:rPr>
          <w:rFonts w:eastAsia="Times New Roman" w:cs="Times New Roman"/>
          <w:kern w:val="0"/>
          <w:szCs w:val="24"/>
          <w14:ligatures w14:val="none"/>
        </w:rPr>
      </w:pPr>
    </w:p>
    <w:p w14:paraId="356EB0CB" w14:textId="5BAE3106" w:rsidR="001D5989" w:rsidRDefault="00E45A9A" w:rsidP="00EA30E2">
      <w:pPr>
        <w:tabs>
          <w:tab w:val="left" w:pos="1440"/>
        </w:tabs>
        <w:spacing w:after="0"/>
        <w:rPr>
          <w:rFonts w:eastAsia="Times New Roman" w:cs="Times New Roman"/>
          <w:kern w:val="0"/>
          <w:szCs w:val="20"/>
          <w14:ligatures w14:val="none"/>
        </w:rPr>
      </w:pPr>
      <w:r w:rsidRPr="00E45A9A">
        <w:rPr>
          <w:rFonts w:eastAsia="Times New Roman" w:cs="Times New Roman"/>
          <w:kern w:val="0"/>
          <w:szCs w:val="20"/>
          <w14:ligatures w14:val="none"/>
        </w:rPr>
        <w:t xml:space="preserve">Although common in public utility rate proceedings that involve sensitive financial information, </w:t>
      </w:r>
      <w:r w:rsidR="00635365">
        <w:rPr>
          <w:rFonts w:eastAsia="Times New Roman" w:cs="Times New Roman"/>
          <w:kern w:val="0"/>
          <w:szCs w:val="20"/>
          <w14:ligatures w14:val="none"/>
        </w:rPr>
        <w:t>sophisticated parties and</w:t>
      </w:r>
      <w:r w:rsidR="00002F7C">
        <w:rPr>
          <w:rFonts w:eastAsia="Times New Roman" w:cs="Times New Roman"/>
          <w:kern w:val="0"/>
          <w:szCs w:val="20"/>
          <w14:ligatures w14:val="none"/>
        </w:rPr>
        <w:t xml:space="preserve"> the rapid exchange of high volumes of information, </w:t>
      </w:r>
      <w:r w:rsidRPr="00E45A9A">
        <w:rPr>
          <w:rFonts w:eastAsia="Times New Roman" w:cs="Times New Roman"/>
          <w:kern w:val="0"/>
          <w:szCs w:val="20"/>
          <w14:ligatures w14:val="none"/>
        </w:rPr>
        <w:t xml:space="preserve">it is less common for a protective order to be appropriate in a </w:t>
      </w:r>
      <w:r>
        <w:rPr>
          <w:rFonts w:eastAsia="Times New Roman" w:cs="Times New Roman"/>
          <w:kern w:val="0"/>
          <w:szCs w:val="20"/>
          <w14:ligatures w14:val="none"/>
        </w:rPr>
        <w:t>consumer complaint</w:t>
      </w:r>
      <w:r w:rsidR="001D5989">
        <w:rPr>
          <w:rFonts w:eastAsia="Times New Roman" w:cs="Times New Roman"/>
          <w:kern w:val="0"/>
          <w:szCs w:val="20"/>
          <w14:ligatures w14:val="none"/>
        </w:rPr>
        <w:t>.</w:t>
      </w:r>
    </w:p>
    <w:p w14:paraId="5DFDBAAF" w14:textId="77777777" w:rsidR="001D5989" w:rsidRDefault="001D5989" w:rsidP="00EA30E2">
      <w:pPr>
        <w:tabs>
          <w:tab w:val="left" w:pos="1440"/>
        </w:tabs>
        <w:spacing w:after="0"/>
        <w:rPr>
          <w:rFonts w:eastAsia="Times New Roman" w:cs="Times New Roman"/>
          <w:kern w:val="0"/>
          <w:szCs w:val="20"/>
          <w14:ligatures w14:val="none"/>
        </w:rPr>
      </w:pPr>
    </w:p>
    <w:p w14:paraId="44DA54C9" w14:textId="77777777" w:rsidR="00131141" w:rsidRDefault="001D5989" w:rsidP="00EA30E2">
      <w:pPr>
        <w:tabs>
          <w:tab w:val="left" w:pos="1440"/>
        </w:tabs>
        <w:spacing w:after="0"/>
        <w:rPr>
          <w:rFonts w:eastAsia="Times New Roman" w:cs="Times New Roman"/>
          <w:kern w:val="0"/>
          <w:szCs w:val="20"/>
          <w14:ligatures w14:val="none"/>
        </w:rPr>
      </w:pPr>
      <w:r>
        <w:rPr>
          <w:rFonts w:eastAsia="Times New Roman" w:cs="Times New Roman"/>
          <w:kern w:val="0"/>
          <w:szCs w:val="20"/>
          <w14:ligatures w14:val="none"/>
        </w:rPr>
        <w:tab/>
      </w:r>
      <w:r w:rsidR="005F6FCE">
        <w:rPr>
          <w:rFonts w:eastAsia="Times New Roman" w:cs="Times New Roman"/>
          <w:kern w:val="0"/>
          <w:szCs w:val="20"/>
          <w14:ligatures w14:val="none"/>
        </w:rPr>
        <w:t xml:space="preserve">The Complainant here is </w:t>
      </w:r>
      <w:r w:rsidR="006072D3">
        <w:rPr>
          <w:rFonts w:eastAsia="Times New Roman" w:cs="Times New Roman"/>
          <w:kern w:val="0"/>
          <w:szCs w:val="20"/>
          <w14:ligatures w14:val="none"/>
        </w:rPr>
        <w:t>self-represented</w:t>
      </w:r>
      <w:r w:rsidR="00E45A9A" w:rsidRPr="00E45A9A">
        <w:rPr>
          <w:rFonts w:eastAsia="Times New Roman" w:cs="Times New Roman"/>
          <w:kern w:val="0"/>
          <w:szCs w:val="20"/>
          <w14:ligatures w14:val="none"/>
        </w:rPr>
        <w:t xml:space="preserve">.  </w:t>
      </w:r>
      <w:r w:rsidR="005F6FCE">
        <w:rPr>
          <w:rFonts w:eastAsia="Times New Roman" w:cs="Times New Roman"/>
          <w:kern w:val="0"/>
          <w:szCs w:val="20"/>
          <w14:ligatures w14:val="none"/>
        </w:rPr>
        <w:t>DLC’s motion for a protective order does not specify what information it seeks to protect.  Instead, the proposed order</w:t>
      </w:r>
      <w:r w:rsidR="00412D69">
        <w:rPr>
          <w:rFonts w:eastAsia="Times New Roman" w:cs="Times New Roman"/>
          <w:kern w:val="0"/>
          <w:szCs w:val="20"/>
          <w14:ligatures w14:val="none"/>
        </w:rPr>
        <w:t xml:space="preserve"> generally classifies</w:t>
      </w:r>
      <w:r w:rsidR="002E5F18">
        <w:rPr>
          <w:rFonts w:eastAsia="Times New Roman" w:cs="Times New Roman"/>
          <w:kern w:val="0"/>
          <w:szCs w:val="20"/>
          <w14:ligatures w14:val="none"/>
        </w:rPr>
        <w:t xml:space="preserve"> different levels of confidentiality and places the burden on the complainant to raise an objection</w:t>
      </w:r>
      <w:r w:rsidR="00131141">
        <w:rPr>
          <w:rFonts w:eastAsia="Times New Roman" w:cs="Times New Roman"/>
          <w:kern w:val="0"/>
          <w:szCs w:val="20"/>
          <w14:ligatures w14:val="none"/>
        </w:rPr>
        <w:t xml:space="preserve"> to a particular document or class of documents that one party labels as confidential or </w:t>
      </w:r>
      <w:r w:rsidR="00131141">
        <w:rPr>
          <w:rFonts w:eastAsia="Times New Roman" w:cs="Times New Roman"/>
          <w:kern w:val="0"/>
          <w:szCs w:val="20"/>
          <w14:ligatures w14:val="none"/>
        </w:rPr>
        <w:lastRenderedPageBreak/>
        <w:t>highly confidential</w:t>
      </w:r>
      <w:r w:rsidR="002E5F18">
        <w:rPr>
          <w:rFonts w:eastAsia="Times New Roman" w:cs="Times New Roman"/>
          <w:kern w:val="0"/>
          <w:szCs w:val="20"/>
          <w14:ligatures w14:val="none"/>
        </w:rPr>
        <w:t xml:space="preserve">. </w:t>
      </w:r>
      <w:r w:rsidR="00826DAD">
        <w:rPr>
          <w:rFonts w:eastAsia="Times New Roman" w:cs="Times New Roman"/>
          <w:kern w:val="0"/>
          <w:szCs w:val="20"/>
          <w14:ligatures w14:val="none"/>
        </w:rPr>
        <w:t xml:space="preserve">In technical cases where most of the parties involved are legally trained, and the litigation timelines are short, this type of order </w:t>
      </w:r>
      <w:r w:rsidR="00A27996">
        <w:rPr>
          <w:rFonts w:eastAsia="Times New Roman" w:cs="Times New Roman"/>
          <w:kern w:val="0"/>
          <w:szCs w:val="20"/>
          <w14:ligatures w14:val="none"/>
        </w:rPr>
        <w:t xml:space="preserve">is appropriate.  </w:t>
      </w:r>
    </w:p>
    <w:p w14:paraId="45D617EC" w14:textId="77777777" w:rsidR="00131141" w:rsidRDefault="00131141" w:rsidP="00EA30E2">
      <w:pPr>
        <w:tabs>
          <w:tab w:val="left" w:pos="1440"/>
        </w:tabs>
        <w:spacing w:after="0"/>
        <w:rPr>
          <w:rFonts w:eastAsia="Times New Roman" w:cs="Times New Roman"/>
          <w:kern w:val="0"/>
          <w:szCs w:val="20"/>
          <w14:ligatures w14:val="none"/>
        </w:rPr>
      </w:pPr>
    </w:p>
    <w:p w14:paraId="0193D73D" w14:textId="41E24117" w:rsidR="006C3A86" w:rsidRDefault="00131141" w:rsidP="00EA30E2">
      <w:pPr>
        <w:tabs>
          <w:tab w:val="left" w:pos="1440"/>
        </w:tabs>
        <w:spacing w:after="0"/>
        <w:rPr>
          <w:rFonts w:eastAsia="Times New Roman" w:cs="Times New Roman"/>
          <w:kern w:val="0"/>
          <w:szCs w:val="20"/>
          <w14:ligatures w14:val="none"/>
        </w:rPr>
      </w:pPr>
      <w:r>
        <w:rPr>
          <w:rFonts w:eastAsia="Times New Roman" w:cs="Times New Roman"/>
          <w:kern w:val="0"/>
          <w:szCs w:val="20"/>
          <w14:ligatures w14:val="none"/>
        </w:rPr>
        <w:tab/>
      </w:r>
      <w:r w:rsidR="00A27996">
        <w:rPr>
          <w:rFonts w:eastAsia="Times New Roman" w:cs="Times New Roman"/>
          <w:kern w:val="0"/>
          <w:szCs w:val="20"/>
          <w14:ligatures w14:val="none"/>
        </w:rPr>
        <w:t xml:space="preserve">I do not find the </w:t>
      </w:r>
      <w:r w:rsidR="00161224">
        <w:rPr>
          <w:rFonts w:eastAsia="Times New Roman" w:cs="Times New Roman"/>
          <w:kern w:val="0"/>
          <w:szCs w:val="20"/>
          <w14:ligatures w14:val="none"/>
        </w:rPr>
        <w:t>proposed</w:t>
      </w:r>
      <w:r w:rsidR="00A27996">
        <w:rPr>
          <w:rFonts w:eastAsia="Times New Roman" w:cs="Times New Roman"/>
          <w:kern w:val="0"/>
          <w:szCs w:val="20"/>
          <w14:ligatures w14:val="none"/>
        </w:rPr>
        <w:t xml:space="preserve"> order appropriate for a consumer case. </w:t>
      </w:r>
      <w:r w:rsidR="00EA30E2">
        <w:rPr>
          <w:rFonts w:eastAsia="Times New Roman" w:cs="Times New Roman"/>
          <w:kern w:val="0"/>
          <w:szCs w:val="20"/>
          <w14:ligatures w14:val="none"/>
        </w:rPr>
        <w:t xml:space="preserve"> </w:t>
      </w:r>
      <w:r w:rsidR="005D38C1">
        <w:rPr>
          <w:rFonts w:eastAsia="Times New Roman" w:cs="Times New Roman"/>
          <w:kern w:val="0"/>
          <w:szCs w:val="20"/>
          <w14:ligatures w14:val="none"/>
        </w:rPr>
        <w:t xml:space="preserve">For the purposes of discovery, even informal discovery, DLC does not need approval from the Commission to ask the Complainant to sign a non-disclosure agreement in order to view material that DLC believes is proprietary or confidential. </w:t>
      </w:r>
      <w:r w:rsidR="00EA30E2">
        <w:rPr>
          <w:rFonts w:eastAsia="Times New Roman" w:cs="Times New Roman"/>
          <w:kern w:val="0"/>
          <w:szCs w:val="20"/>
          <w14:ligatures w14:val="none"/>
        </w:rPr>
        <w:t xml:space="preserve"> </w:t>
      </w:r>
      <w:r w:rsidR="005D38C1">
        <w:rPr>
          <w:rFonts w:eastAsia="Times New Roman" w:cs="Times New Roman"/>
          <w:kern w:val="0"/>
          <w:szCs w:val="20"/>
          <w14:ligatures w14:val="none"/>
        </w:rPr>
        <w:t>In the event that the parties are not able to resolve this complaint and the matter proceeds to hearing,</w:t>
      </w:r>
      <w:r w:rsidR="00A27996">
        <w:rPr>
          <w:rFonts w:eastAsia="Times New Roman" w:cs="Times New Roman"/>
          <w:kern w:val="0"/>
          <w:szCs w:val="20"/>
          <w14:ligatures w14:val="none"/>
        </w:rPr>
        <w:t xml:space="preserve"> DLC should specifically identify the documents that it wishes protected from the public record.</w:t>
      </w:r>
      <w:r w:rsidR="00EA30E2">
        <w:rPr>
          <w:rFonts w:eastAsia="Times New Roman" w:cs="Times New Roman"/>
          <w:kern w:val="0"/>
          <w:szCs w:val="20"/>
          <w14:ligatures w14:val="none"/>
        </w:rPr>
        <w:t xml:space="preserve"> </w:t>
      </w:r>
      <w:r w:rsidR="007174AA">
        <w:rPr>
          <w:rFonts w:eastAsia="Times New Roman" w:cs="Times New Roman"/>
          <w:kern w:val="0"/>
          <w:szCs w:val="20"/>
          <w14:ligatures w14:val="none"/>
        </w:rPr>
        <w:t xml:space="preserve"> DLC will carry the burden of demonstrating that the document or other material meets the requirements for protection from the public record.</w:t>
      </w:r>
      <w:r w:rsidR="00A27996">
        <w:rPr>
          <w:rFonts w:eastAsia="Times New Roman" w:cs="Times New Roman"/>
          <w:kern w:val="0"/>
          <w:szCs w:val="20"/>
          <w14:ligatures w14:val="none"/>
        </w:rPr>
        <w:t xml:space="preserve"> </w:t>
      </w:r>
      <w:r w:rsidR="00123ADD">
        <w:rPr>
          <w:rFonts w:eastAsia="Times New Roman" w:cs="Times New Roman"/>
          <w:kern w:val="0"/>
          <w:szCs w:val="20"/>
          <w14:ligatures w14:val="none"/>
        </w:rPr>
        <w:t xml:space="preserve"> The Complainant will then have a</w:t>
      </w:r>
      <w:r w:rsidR="00FC5652">
        <w:rPr>
          <w:rFonts w:eastAsia="Times New Roman" w:cs="Times New Roman"/>
          <w:kern w:val="0"/>
          <w:szCs w:val="20"/>
          <w14:ligatures w14:val="none"/>
        </w:rPr>
        <w:t xml:space="preserve"> more meaningful</w:t>
      </w:r>
      <w:r w:rsidR="00123ADD">
        <w:rPr>
          <w:rFonts w:eastAsia="Times New Roman" w:cs="Times New Roman"/>
          <w:kern w:val="0"/>
          <w:szCs w:val="20"/>
          <w14:ligatures w14:val="none"/>
        </w:rPr>
        <w:t xml:space="preserve"> opportunity to explain any objection</w:t>
      </w:r>
      <w:r w:rsidR="00FC5652">
        <w:rPr>
          <w:rFonts w:eastAsia="Times New Roman" w:cs="Times New Roman"/>
          <w:kern w:val="0"/>
          <w:szCs w:val="20"/>
          <w14:ligatures w14:val="none"/>
        </w:rPr>
        <w:t xml:space="preserve"> she may</w:t>
      </w:r>
      <w:r w:rsidR="00E90226">
        <w:rPr>
          <w:rFonts w:eastAsia="Times New Roman" w:cs="Times New Roman"/>
          <w:kern w:val="0"/>
          <w:szCs w:val="20"/>
          <w14:ligatures w14:val="none"/>
        </w:rPr>
        <w:t xml:space="preserve"> wish to make</w:t>
      </w:r>
      <w:r w:rsidR="00FC5652">
        <w:rPr>
          <w:rFonts w:eastAsia="Times New Roman" w:cs="Times New Roman"/>
          <w:kern w:val="0"/>
          <w:szCs w:val="20"/>
          <w14:ligatures w14:val="none"/>
        </w:rPr>
        <w:t xml:space="preserve">.  </w:t>
      </w:r>
      <w:r w:rsidR="006C3A86">
        <w:rPr>
          <w:rFonts w:eastAsia="Times New Roman" w:cs="Times New Roman"/>
          <w:kern w:val="0"/>
          <w:szCs w:val="20"/>
          <w14:ligatures w14:val="none"/>
        </w:rPr>
        <w:t>Therefore, DLC’s motion for a protective order will be denied without prejudice to</w:t>
      </w:r>
      <w:r w:rsidR="00DC0E5A">
        <w:rPr>
          <w:rFonts w:eastAsia="Times New Roman" w:cs="Times New Roman"/>
          <w:kern w:val="0"/>
          <w:szCs w:val="20"/>
          <w14:ligatures w14:val="none"/>
        </w:rPr>
        <w:t xml:space="preserve"> file a new motion once it identifies specific documents that should be treated as confidential.</w:t>
      </w:r>
      <w:r w:rsidR="006A5EE9">
        <w:rPr>
          <w:rStyle w:val="FootnoteReference"/>
          <w:rFonts w:eastAsia="Times New Roman" w:cs="Times New Roman"/>
          <w:kern w:val="0"/>
          <w:szCs w:val="20"/>
          <w14:ligatures w14:val="none"/>
        </w:rPr>
        <w:footnoteReference w:id="2"/>
      </w:r>
      <w:r w:rsidR="00A27996">
        <w:rPr>
          <w:rFonts w:eastAsia="Times New Roman" w:cs="Times New Roman"/>
          <w:kern w:val="0"/>
          <w:szCs w:val="20"/>
          <w14:ligatures w14:val="none"/>
        </w:rPr>
        <w:t xml:space="preserve"> </w:t>
      </w:r>
    </w:p>
    <w:p w14:paraId="7D0C3A87" w14:textId="77777777" w:rsidR="006C3A86" w:rsidRDefault="006C3A86" w:rsidP="00EA30E2">
      <w:pPr>
        <w:tabs>
          <w:tab w:val="left" w:pos="1440"/>
        </w:tabs>
        <w:spacing w:after="0"/>
        <w:rPr>
          <w:rFonts w:eastAsia="Times New Roman" w:cs="Times New Roman"/>
          <w:kern w:val="0"/>
          <w:szCs w:val="20"/>
          <w14:ligatures w14:val="none"/>
        </w:rPr>
      </w:pPr>
    </w:p>
    <w:p w14:paraId="0B28B7E9" w14:textId="1FE7ECDE" w:rsidR="00BB6F9D" w:rsidRDefault="00A80F4B" w:rsidP="00EA30E2">
      <w:pPr>
        <w:tabs>
          <w:tab w:val="left" w:pos="1440"/>
        </w:tabs>
        <w:spacing w:after="0"/>
        <w:rPr>
          <w:rFonts w:eastAsia="Times New Roman" w:cs="Times New Roman"/>
          <w:kern w:val="0"/>
          <w:szCs w:val="20"/>
          <w14:ligatures w14:val="none"/>
        </w:rPr>
      </w:pPr>
      <w:r>
        <w:rPr>
          <w:rFonts w:eastAsia="Times New Roman" w:cs="Times New Roman"/>
          <w:kern w:val="0"/>
          <w:szCs w:val="20"/>
          <w14:ligatures w14:val="none"/>
        </w:rPr>
        <w:tab/>
      </w:r>
      <w:r w:rsidR="00BB6F9D">
        <w:rPr>
          <w:rFonts w:eastAsia="Times New Roman" w:cs="Times New Roman"/>
          <w:kern w:val="0"/>
          <w:szCs w:val="20"/>
          <w14:ligatures w14:val="none"/>
        </w:rPr>
        <w:t>THEREFORE,</w:t>
      </w:r>
    </w:p>
    <w:p w14:paraId="5C33B587" w14:textId="77777777" w:rsidR="00BB6F9D" w:rsidRDefault="00BB6F9D" w:rsidP="00EA30E2">
      <w:pPr>
        <w:tabs>
          <w:tab w:val="left" w:pos="1440"/>
        </w:tabs>
        <w:spacing w:after="0"/>
        <w:rPr>
          <w:rFonts w:eastAsia="Times New Roman" w:cs="Times New Roman"/>
          <w:kern w:val="0"/>
          <w:szCs w:val="20"/>
          <w14:ligatures w14:val="none"/>
        </w:rPr>
      </w:pPr>
    </w:p>
    <w:p w14:paraId="7B3FB274" w14:textId="24D0C285" w:rsidR="00BB6F9D" w:rsidRDefault="0071025E" w:rsidP="00EA30E2">
      <w:pPr>
        <w:tabs>
          <w:tab w:val="left" w:pos="1440"/>
        </w:tabs>
        <w:spacing w:after="0"/>
        <w:rPr>
          <w:rFonts w:eastAsia="Times New Roman" w:cs="Times New Roman"/>
          <w:kern w:val="0"/>
          <w:szCs w:val="20"/>
          <w14:ligatures w14:val="none"/>
        </w:rPr>
      </w:pPr>
      <w:r>
        <w:rPr>
          <w:rFonts w:eastAsia="Times New Roman" w:cs="Times New Roman"/>
          <w:kern w:val="0"/>
          <w:szCs w:val="20"/>
          <w14:ligatures w14:val="none"/>
        </w:rPr>
        <w:tab/>
      </w:r>
      <w:r w:rsidR="00BB6F9D">
        <w:rPr>
          <w:rFonts w:eastAsia="Times New Roman" w:cs="Times New Roman"/>
          <w:kern w:val="0"/>
          <w:szCs w:val="20"/>
          <w14:ligatures w14:val="none"/>
        </w:rPr>
        <w:t>IT IS ORDERED:</w:t>
      </w:r>
    </w:p>
    <w:p w14:paraId="58BA25E5" w14:textId="77777777" w:rsidR="00BB6F9D" w:rsidRDefault="00BB6F9D" w:rsidP="00EA30E2">
      <w:pPr>
        <w:tabs>
          <w:tab w:val="left" w:pos="1440"/>
        </w:tabs>
        <w:spacing w:after="0"/>
        <w:rPr>
          <w:rFonts w:eastAsia="Times New Roman" w:cs="Times New Roman"/>
          <w:kern w:val="0"/>
          <w:szCs w:val="20"/>
          <w14:ligatures w14:val="none"/>
        </w:rPr>
      </w:pPr>
    </w:p>
    <w:p w14:paraId="3296DC34" w14:textId="2F86079A" w:rsidR="00BB6F9D" w:rsidRDefault="00BB6F9D" w:rsidP="00EA30E2">
      <w:pPr>
        <w:pStyle w:val="ListParagraph"/>
        <w:numPr>
          <w:ilvl w:val="0"/>
          <w:numId w:val="40"/>
        </w:numPr>
        <w:spacing w:after="0" w:afterAutospacing="0"/>
        <w:ind w:left="0" w:firstLine="1440"/>
        <w:rPr>
          <w:kern w:val="0"/>
          <w:szCs w:val="20"/>
          <w14:ligatures w14:val="none"/>
        </w:rPr>
      </w:pPr>
      <w:r w:rsidRPr="00EA30E2">
        <w:rPr>
          <w:kern w:val="0"/>
          <w:szCs w:val="20"/>
          <w14:ligatures w14:val="none"/>
        </w:rPr>
        <w:t>That the Motion for Protective Order filed by Duquesne Light Company in the above-captioned matter is denied without prejudice</w:t>
      </w:r>
      <w:r w:rsidR="00A47799" w:rsidRPr="00EA30E2">
        <w:rPr>
          <w:kern w:val="0"/>
          <w:szCs w:val="20"/>
          <w14:ligatures w14:val="none"/>
        </w:rPr>
        <w:t>.</w:t>
      </w:r>
    </w:p>
    <w:p w14:paraId="568C065A" w14:textId="77777777" w:rsidR="00EA30E2" w:rsidRPr="00EA30E2" w:rsidRDefault="00EA30E2" w:rsidP="00EA30E2">
      <w:pPr>
        <w:spacing w:after="0"/>
        <w:rPr>
          <w:kern w:val="0"/>
          <w:szCs w:val="20"/>
          <w14:ligatures w14:val="none"/>
        </w:rPr>
      </w:pPr>
    </w:p>
    <w:p w14:paraId="12FBDFB1" w14:textId="0CAE0AFC" w:rsidR="00A06D3B" w:rsidRDefault="00A06D3B" w:rsidP="00EA30E2">
      <w:pPr>
        <w:spacing w:after="0"/>
      </w:pPr>
    </w:p>
    <w:p w14:paraId="251AFE89" w14:textId="79E8B1E7" w:rsidR="00EA30E2" w:rsidRPr="00EA30E2" w:rsidRDefault="00EA30E2" w:rsidP="00EA30E2">
      <w:pPr>
        <w:spacing w:after="0" w:line="240" w:lineRule="auto"/>
        <w:rPr>
          <w:rFonts w:eastAsia="Times New Roman" w:cs="Times New Roman"/>
          <w:kern w:val="0"/>
          <w:szCs w:val="24"/>
          <w14:ligatures w14:val="none"/>
        </w:rPr>
      </w:pPr>
      <w:bookmarkStart w:id="0" w:name="_Hlk505862083"/>
      <w:r w:rsidRPr="00EA30E2">
        <w:rPr>
          <w:rFonts w:eastAsia="Times New Roman" w:cs="Times New Roman"/>
          <w:kern w:val="0"/>
          <w:szCs w:val="24"/>
          <w14:ligatures w14:val="none"/>
        </w:rPr>
        <w:t xml:space="preserve">Date:  </w:t>
      </w:r>
      <w:r>
        <w:rPr>
          <w:rFonts w:eastAsia="Times New Roman" w:cs="Times New Roman"/>
          <w:kern w:val="0"/>
          <w:szCs w:val="24"/>
          <w:u w:val="single"/>
          <w14:ligatures w14:val="none"/>
        </w:rPr>
        <w:t>July</w:t>
      </w:r>
      <w:r w:rsidRPr="00EA30E2">
        <w:rPr>
          <w:rFonts w:eastAsia="Times New Roman" w:cs="Times New Roman"/>
          <w:kern w:val="0"/>
          <w:szCs w:val="24"/>
          <w:u w:val="single"/>
          <w14:ligatures w14:val="none"/>
        </w:rPr>
        <w:t xml:space="preserve"> </w:t>
      </w:r>
      <w:r>
        <w:rPr>
          <w:rFonts w:eastAsia="Times New Roman" w:cs="Times New Roman"/>
          <w:kern w:val="0"/>
          <w:szCs w:val="24"/>
          <w:u w:val="single"/>
          <w14:ligatures w14:val="none"/>
        </w:rPr>
        <w:t>31</w:t>
      </w:r>
      <w:r w:rsidRPr="00EA30E2">
        <w:rPr>
          <w:rFonts w:eastAsia="Times New Roman" w:cs="Times New Roman"/>
          <w:kern w:val="0"/>
          <w:szCs w:val="24"/>
          <w:u w:val="single"/>
          <w14:ligatures w14:val="none"/>
        </w:rPr>
        <w:t>, 20</w:t>
      </w:r>
      <w:r>
        <w:rPr>
          <w:rFonts w:eastAsia="Times New Roman" w:cs="Times New Roman"/>
          <w:kern w:val="0"/>
          <w:szCs w:val="24"/>
          <w:u w:val="single"/>
          <w14:ligatures w14:val="none"/>
        </w:rPr>
        <w:t>23</w:t>
      </w:r>
      <w:r w:rsidRPr="00EA30E2">
        <w:rPr>
          <w:rFonts w:eastAsia="Times New Roman" w:cs="Times New Roman"/>
          <w:kern w:val="0"/>
          <w:szCs w:val="24"/>
          <w14:ligatures w14:val="none"/>
        </w:rPr>
        <w:tab/>
      </w:r>
      <w:r w:rsidRPr="00EA30E2">
        <w:rPr>
          <w:rFonts w:eastAsia="Times New Roman" w:cs="Times New Roman"/>
          <w:kern w:val="0"/>
          <w:szCs w:val="24"/>
          <w14:ligatures w14:val="none"/>
        </w:rPr>
        <w:tab/>
      </w:r>
      <w:r w:rsidRPr="00EA30E2">
        <w:rPr>
          <w:rFonts w:eastAsia="Times New Roman" w:cs="Times New Roman"/>
          <w:kern w:val="0"/>
          <w:szCs w:val="24"/>
          <w14:ligatures w14:val="none"/>
        </w:rPr>
        <w:tab/>
      </w:r>
      <w:r w:rsidRPr="00EA30E2">
        <w:rPr>
          <w:rFonts w:eastAsia="Times New Roman" w:cs="Times New Roman"/>
          <w:kern w:val="0"/>
          <w:szCs w:val="24"/>
          <w14:ligatures w14:val="none"/>
        </w:rPr>
        <w:tab/>
      </w:r>
      <w:r>
        <w:rPr>
          <w:rFonts w:eastAsia="Times New Roman" w:cs="Times New Roman"/>
          <w:kern w:val="0"/>
          <w:szCs w:val="24"/>
          <w14:ligatures w14:val="none"/>
        </w:rPr>
        <w:tab/>
      </w:r>
      <w:r w:rsidRPr="00EA30E2">
        <w:rPr>
          <w:rFonts w:eastAsia="Times New Roman" w:cs="Times New Roman"/>
          <w:kern w:val="0"/>
          <w:szCs w:val="24"/>
          <w:u w:val="single"/>
          <w14:ligatures w14:val="none"/>
        </w:rPr>
        <w:tab/>
      </w:r>
      <w:r w:rsidRPr="00EA30E2">
        <w:rPr>
          <w:rFonts w:eastAsia="Times New Roman" w:cs="Times New Roman"/>
          <w:kern w:val="0"/>
          <w:szCs w:val="24"/>
          <w:u w:val="single"/>
          <w14:ligatures w14:val="none"/>
        </w:rPr>
        <w:tab/>
        <w:t>/s/</w:t>
      </w:r>
      <w:r w:rsidRPr="00EA30E2">
        <w:rPr>
          <w:rFonts w:eastAsia="Times New Roman" w:cs="Times New Roman"/>
          <w:kern w:val="0"/>
          <w:szCs w:val="24"/>
          <w:u w:val="single"/>
          <w14:ligatures w14:val="none"/>
        </w:rPr>
        <w:tab/>
      </w:r>
      <w:r w:rsidRPr="00EA30E2">
        <w:rPr>
          <w:rFonts w:eastAsia="Times New Roman" w:cs="Times New Roman"/>
          <w:kern w:val="0"/>
          <w:szCs w:val="24"/>
          <w:u w:val="single"/>
          <w14:ligatures w14:val="none"/>
        </w:rPr>
        <w:tab/>
      </w:r>
      <w:r w:rsidRPr="00EA30E2">
        <w:rPr>
          <w:rFonts w:eastAsia="Times New Roman" w:cs="Times New Roman"/>
          <w:kern w:val="0"/>
          <w:szCs w:val="24"/>
          <w:u w:val="single"/>
          <w14:ligatures w14:val="none"/>
        </w:rPr>
        <w:tab/>
      </w:r>
      <w:r w:rsidRPr="00EA30E2">
        <w:rPr>
          <w:rFonts w:eastAsia="Times New Roman" w:cs="Times New Roman"/>
          <w:kern w:val="0"/>
          <w:szCs w:val="24"/>
          <w:u w:val="single"/>
          <w14:ligatures w14:val="none"/>
        </w:rPr>
        <w:tab/>
      </w:r>
    </w:p>
    <w:p w14:paraId="17A3946E" w14:textId="77777777" w:rsidR="00EA30E2" w:rsidRPr="00EA30E2" w:rsidRDefault="00EA30E2" w:rsidP="00EA30E2">
      <w:pPr>
        <w:spacing w:after="0" w:line="240" w:lineRule="auto"/>
        <w:rPr>
          <w:rFonts w:eastAsia="Times New Roman" w:cs="Times New Roman"/>
          <w:kern w:val="0"/>
          <w:szCs w:val="24"/>
          <w14:ligatures w14:val="none"/>
        </w:rPr>
      </w:pPr>
      <w:r w:rsidRPr="00EA30E2">
        <w:rPr>
          <w:rFonts w:eastAsia="Times New Roman" w:cs="Times New Roman"/>
          <w:kern w:val="0"/>
          <w:szCs w:val="24"/>
          <w14:ligatures w14:val="none"/>
        </w:rPr>
        <w:tab/>
      </w:r>
      <w:r w:rsidRPr="00EA30E2">
        <w:rPr>
          <w:rFonts w:eastAsia="Times New Roman" w:cs="Times New Roman"/>
          <w:kern w:val="0"/>
          <w:szCs w:val="24"/>
          <w14:ligatures w14:val="none"/>
        </w:rPr>
        <w:tab/>
      </w:r>
      <w:r w:rsidRPr="00EA30E2">
        <w:rPr>
          <w:rFonts w:eastAsia="Times New Roman" w:cs="Times New Roman"/>
          <w:kern w:val="0"/>
          <w:szCs w:val="24"/>
          <w14:ligatures w14:val="none"/>
        </w:rPr>
        <w:tab/>
      </w:r>
      <w:r w:rsidRPr="00EA30E2">
        <w:rPr>
          <w:rFonts w:eastAsia="Times New Roman" w:cs="Times New Roman"/>
          <w:kern w:val="0"/>
          <w:szCs w:val="24"/>
          <w14:ligatures w14:val="none"/>
        </w:rPr>
        <w:tab/>
      </w:r>
      <w:r w:rsidRPr="00EA30E2">
        <w:rPr>
          <w:rFonts w:eastAsia="Times New Roman" w:cs="Times New Roman"/>
          <w:kern w:val="0"/>
          <w:szCs w:val="24"/>
          <w14:ligatures w14:val="none"/>
        </w:rPr>
        <w:tab/>
      </w:r>
      <w:r w:rsidRPr="00EA30E2">
        <w:rPr>
          <w:rFonts w:eastAsia="Times New Roman" w:cs="Times New Roman"/>
          <w:kern w:val="0"/>
          <w:szCs w:val="24"/>
          <w14:ligatures w14:val="none"/>
        </w:rPr>
        <w:tab/>
      </w:r>
      <w:r w:rsidRPr="00EA30E2">
        <w:rPr>
          <w:rFonts w:eastAsia="Times New Roman" w:cs="Times New Roman"/>
          <w:kern w:val="0"/>
          <w:szCs w:val="24"/>
          <w14:ligatures w14:val="none"/>
        </w:rPr>
        <w:tab/>
        <w:t>Mary D. Long</w:t>
      </w:r>
    </w:p>
    <w:p w14:paraId="7981FE73" w14:textId="77777777" w:rsidR="00EA30E2" w:rsidRPr="00EA30E2" w:rsidRDefault="00EA30E2" w:rsidP="00EA30E2">
      <w:pPr>
        <w:spacing w:after="0" w:line="240" w:lineRule="auto"/>
        <w:rPr>
          <w:rFonts w:eastAsia="Times New Roman" w:cs="Times New Roman"/>
          <w:kern w:val="0"/>
          <w:szCs w:val="24"/>
          <w14:ligatures w14:val="none"/>
        </w:rPr>
      </w:pPr>
      <w:r w:rsidRPr="00EA30E2">
        <w:rPr>
          <w:rFonts w:eastAsia="Times New Roman" w:cs="Times New Roman"/>
          <w:kern w:val="0"/>
          <w:szCs w:val="24"/>
          <w14:ligatures w14:val="none"/>
        </w:rPr>
        <w:tab/>
      </w:r>
      <w:r w:rsidRPr="00EA30E2">
        <w:rPr>
          <w:rFonts w:eastAsia="Times New Roman" w:cs="Times New Roman"/>
          <w:kern w:val="0"/>
          <w:szCs w:val="24"/>
          <w14:ligatures w14:val="none"/>
        </w:rPr>
        <w:tab/>
      </w:r>
      <w:r w:rsidRPr="00EA30E2">
        <w:rPr>
          <w:rFonts w:eastAsia="Times New Roman" w:cs="Times New Roman"/>
          <w:kern w:val="0"/>
          <w:szCs w:val="24"/>
          <w14:ligatures w14:val="none"/>
        </w:rPr>
        <w:tab/>
      </w:r>
      <w:r w:rsidRPr="00EA30E2">
        <w:rPr>
          <w:rFonts w:eastAsia="Times New Roman" w:cs="Times New Roman"/>
          <w:kern w:val="0"/>
          <w:szCs w:val="24"/>
          <w14:ligatures w14:val="none"/>
        </w:rPr>
        <w:tab/>
      </w:r>
      <w:r w:rsidRPr="00EA30E2">
        <w:rPr>
          <w:rFonts w:eastAsia="Times New Roman" w:cs="Times New Roman"/>
          <w:kern w:val="0"/>
          <w:szCs w:val="24"/>
          <w14:ligatures w14:val="none"/>
        </w:rPr>
        <w:tab/>
      </w:r>
      <w:r w:rsidRPr="00EA30E2">
        <w:rPr>
          <w:rFonts w:eastAsia="Times New Roman" w:cs="Times New Roman"/>
          <w:kern w:val="0"/>
          <w:szCs w:val="24"/>
          <w14:ligatures w14:val="none"/>
        </w:rPr>
        <w:tab/>
      </w:r>
      <w:r w:rsidRPr="00EA30E2">
        <w:rPr>
          <w:rFonts w:eastAsia="Times New Roman" w:cs="Times New Roman"/>
          <w:kern w:val="0"/>
          <w:szCs w:val="24"/>
          <w14:ligatures w14:val="none"/>
        </w:rPr>
        <w:tab/>
        <w:t>Administrative Law Judge</w:t>
      </w:r>
    </w:p>
    <w:bookmarkEnd w:id="0"/>
    <w:p w14:paraId="6BBDABB0" w14:textId="77777777" w:rsidR="00EA30E2" w:rsidRDefault="00EA30E2" w:rsidP="00EA30E2">
      <w:pPr>
        <w:spacing w:after="0"/>
        <w:sectPr w:rsidR="00EA30E2" w:rsidSect="003279AB">
          <w:footerReference w:type="default" r:id="rId7"/>
          <w:pgSz w:w="12240" w:h="15840"/>
          <w:pgMar w:top="1440" w:right="1440" w:bottom="1440" w:left="1440" w:header="720" w:footer="720" w:gutter="0"/>
          <w:cols w:space="720"/>
          <w:titlePg/>
          <w:docGrid w:linePitch="360"/>
        </w:sectPr>
      </w:pPr>
    </w:p>
    <w:p w14:paraId="70691ED0" w14:textId="77777777" w:rsidR="00EA30E2" w:rsidRPr="00EA30E2" w:rsidRDefault="00EA30E2" w:rsidP="00EA30E2">
      <w:pPr>
        <w:spacing w:line="259" w:lineRule="auto"/>
        <w:rPr>
          <w:rFonts w:ascii="Calibri" w:eastAsia="Times New Roman" w:hAnsi="Calibri" w:cs="Times New Roman"/>
          <w:sz w:val="22"/>
        </w:rPr>
      </w:pPr>
      <w:r w:rsidRPr="00EA30E2">
        <w:rPr>
          <w:rFonts w:ascii="Microsoft Sans Serif" w:eastAsia="Microsoft Sans Serif" w:hAnsi="Microsoft Sans Serif" w:cs="Microsoft Sans Serif"/>
          <w:b/>
          <w:u w:val="single"/>
        </w:rPr>
        <w:lastRenderedPageBreak/>
        <w:t>C-2023-3041181 - KATHLEEN A. PLUMB v. DUQUESNE LIGHT COMPANY</w:t>
      </w:r>
      <w:r w:rsidRPr="00EA30E2">
        <w:rPr>
          <w:rFonts w:ascii="Microsoft Sans Serif" w:eastAsia="Microsoft Sans Serif" w:hAnsi="Microsoft Sans Serif" w:cs="Microsoft Sans Serif"/>
          <w:b/>
          <w:u w:val="single"/>
        </w:rPr>
        <w:cr/>
      </w:r>
      <w:r w:rsidRPr="00EA30E2">
        <w:rPr>
          <w:rFonts w:ascii="Microsoft Sans Serif" w:eastAsia="Microsoft Sans Serif" w:hAnsi="Microsoft Sans Serif" w:cs="Microsoft Sans Serif"/>
          <w:b/>
          <w:u w:val="single"/>
        </w:rPr>
        <w:cr/>
      </w:r>
      <w:r w:rsidRPr="00EA30E2">
        <w:rPr>
          <w:rFonts w:ascii="Microsoft Sans Serif" w:eastAsia="Microsoft Sans Serif" w:hAnsi="Microsoft Sans Serif" w:cs="Microsoft Sans Serif"/>
        </w:rPr>
        <w:t>KATHLEEN A PLUMB</w:t>
      </w:r>
      <w:r w:rsidRPr="00EA30E2">
        <w:rPr>
          <w:rFonts w:ascii="Microsoft Sans Serif" w:eastAsia="Microsoft Sans Serif" w:hAnsi="Microsoft Sans Serif" w:cs="Microsoft Sans Serif"/>
        </w:rPr>
        <w:cr/>
        <w:t>1200 CRESCENT BLVD EXT</w:t>
      </w:r>
      <w:r w:rsidRPr="00EA30E2">
        <w:rPr>
          <w:rFonts w:ascii="Microsoft Sans Serif" w:eastAsia="Microsoft Sans Serif" w:hAnsi="Microsoft Sans Serif" w:cs="Microsoft Sans Serif"/>
        </w:rPr>
        <w:cr/>
        <w:t>CRESCENT PA 15046</w:t>
      </w:r>
      <w:r w:rsidRPr="00EA30E2">
        <w:rPr>
          <w:rFonts w:ascii="Microsoft Sans Serif" w:eastAsia="Microsoft Sans Serif" w:hAnsi="Microsoft Sans Serif" w:cs="Microsoft Sans Serif"/>
        </w:rPr>
        <w:cr/>
      </w:r>
      <w:r w:rsidRPr="00EA30E2">
        <w:rPr>
          <w:rFonts w:ascii="Microsoft Sans Serif" w:eastAsia="Microsoft Sans Serif" w:hAnsi="Microsoft Sans Serif" w:cs="Microsoft Sans Serif"/>
          <w:b/>
          <w:bCs/>
        </w:rPr>
        <w:t>412.848.8929</w:t>
      </w:r>
      <w:r w:rsidRPr="00EA30E2">
        <w:rPr>
          <w:rFonts w:ascii="Microsoft Sans Serif" w:eastAsia="Microsoft Sans Serif" w:hAnsi="Microsoft Sans Serif" w:cs="Microsoft Sans Serif"/>
          <w:b/>
          <w:bCs/>
        </w:rPr>
        <w:cr/>
        <w:t>724.457.1432</w:t>
      </w:r>
      <w:r w:rsidRPr="00EA30E2">
        <w:rPr>
          <w:rFonts w:ascii="Microsoft Sans Serif" w:eastAsia="Microsoft Sans Serif" w:hAnsi="Microsoft Sans Serif" w:cs="Microsoft Sans Serif"/>
        </w:rPr>
        <w:cr/>
      </w:r>
      <w:hyperlink r:id="rId8" w:history="1">
        <w:r w:rsidRPr="00EA30E2">
          <w:rPr>
            <w:rFonts w:ascii="Microsoft Sans Serif" w:eastAsia="Microsoft Sans Serif" w:hAnsi="Microsoft Sans Serif" w:cs="Microsoft Sans Serif"/>
            <w:color w:val="0563C1"/>
            <w:u w:val="single"/>
          </w:rPr>
          <w:t>jkjplumb@comcast.net</w:t>
        </w:r>
      </w:hyperlink>
      <w:r w:rsidRPr="00EA30E2">
        <w:rPr>
          <w:rFonts w:ascii="Microsoft Sans Serif" w:eastAsia="Microsoft Sans Serif" w:hAnsi="Microsoft Sans Serif" w:cs="Microsoft Sans Serif"/>
        </w:rPr>
        <w:br/>
        <w:t>Accepts eService</w:t>
      </w:r>
      <w:r w:rsidRPr="00EA30E2">
        <w:rPr>
          <w:rFonts w:ascii="Microsoft Sans Serif" w:eastAsia="Microsoft Sans Serif" w:hAnsi="Microsoft Sans Serif" w:cs="Microsoft Sans Serif"/>
        </w:rPr>
        <w:cr/>
      </w:r>
    </w:p>
    <w:p w14:paraId="0BD01537" w14:textId="77777777" w:rsidR="00EA30E2" w:rsidRPr="00EA30E2" w:rsidRDefault="00EA30E2" w:rsidP="00EA30E2">
      <w:pPr>
        <w:spacing w:line="259" w:lineRule="auto"/>
        <w:rPr>
          <w:rFonts w:ascii="Calibri" w:eastAsia="Times New Roman" w:hAnsi="Calibri" w:cs="Times New Roman"/>
          <w:sz w:val="22"/>
        </w:rPr>
      </w:pPr>
      <w:r w:rsidRPr="00EA30E2">
        <w:rPr>
          <w:rFonts w:ascii="Microsoft Sans Serif" w:eastAsia="Microsoft Sans Serif" w:hAnsi="Microsoft Sans Serif" w:cs="Microsoft Sans Serif"/>
        </w:rPr>
        <w:t>EMILY M FARAH ESQUIRE</w:t>
      </w:r>
      <w:r w:rsidRPr="00EA30E2">
        <w:rPr>
          <w:rFonts w:ascii="Microsoft Sans Serif" w:eastAsia="Microsoft Sans Serif" w:hAnsi="Microsoft Sans Serif" w:cs="Microsoft Sans Serif"/>
        </w:rPr>
        <w:cr/>
        <w:t>DUQUESNE LIGHT COMPANY</w:t>
      </w:r>
      <w:r w:rsidRPr="00EA30E2">
        <w:rPr>
          <w:rFonts w:ascii="Microsoft Sans Serif" w:eastAsia="Microsoft Sans Serif" w:hAnsi="Microsoft Sans Serif" w:cs="Microsoft Sans Serif"/>
        </w:rPr>
        <w:cr/>
        <w:t>411 SEVENTH AVENUE</w:t>
      </w:r>
      <w:r w:rsidRPr="00EA30E2">
        <w:rPr>
          <w:rFonts w:ascii="Microsoft Sans Serif" w:eastAsia="Microsoft Sans Serif" w:hAnsi="Microsoft Sans Serif" w:cs="Microsoft Sans Serif"/>
        </w:rPr>
        <w:cr/>
        <w:t>PITTSBURGH PA  15219</w:t>
      </w:r>
      <w:r w:rsidRPr="00EA30E2">
        <w:rPr>
          <w:rFonts w:ascii="Microsoft Sans Serif" w:eastAsia="Microsoft Sans Serif" w:hAnsi="Microsoft Sans Serif" w:cs="Microsoft Sans Serif"/>
        </w:rPr>
        <w:cr/>
      </w:r>
      <w:r w:rsidRPr="00EA30E2">
        <w:rPr>
          <w:rFonts w:ascii="Microsoft Sans Serif" w:eastAsia="Microsoft Sans Serif" w:hAnsi="Microsoft Sans Serif" w:cs="Microsoft Sans Serif"/>
          <w:b/>
          <w:bCs/>
        </w:rPr>
        <w:t>412.393.6431</w:t>
      </w:r>
      <w:r w:rsidRPr="00EA30E2">
        <w:rPr>
          <w:rFonts w:ascii="Microsoft Sans Serif" w:eastAsia="Microsoft Sans Serif" w:hAnsi="Microsoft Sans Serif" w:cs="Microsoft Sans Serif"/>
        </w:rPr>
        <w:cr/>
      </w:r>
      <w:hyperlink r:id="rId9" w:history="1">
        <w:r w:rsidRPr="00EA30E2">
          <w:rPr>
            <w:rFonts w:ascii="Microsoft Sans Serif" w:eastAsia="Microsoft Sans Serif" w:hAnsi="Microsoft Sans Serif" w:cs="Microsoft Sans Serif"/>
            <w:color w:val="0563C1"/>
            <w:u w:val="single"/>
          </w:rPr>
          <w:t>efarah@duqlight.com</w:t>
        </w:r>
      </w:hyperlink>
      <w:r w:rsidRPr="00EA30E2">
        <w:rPr>
          <w:rFonts w:ascii="Microsoft Sans Serif" w:eastAsia="Microsoft Sans Serif" w:hAnsi="Microsoft Sans Serif" w:cs="Microsoft Sans Serif"/>
        </w:rPr>
        <w:br/>
        <w:t>Accepts eService</w:t>
      </w:r>
      <w:r w:rsidRPr="00EA30E2">
        <w:rPr>
          <w:rFonts w:ascii="Microsoft Sans Serif" w:eastAsia="Microsoft Sans Serif" w:hAnsi="Microsoft Sans Serif" w:cs="Microsoft Sans Serif"/>
        </w:rPr>
        <w:cr/>
      </w:r>
      <w:r w:rsidRPr="00EA30E2">
        <w:rPr>
          <w:rFonts w:ascii="Microsoft Sans Serif" w:eastAsia="Microsoft Sans Serif" w:hAnsi="Microsoft Sans Serif" w:cs="Microsoft Sans Serif"/>
        </w:rPr>
        <w:cr/>
      </w:r>
    </w:p>
    <w:p w14:paraId="2F24385E" w14:textId="77777777" w:rsidR="00EA30E2" w:rsidRDefault="00EA30E2" w:rsidP="00EA30E2">
      <w:pPr>
        <w:spacing w:after="0"/>
      </w:pPr>
    </w:p>
    <w:sectPr w:rsidR="00EA30E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698FB" w14:textId="77777777" w:rsidR="00D51EB5" w:rsidRDefault="00D51EB5" w:rsidP="00E45A9A">
      <w:pPr>
        <w:spacing w:after="0" w:line="240" w:lineRule="auto"/>
      </w:pPr>
      <w:r>
        <w:separator/>
      </w:r>
    </w:p>
  </w:endnote>
  <w:endnote w:type="continuationSeparator" w:id="0">
    <w:p w14:paraId="1A16EC7B" w14:textId="77777777" w:rsidR="00D51EB5" w:rsidRDefault="00D51EB5" w:rsidP="00E45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920637"/>
      <w:docPartObj>
        <w:docPartGallery w:val="Page Numbers (Bottom of Page)"/>
        <w:docPartUnique/>
      </w:docPartObj>
    </w:sdtPr>
    <w:sdtEndPr>
      <w:rPr>
        <w:noProof/>
      </w:rPr>
    </w:sdtEndPr>
    <w:sdtContent>
      <w:p w14:paraId="47336BFF" w14:textId="7D3F3261" w:rsidR="003279AB" w:rsidRDefault="003279AB">
        <w:pPr>
          <w:pStyle w:val="Footer"/>
          <w:jc w:val="center"/>
        </w:pPr>
        <w:r w:rsidRPr="001E50C6">
          <w:rPr>
            <w:sz w:val="20"/>
            <w:szCs w:val="20"/>
          </w:rPr>
          <w:fldChar w:fldCharType="begin"/>
        </w:r>
        <w:r w:rsidRPr="001E50C6">
          <w:rPr>
            <w:sz w:val="20"/>
            <w:szCs w:val="20"/>
          </w:rPr>
          <w:instrText xml:space="preserve"> PAGE   \* MERGEFORMAT </w:instrText>
        </w:r>
        <w:r w:rsidRPr="001E50C6">
          <w:rPr>
            <w:sz w:val="20"/>
            <w:szCs w:val="20"/>
          </w:rPr>
          <w:fldChar w:fldCharType="separate"/>
        </w:r>
        <w:r w:rsidRPr="001E50C6">
          <w:rPr>
            <w:noProof/>
            <w:sz w:val="20"/>
            <w:szCs w:val="20"/>
          </w:rPr>
          <w:t>2</w:t>
        </w:r>
        <w:r w:rsidRPr="001E50C6">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659B" w14:textId="01AF9C5C" w:rsidR="00EA30E2" w:rsidRDefault="00EA30E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E0AEC" w14:textId="77777777" w:rsidR="00D51EB5" w:rsidRDefault="00D51EB5" w:rsidP="00E45A9A">
      <w:pPr>
        <w:spacing w:after="0" w:line="240" w:lineRule="auto"/>
      </w:pPr>
      <w:r>
        <w:separator/>
      </w:r>
    </w:p>
  </w:footnote>
  <w:footnote w:type="continuationSeparator" w:id="0">
    <w:p w14:paraId="1E499745" w14:textId="77777777" w:rsidR="00D51EB5" w:rsidRDefault="00D51EB5" w:rsidP="00E45A9A">
      <w:pPr>
        <w:spacing w:after="0" w:line="240" w:lineRule="auto"/>
      </w:pPr>
      <w:r>
        <w:continuationSeparator/>
      </w:r>
    </w:p>
  </w:footnote>
  <w:footnote w:id="1">
    <w:p w14:paraId="4225BFE7" w14:textId="77777777" w:rsidR="00E45A9A" w:rsidRDefault="00E45A9A" w:rsidP="001E50C6">
      <w:pPr>
        <w:pStyle w:val="FootnoteText"/>
        <w:spacing w:after="0"/>
        <w:ind w:firstLine="720"/>
      </w:pPr>
      <w:r>
        <w:rPr>
          <w:rStyle w:val="FootnoteReference"/>
        </w:rPr>
        <w:footnoteRef/>
      </w:r>
      <w:r>
        <w:t xml:space="preserve">  </w:t>
      </w:r>
      <w:r>
        <w:tab/>
        <w:t>52 Pa.Code § 5.365.</w:t>
      </w:r>
    </w:p>
  </w:footnote>
  <w:footnote w:id="2">
    <w:p w14:paraId="024B38BD" w14:textId="03817F29" w:rsidR="006A5EE9" w:rsidRDefault="00356E42" w:rsidP="001E50C6">
      <w:pPr>
        <w:pStyle w:val="FootnoteText"/>
        <w:spacing w:after="0"/>
      </w:pPr>
      <w:r>
        <w:tab/>
      </w:r>
      <w:r w:rsidR="006A5EE9">
        <w:rPr>
          <w:rStyle w:val="FootnoteReference"/>
        </w:rPr>
        <w:footnoteRef/>
      </w:r>
      <w:r w:rsidR="006A5EE9">
        <w:t xml:space="preserve"> </w:t>
      </w:r>
      <w:r w:rsidR="006A5EE9">
        <w:tab/>
      </w:r>
      <w:r>
        <w:t xml:space="preserve">I further note that </w:t>
      </w:r>
      <w:r w:rsidRPr="00356E42">
        <w:t>Confidential Security Information (CSI) as defined by 35 P.S. § 2141 et seq. should not be transmitted by email or other electronic means.  The parties are to avoid introducing CSI into the record and should develop alternative means, such as joint stipulations or redaction when proposing exhibits.  If there is no other alternative to establish a material fact other than by CSI, the parties are to contact the presiding ALJ immediately and in advance of the evidentiary hearing.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7904F26"/>
    <w:multiLevelType w:val="hybridMultilevel"/>
    <w:tmpl w:val="3FC82508"/>
    <w:lvl w:ilvl="0" w:tplc="F01E55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FA096D"/>
    <w:multiLevelType w:val="hybridMultilevel"/>
    <w:tmpl w:val="FF10AD44"/>
    <w:lvl w:ilvl="0" w:tplc="88B0443C">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490625"/>
    <w:multiLevelType w:val="hybridMultilevel"/>
    <w:tmpl w:val="0776960C"/>
    <w:lvl w:ilvl="0" w:tplc="EA0EC33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575169208">
    <w:abstractNumId w:val="32"/>
  </w:num>
  <w:num w:numId="2" w16cid:durableId="434331319">
    <w:abstractNumId w:val="22"/>
  </w:num>
  <w:num w:numId="3" w16cid:durableId="700204405">
    <w:abstractNumId w:val="30"/>
  </w:num>
  <w:num w:numId="4" w16cid:durableId="1443763581">
    <w:abstractNumId w:val="34"/>
  </w:num>
  <w:num w:numId="5" w16cid:durableId="1888641000">
    <w:abstractNumId w:val="11"/>
  </w:num>
  <w:num w:numId="6" w16cid:durableId="771897392">
    <w:abstractNumId w:val="8"/>
  </w:num>
  <w:num w:numId="7" w16cid:durableId="401686284">
    <w:abstractNumId w:val="6"/>
  </w:num>
  <w:num w:numId="8" w16cid:durableId="905720563">
    <w:abstractNumId w:val="33"/>
  </w:num>
  <w:num w:numId="9" w16cid:durableId="76749609">
    <w:abstractNumId w:val="3"/>
  </w:num>
  <w:num w:numId="10" w16cid:durableId="1172405981">
    <w:abstractNumId w:val="24"/>
  </w:num>
  <w:num w:numId="11" w16cid:durableId="1312253715">
    <w:abstractNumId w:val="29"/>
  </w:num>
  <w:num w:numId="12" w16cid:durableId="10184379">
    <w:abstractNumId w:val="18"/>
  </w:num>
  <w:num w:numId="13" w16cid:durableId="529227091">
    <w:abstractNumId w:val="26"/>
  </w:num>
  <w:num w:numId="14" w16cid:durableId="2083213294">
    <w:abstractNumId w:val="31"/>
  </w:num>
  <w:num w:numId="15" w16cid:durableId="103304739">
    <w:abstractNumId w:val="0"/>
  </w:num>
  <w:num w:numId="16" w16cid:durableId="1268391741">
    <w:abstractNumId w:val="23"/>
  </w:num>
  <w:num w:numId="17" w16cid:durableId="1737705955">
    <w:abstractNumId w:val="23"/>
  </w:num>
  <w:num w:numId="18" w16cid:durableId="2065447608">
    <w:abstractNumId w:val="10"/>
  </w:num>
  <w:num w:numId="19" w16cid:durableId="240335003">
    <w:abstractNumId w:val="19"/>
  </w:num>
  <w:num w:numId="20" w16cid:durableId="1699697877">
    <w:abstractNumId w:val="35"/>
  </w:num>
  <w:num w:numId="21" w16cid:durableId="1433433638">
    <w:abstractNumId w:val="16"/>
  </w:num>
  <w:num w:numId="22" w16cid:durableId="1235362085">
    <w:abstractNumId w:val="5"/>
  </w:num>
  <w:num w:numId="23" w16cid:durableId="1143349798">
    <w:abstractNumId w:val="17"/>
  </w:num>
  <w:num w:numId="24" w16cid:durableId="638923867">
    <w:abstractNumId w:val="38"/>
  </w:num>
  <w:num w:numId="25" w16cid:durableId="1407266254">
    <w:abstractNumId w:val="1"/>
  </w:num>
  <w:num w:numId="26" w16cid:durableId="1634946696">
    <w:abstractNumId w:val="7"/>
  </w:num>
  <w:num w:numId="27" w16cid:durableId="1395852139">
    <w:abstractNumId w:val="28"/>
  </w:num>
  <w:num w:numId="28" w16cid:durableId="1694070323">
    <w:abstractNumId w:val="15"/>
  </w:num>
  <w:num w:numId="29" w16cid:durableId="722409651">
    <w:abstractNumId w:val="9"/>
  </w:num>
  <w:num w:numId="30" w16cid:durableId="1882018023">
    <w:abstractNumId w:val="21"/>
  </w:num>
  <w:num w:numId="31" w16cid:durableId="1653749281">
    <w:abstractNumId w:val="36"/>
  </w:num>
  <w:num w:numId="32" w16cid:durableId="1057171494">
    <w:abstractNumId w:val="37"/>
  </w:num>
  <w:num w:numId="33" w16cid:durableId="1563904577">
    <w:abstractNumId w:val="27"/>
  </w:num>
  <w:num w:numId="34" w16cid:durableId="1325668127">
    <w:abstractNumId w:val="4"/>
  </w:num>
  <w:num w:numId="35" w16cid:durableId="1633827708">
    <w:abstractNumId w:val="20"/>
  </w:num>
  <w:num w:numId="36" w16cid:durableId="722096734">
    <w:abstractNumId w:val="2"/>
  </w:num>
  <w:num w:numId="37" w16cid:durableId="50353854">
    <w:abstractNumId w:val="13"/>
  </w:num>
  <w:num w:numId="38" w16cid:durableId="1740320400">
    <w:abstractNumId w:val="25"/>
  </w:num>
  <w:num w:numId="39" w16cid:durableId="1583250809">
    <w:abstractNumId w:val="14"/>
  </w:num>
  <w:num w:numId="40" w16cid:durableId="21466973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E67"/>
    <w:rsid w:val="00002F7C"/>
    <w:rsid w:val="00004C37"/>
    <w:rsid w:val="000066B3"/>
    <w:rsid w:val="00066D87"/>
    <w:rsid w:val="00083973"/>
    <w:rsid w:val="000E3EDE"/>
    <w:rsid w:val="00107E82"/>
    <w:rsid w:val="00123ADD"/>
    <w:rsid w:val="00131141"/>
    <w:rsid w:val="00161224"/>
    <w:rsid w:val="001A21B6"/>
    <w:rsid w:val="001B1CBA"/>
    <w:rsid w:val="001D2AF7"/>
    <w:rsid w:val="001D5989"/>
    <w:rsid w:val="001E50C6"/>
    <w:rsid w:val="00207743"/>
    <w:rsid w:val="00213167"/>
    <w:rsid w:val="002512F9"/>
    <w:rsid w:val="00267405"/>
    <w:rsid w:val="002C697B"/>
    <w:rsid w:val="002E5F18"/>
    <w:rsid w:val="0030149F"/>
    <w:rsid w:val="003145FA"/>
    <w:rsid w:val="003279AB"/>
    <w:rsid w:val="00356E42"/>
    <w:rsid w:val="00367A41"/>
    <w:rsid w:val="00391413"/>
    <w:rsid w:val="00393C92"/>
    <w:rsid w:val="003A1A41"/>
    <w:rsid w:val="003A3E09"/>
    <w:rsid w:val="00412D69"/>
    <w:rsid w:val="00417566"/>
    <w:rsid w:val="00424CF0"/>
    <w:rsid w:val="004D523C"/>
    <w:rsid w:val="005A1C17"/>
    <w:rsid w:val="005A20B8"/>
    <w:rsid w:val="005A2ABA"/>
    <w:rsid w:val="005D180A"/>
    <w:rsid w:val="005D38C1"/>
    <w:rsid w:val="005E7B69"/>
    <w:rsid w:val="005F6FCE"/>
    <w:rsid w:val="006072D3"/>
    <w:rsid w:val="00613EA9"/>
    <w:rsid w:val="0061775F"/>
    <w:rsid w:val="00635365"/>
    <w:rsid w:val="00696C0D"/>
    <w:rsid w:val="006A5EE9"/>
    <w:rsid w:val="006C3A86"/>
    <w:rsid w:val="006C6A0D"/>
    <w:rsid w:val="006F0329"/>
    <w:rsid w:val="00700807"/>
    <w:rsid w:val="0071025E"/>
    <w:rsid w:val="00712E58"/>
    <w:rsid w:val="007174AA"/>
    <w:rsid w:val="007407AC"/>
    <w:rsid w:val="00755D72"/>
    <w:rsid w:val="00792796"/>
    <w:rsid w:val="00796B64"/>
    <w:rsid w:val="007E6779"/>
    <w:rsid w:val="00820B4C"/>
    <w:rsid w:val="0082643E"/>
    <w:rsid w:val="00826DAD"/>
    <w:rsid w:val="0083239D"/>
    <w:rsid w:val="008529D2"/>
    <w:rsid w:val="0088105E"/>
    <w:rsid w:val="008E5F70"/>
    <w:rsid w:val="00917DCA"/>
    <w:rsid w:val="00926DE3"/>
    <w:rsid w:val="009C7C72"/>
    <w:rsid w:val="00A06D3B"/>
    <w:rsid w:val="00A27996"/>
    <w:rsid w:val="00A47096"/>
    <w:rsid w:val="00A47799"/>
    <w:rsid w:val="00A80F4B"/>
    <w:rsid w:val="00AA2EC5"/>
    <w:rsid w:val="00AB4C73"/>
    <w:rsid w:val="00AD27C0"/>
    <w:rsid w:val="00AE6F47"/>
    <w:rsid w:val="00B030F5"/>
    <w:rsid w:val="00B53CCB"/>
    <w:rsid w:val="00B91E47"/>
    <w:rsid w:val="00BB6F9D"/>
    <w:rsid w:val="00BC6B21"/>
    <w:rsid w:val="00C04D8A"/>
    <w:rsid w:val="00C65884"/>
    <w:rsid w:val="00C87E57"/>
    <w:rsid w:val="00CF6143"/>
    <w:rsid w:val="00D14843"/>
    <w:rsid w:val="00D51EB5"/>
    <w:rsid w:val="00D72E67"/>
    <w:rsid w:val="00D86F4E"/>
    <w:rsid w:val="00DC0E5A"/>
    <w:rsid w:val="00DD5C37"/>
    <w:rsid w:val="00DF35D9"/>
    <w:rsid w:val="00E4239A"/>
    <w:rsid w:val="00E445B2"/>
    <w:rsid w:val="00E45A9A"/>
    <w:rsid w:val="00E90226"/>
    <w:rsid w:val="00EA30E2"/>
    <w:rsid w:val="00EB027A"/>
    <w:rsid w:val="00EC1CBA"/>
    <w:rsid w:val="00EE7801"/>
    <w:rsid w:val="00F11A19"/>
    <w:rsid w:val="00F16554"/>
    <w:rsid w:val="00F544E1"/>
    <w:rsid w:val="00F91113"/>
    <w:rsid w:val="00FC5652"/>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E4C0"/>
  <w15:chartTrackingRefBased/>
  <w15:docId w15:val="{931774D6-0152-4BF6-88D3-2296D29A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884"/>
    <w:pPr>
      <w:spacing w:after="160"/>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link w:val="ListParagraphChar"/>
    <w:uiPriority w:val="34"/>
    <w:qFormat/>
    <w:rsid w:val="002C697B"/>
    <w:pPr>
      <w:numPr>
        <w:numId w:val="39"/>
      </w:numPr>
      <w:spacing w:after="100" w:afterAutospacing="1"/>
      <w:ind w:left="0" w:firstLine="1152"/>
    </w:pPr>
    <w:rPr>
      <w:rFonts w:eastAsia="Times New Roman" w:cs="Times New Roman"/>
      <w:szCs w:val="24"/>
    </w:rPr>
  </w:style>
  <w:style w:type="paragraph" w:styleId="FootnoteText">
    <w:name w:val="footnote text"/>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customStyle="1" w:styleId="ListParagraphChar">
    <w:name w:val="List Paragraph Char"/>
    <w:aliases w:val="List Paragraph - PUC Char"/>
    <w:basedOn w:val="DefaultParagraphFont"/>
    <w:link w:val="ListParagraph"/>
    <w:uiPriority w:val="34"/>
    <w:rsid w:val="002C697B"/>
    <w:rPr>
      <w:rFonts w:eastAsia="Times New Roman"/>
      <w:szCs w:val="24"/>
    </w:rPr>
  </w:style>
  <w:style w:type="character" w:styleId="FootnoteReference">
    <w:name w:val="footnote reference"/>
    <w:basedOn w:val="DefaultParagraphFont"/>
    <w:uiPriority w:val="99"/>
    <w:semiHidden/>
    <w:unhideWhenUsed/>
    <w:rsid w:val="00E45A9A"/>
    <w:rPr>
      <w:vertAlign w:val="superscript"/>
    </w:rPr>
  </w:style>
  <w:style w:type="paragraph" w:styleId="Header">
    <w:name w:val="header"/>
    <w:basedOn w:val="Normal"/>
    <w:link w:val="HeaderChar"/>
    <w:uiPriority w:val="99"/>
    <w:unhideWhenUsed/>
    <w:rsid w:val="00327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9AB"/>
    <w:rPr>
      <w:rFonts w:cstheme="minorBidi"/>
      <w:szCs w:val="22"/>
    </w:rPr>
  </w:style>
  <w:style w:type="paragraph" w:styleId="Footer">
    <w:name w:val="footer"/>
    <w:basedOn w:val="Normal"/>
    <w:link w:val="FooterChar"/>
    <w:uiPriority w:val="99"/>
    <w:unhideWhenUsed/>
    <w:rsid w:val="00327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9AB"/>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jplumb@comcast.net"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efarah@duqligh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3</cp:revision>
  <dcterms:created xsi:type="dcterms:W3CDTF">2023-07-31T14:52:00Z</dcterms:created>
  <dcterms:modified xsi:type="dcterms:W3CDTF">2023-07-31T14:54:00Z</dcterms:modified>
</cp:coreProperties>
</file>