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AB68" w14:textId="77777777" w:rsidR="00413991" w:rsidRPr="00B53CCB" w:rsidRDefault="00413991" w:rsidP="00413991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kern w:val="0"/>
          <w:szCs w:val="20"/>
          <w14:ligatures w14:val="none"/>
        </w:rPr>
      </w:pPr>
      <w:r w:rsidRPr="00B53CCB">
        <w:rPr>
          <w:rFonts w:eastAsia="SimSun" w:cs="Times New Roman"/>
          <w:b/>
          <w:kern w:val="0"/>
          <w:szCs w:val="20"/>
          <w14:ligatures w14:val="none"/>
        </w:rPr>
        <w:t>BEFORE THE</w:t>
      </w:r>
    </w:p>
    <w:p w14:paraId="71E87345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kern w:val="0"/>
          <w:szCs w:val="20"/>
          <w14:ligatures w14:val="none"/>
        </w:rPr>
      </w:pPr>
      <w:r w:rsidRPr="00B53CCB">
        <w:rPr>
          <w:rFonts w:eastAsia="SimSun" w:cs="Times New Roman"/>
          <w:b/>
          <w:kern w:val="0"/>
          <w:szCs w:val="20"/>
          <w14:ligatures w14:val="none"/>
        </w:rPr>
        <w:t>PENNSYLVANIA PUBLIC UTILITY COMMISSION</w:t>
      </w:r>
    </w:p>
    <w:p w14:paraId="7D9B0AA2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3FF3F0B2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0C65C2A5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kern w:val="0"/>
          <w:szCs w:val="20"/>
          <w14:ligatures w14:val="none"/>
        </w:rPr>
      </w:pPr>
    </w:p>
    <w:p w14:paraId="36E8EF96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kern w:val="0"/>
          <w:szCs w:val="20"/>
          <w14:ligatures w14:val="none"/>
        </w:rPr>
      </w:pPr>
      <w:r w:rsidRPr="00B53CCB">
        <w:rPr>
          <w:rFonts w:eastAsia="SimSun" w:cs="Times New Roman"/>
          <w:kern w:val="0"/>
          <w:szCs w:val="20"/>
          <w14:ligatures w14:val="none"/>
        </w:rPr>
        <w:t>Kathleen A. Plumb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: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C-2023-3041181</w:t>
      </w:r>
    </w:p>
    <w:p w14:paraId="213C1773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kern w:val="0"/>
          <w:szCs w:val="20"/>
          <w14:ligatures w14:val="none"/>
        </w:rPr>
      </w:pP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: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</w:p>
    <w:p w14:paraId="195C54F8" w14:textId="77777777" w:rsidR="00413991" w:rsidRPr="00B53CCB" w:rsidRDefault="00413991" w:rsidP="00413991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SimSun" w:cs="Times New Roman"/>
          <w:kern w:val="0"/>
          <w:szCs w:val="20"/>
          <w14:ligatures w14:val="none"/>
        </w:rPr>
      </w:pP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v.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: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</w:p>
    <w:p w14:paraId="06347ECC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kern w:val="0"/>
          <w:szCs w:val="20"/>
          <w14:ligatures w14:val="none"/>
        </w:rPr>
      </w:pP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:</w:t>
      </w:r>
    </w:p>
    <w:p w14:paraId="26F0FD47" w14:textId="77777777" w:rsidR="00413991" w:rsidRPr="00B53CCB" w:rsidRDefault="00413991" w:rsidP="00413991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kern w:val="0"/>
          <w:szCs w:val="20"/>
          <w14:ligatures w14:val="none"/>
        </w:rPr>
      </w:pPr>
      <w:r w:rsidRPr="00B53CCB">
        <w:rPr>
          <w:rFonts w:eastAsia="SimSun" w:cs="Times New Roman"/>
          <w:kern w:val="0"/>
          <w:szCs w:val="20"/>
          <w14:ligatures w14:val="none"/>
        </w:rPr>
        <w:t>Duquesne Light Company</w:t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</w:r>
      <w:r w:rsidRPr="00B53CCB">
        <w:rPr>
          <w:rFonts w:eastAsia="SimSun" w:cs="Times New Roman"/>
          <w:kern w:val="0"/>
          <w:szCs w:val="20"/>
          <w14:ligatures w14:val="none"/>
        </w:rPr>
        <w:tab/>
        <w:t>:</w:t>
      </w:r>
    </w:p>
    <w:p w14:paraId="063143DE" w14:textId="77777777" w:rsidR="00413991" w:rsidRPr="00B53CCB" w:rsidRDefault="00413991" w:rsidP="00413991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2B056288" w14:textId="77777777" w:rsidR="00413991" w:rsidRPr="00B53CCB" w:rsidRDefault="00413991" w:rsidP="00413991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08A1CECE" w14:textId="77777777" w:rsidR="00413991" w:rsidRPr="00B53CCB" w:rsidRDefault="00413991" w:rsidP="00413991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42876EAE" w14:textId="77777777" w:rsidR="00413991" w:rsidRPr="00B53CCB" w:rsidRDefault="00413991" w:rsidP="00413991">
      <w:pPr>
        <w:spacing w:after="0" w:line="240" w:lineRule="auto"/>
        <w:jc w:val="center"/>
        <w:rPr>
          <w:b/>
          <w:bCs/>
        </w:rPr>
      </w:pPr>
      <w:r w:rsidRPr="00B53CCB">
        <w:rPr>
          <w:b/>
          <w:bCs/>
        </w:rPr>
        <w:t>INTERIM ORDER</w:t>
      </w:r>
    </w:p>
    <w:p w14:paraId="60ADEBBD" w14:textId="121F08A3" w:rsidR="00413991" w:rsidRPr="00B53CCB" w:rsidRDefault="00413991" w:rsidP="00413991">
      <w:pPr>
        <w:spacing w:after="0" w:line="240" w:lineRule="auto"/>
        <w:jc w:val="center"/>
        <w:rPr>
          <w:u w:val="single"/>
        </w:rPr>
      </w:pPr>
      <w:r>
        <w:rPr>
          <w:b/>
          <w:bCs/>
          <w:u w:val="single"/>
        </w:rPr>
        <w:t>GRANTING REQUEST FOR CONTINUANCE</w:t>
      </w:r>
    </w:p>
    <w:p w14:paraId="0B39AC65" w14:textId="77777777" w:rsidR="00413991" w:rsidRDefault="00413991" w:rsidP="00967A8F">
      <w:pPr>
        <w:spacing w:after="0"/>
      </w:pPr>
    </w:p>
    <w:p w14:paraId="3E976666" w14:textId="77777777" w:rsidR="00413991" w:rsidRDefault="00413991" w:rsidP="00967A8F">
      <w:pPr>
        <w:spacing w:after="0"/>
      </w:pPr>
      <w:r>
        <w:tab/>
      </w:r>
      <w:r>
        <w:tab/>
        <w:t>On June 8, 2023, Kathleen Plumb (Complainant) filed a formal complaint against Duquesne Light Company (DLC).  Ms. Plumb states that she has concerns about a new monopole that was installed beside her home because the lines are lower than she thinks they should be.</w:t>
      </w:r>
    </w:p>
    <w:p w14:paraId="51402A60" w14:textId="77777777" w:rsidR="00413991" w:rsidRDefault="00413991" w:rsidP="00967A8F">
      <w:pPr>
        <w:spacing w:after="0"/>
      </w:pPr>
    </w:p>
    <w:p w14:paraId="7C70D66E" w14:textId="000F96B9" w:rsidR="00413991" w:rsidRDefault="00413991" w:rsidP="00967A8F">
      <w:pPr>
        <w:spacing w:after="0"/>
      </w:pPr>
      <w:r>
        <w:tab/>
      </w:r>
      <w:r>
        <w:tab/>
        <w:t>DLC filed an answer to the complaint on June 28, 2023, admitting that it replaced the lattice structure near Ms. Plumb’s property with a steel monopole.  According to DLC the steel monopole conforms to the Commission-approved application for the replacement project and meets or exceeds industry standards.  DLC notes that the specifications of the replacement pole are proprietary.</w:t>
      </w:r>
    </w:p>
    <w:p w14:paraId="0FDF2BA1" w14:textId="77777777" w:rsidR="00413991" w:rsidRDefault="00413991" w:rsidP="00967A8F">
      <w:pPr>
        <w:spacing w:after="0"/>
      </w:pPr>
    </w:p>
    <w:p w14:paraId="6B604CDB" w14:textId="4944AFD1" w:rsidR="00792796" w:rsidRDefault="00413991" w:rsidP="00967A8F">
      <w:pPr>
        <w:spacing w:after="0"/>
      </w:pPr>
      <w:r>
        <w:tab/>
      </w:r>
      <w:r>
        <w:tab/>
        <w:t>By hearing notice dated July 25, 2023, the Office of Administrative Law Judge assigned the case to me and scheduled a hearing a hearing on September 7, 2023.  I issued a prehearing order on July 26, 2023.</w:t>
      </w:r>
      <w:r>
        <w:rPr>
          <w:rStyle w:val="FootnoteReference"/>
        </w:rPr>
        <w:footnoteReference w:id="1"/>
      </w:r>
    </w:p>
    <w:p w14:paraId="1D190463" w14:textId="77777777" w:rsidR="00967A8F" w:rsidRDefault="00967A8F" w:rsidP="00967A8F">
      <w:pPr>
        <w:spacing w:after="0"/>
      </w:pPr>
    </w:p>
    <w:p w14:paraId="1640654A" w14:textId="4DE22B98" w:rsidR="00413991" w:rsidRDefault="00413991" w:rsidP="00967A8F">
      <w:pPr>
        <w:spacing w:after="0"/>
      </w:pPr>
      <w:r>
        <w:tab/>
      </w:r>
      <w:r>
        <w:tab/>
        <w:t>On August 4, 2023, Attorney David J. Barton entered an appearance to represent Ms. Plumb.  The Complainant filed a motion for a continuance of the September 7, 2023 hearing to permit counsel an opportunity to gather evidence and adequately prepare for a hearing.  The motion represents that counsel for DLC consents to the continuance.</w:t>
      </w:r>
    </w:p>
    <w:p w14:paraId="761C9269" w14:textId="3E227C09" w:rsidR="00413991" w:rsidRDefault="00413991" w:rsidP="00967A8F">
      <w:pPr>
        <w:spacing w:after="0"/>
      </w:pPr>
      <w:r>
        <w:lastRenderedPageBreak/>
        <w:tab/>
      </w:r>
      <w:r w:rsidR="00967A8F">
        <w:tab/>
      </w:r>
      <w:r>
        <w:t>THEREFORE,</w:t>
      </w:r>
    </w:p>
    <w:p w14:paraId="38AD0CD8" w14:textId="77777777" w:rsidR="00967A8F" w:rsidRDefault="00967A8F" w:rsidP="00967A8F">
      <w:pPr>
        <w:spacing w:after="0"/>
      </w:pPr>
    </w:p>
    <w:p w14:paraId="21406833" w14:textId="4BFD3E6F" w:rsidR="00413991" w:rsidRDefault="00413991" w:rsidP="00967A8F">
      <w:pPr>
        <w:spacing w:after="0"/>
      </w:pPr>
      <w:r>
        <w:tab/>
      </w:r>
      <w:r w:rsidR="00967A8F">
        <w:tab/>
      </w:r>
      <w:r>
        <w:t>IT IS ORDERED:</w:t>
      </w:r>
    </w:p>
    <w:p w14:paraId="6451863C" w14:textId="77777777" w:rsidR="00967A8F" w:rsidRDefault="00967A8F" w:rsidP="00967A8F">
      <w:pPr>
        <w:spacing w:after="0"/>
      </w:pPr>
    </w:p>
    <w:p w14:paraId="5F0700DA" w14:textId="727DD9F6" w:rsidR="00967A8F" w:rsidRDefault="00413991" w:rsidP="00967A8F">
      <w:pPr>
        <w:pStyle w:val="ListParagraph"/>
        <w:numPr>
          <w:ilvl w:val="0"/>
          <w:numId w:val="40"/>
        </w:numPr>
      </w:pPr>
      <w:r>
        <w:t>That the hearing scheduled for September 7, 2023 is cancelled.</w:t>
      </w:r>
    </w:p>
    <w:p w14:paraId="498D5966" w14:textId="20A63098" w:rsidR="00413991" w:rsidRDefault="00413991" w:rsidP="00967A8F">
      <w:pPr>
        <w:spacing w:after="0"/>
      </w:pPr>
      <w:r>
        <w:tab/>
      </w:r>
      <w:r w:rsidR="00967A8F">
        <w:tab/>
      </w:r>
      <w:r>
        <w:t>2.</w:t>
      </w:r>
      <w:r>
        <w:tab/>
        <w:t>That on or before October 13, 2023, the parties shall file a joint status report which provides an update on the status of discovery and proposes a schedule for further proceedings.  The status report shall include at least three alternative dates when both parties and their witnesses are available for hearing.</w:t>
      </w:r>
    </w:p>
    <w:p w14:paraId="15801A7B" w14:textId="77777777" w:rsidR="00967A8F" w:rsidRDefault="00967A8F" w:rsidP="00967A8F">
      <w:pPr>
        <w:spacing w:after="0"/>
      </w:pPr>
    </w:p>
    <w:p w14:paraId="16D79D2C" w14:textId="102582B7" w:rsidR="00413991" w:rsidRDefault="00413991" w:rsidP="00967A8F">
      <w:pPr>
        <w:spacing w:after="0"/>
      </w:pPr>
      <w:r>
        <w:tab/>
      </w:r>
      <w:r w:rsidR="00967A8F">
        <w:tab/>
      </w:r>
      <w:r>
        <w:t>3.</w:t>
      </w:r>
      <w:r>
        <w:tab/>
        <w:t xml:space="preserve">The parties are reminded that </w:t>
      </w:r>
      <w:r w:rsidR="0083401D" w:rsidRPr="0083401D">
        <w:t>that Commission policy encourages settlement</w:t>
      </w:r>
      <w:r w:rsidR="0083401D">
        <w:t xml:space="preserve">.  It is expected that the parties will </w:t>
      </w:r>
      <w:r w:rsidR="0083401D" w:rsidRPr="0083401D">
        <w:t>communicate with each other in an attempt to resolve their dispute.</w:t>
      </w:r>
      <w:r w:rsidR="0083401D">
        <w:t xml:space="preserve">  In the event that the parties have productive settlement discussions and require additional time to discuss potential resolution of their dispute, they may request a further continuance in lieu of proposed hearing dates in the October 13, 2023 joint status report.</w:t>
      </w:r>
    </w:p>
    <w:p w14:paraId="4CEAF9B9" w14:textId="77777777" w:rsidR="00967A8F" w:rsidRDefault="00967A8F" w:rsidP="00967A8F">
      <w:pPr>
        <w:spacing w:after="0"/>
      </w:pPr>
    </w:p>
    <w:p w14:paraId="216BD184" w14:textId="33A35350" w:rsidR="0083401D" w:rsidRDefault="0083401D" w:rsidP="00967A8F">
      <w:pPr>
        <w:spacing w:after="0"/>
      </w:pPr>
      <w:r>
        <w:tab/>
      </w:r>
      <w:r w:rsidR="00967A8F">
        <w:tab/>
      </w:r>
      <w:r>
        <w:t>4.</w:t>
      </w:r>
      <w:r>
        <w:tab/>
        <w:t>That all other provisions of the prehearing order issued on July 26, 2023, remain in effect.</w:t>
      </w:r>
    </w:p>
    <w:p w14:paraId="2D93AE94" w14:textId="77777777" w:rsidR="00967A8F" w:rsidRDefault="00967A8F" w:rsidP="00967A8F">
      <w:pPr>
        <w:spacing w:after="0"/>
      </w:pPr>
    </w:p>
    <w:p w14:paraId="480166A4" w14:textId="77777777" w:rsidR="00967A8F" w:rsidRDefault="00967A8F" w:rsidP="00967A8F">
      <w:pPr>
        <w:spacing w:after="0"/>
      </w:pPr>
    </w:p>
    <w:p w14:paraId="2FC41311" w14:textId="20D44D8E" w:rsidR="00967A8F" w:rsidRPr="00EA30E2" w:rsidRDefault="00967A8F" w:rsidP="00967A8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bookmarkStart w:id="0" w:name="_Hlk505862083"/>
      <w:r w:rsidRPr="00EA30E2">
        <w:rPr>
          <w:rFonts w:eastAsia="Times New Roman" w:cs="Times New Roman"/>
          <w:kern w:val="0"/>
          <w:szCs w:val="24"/>
          <w14:ligatures w14:val="none"/>
        </w:rPr>
        <w:t xml:space="preserve">Date:  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August</w:t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10</w:t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>, 20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23</w:t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  <w:t>/s/</w:t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:u w:val="single"/>
          <w14:ligatures w14:val="none"/>
        </w:rPr>
        <w:tab/>
      </w:r>
    </w:p>
    <w:p w14:paraId="101C302C" w14:textId="77777777" w:rsidR="00967A8F" w:rsidRPr="00EA30E2" w:rsidRDefault="00967A8F" w:rsidP="00967A8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  <w:t>Mary D. Long</w:t>
      </w:r>
    </w:p>
    <w:p w14:paraId="27B52E7C" w14:textId="77777777" w:rsidR="00967A8F" w:rsidRDefault="00967A8F" w:rsidP="00967A8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  <w:sectPr w:rsidR="00967A8F" w:rsidSect="00967A8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</w:r>
      <w:r w:rsidRPr="00EA30E2">
        <w:rPr>
          <w:rFonts w:eastAsia="Times New Roman" w:cs="Times New Roman"/>
          <w:kern w:val="0"/>
          <w:szCs w:val="24"/>
          <w14:ligatures w14:val="none"/>
        </w:rPr>
        <w:tab/>
        <w:t>Administrative Law Judge</w:t>
      </w:r>
    </w:p>
    <w:p w14:paraId="704148A5" w14:textId="77777777" w:rsidR="00967A8F" w:rsidRPr="00EA30E2" w:rsidRDefault="00967A8F" w:rsidP="00967A8F">
      <w:pPr>
        <w:spacing w:line="259" w:lineRule="auto"/>
        <w:rPr>
          <w:rFonts w:ascii="Calibri" w:eastAsia="Times New Roman" w:hAnsi="Calibri" w:cs="Times New Roman"/>
          <w:sz w:val="22"/>
        </w:rPr>
      </w:pPr>
      <w:r w:rsidRPr="00EA30E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C-2023-3041181 - KATHLEEN A. PLUMB v. DUQUESNE LIGHT COMPANY</w:t>
      </w:r>
      <w:r w:rsidRPr="00EA30E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A30E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A30E2">
        <w:rPr>
          <w:rFonts w:ascii="Microsoft Sans Serif" w:eastAsia="Microsoft Sans Serif" w:hAnsi="Microsoft Sans Serif" w:cs="Microsoft Sans Serif"/>
        </w:rPr>
        <w:t>KATHLEEN A PLUMB</w:t>
      </w:r>
      <w:r w:rsidRPr="00EA30E2">
        <w:rPr>
          <w:rFonts w:ascii="Microsoft Sans Serif" w:eastAsia="Microsoft Sans Serif" w:hAnsi="Microsoft Sans Serif" w:cs="Microsoft Sans Serif"/>
        </w:rPr>
        <w:cr/>
        <w:t>1200 CRESCENT BLVD EXT</w:t>
      </w:r>
      <w:r w:rsidRPr="00EA30E2">
        <w:rPr>
          <w:rFonts w:ascii="Microsoft Sans Serif" w:eastAsia="Microsoft Sans Serif" w:hAnsi="Microsoft Sans Serif" w:cs="Microsoft Sans Serif"/>
        </w:rPr>
        <w:cr/>
        <w:t>CRESCENT PA 15046</w:t>
      </w:r>
      <w:r w:rsidRPr="00EA30E2">
        <w:rPr>
          <w:rFonts w:ascii="Microsoft Sans Serif" w:eastAsia="Microsoft Sans Serif" w:hAnsi="Microsoft Sans Serif" w:cs="Microsoft Sans Serif"/>
        </w:rPr>
        <w:cr/>
      </w:r>
      <w:r w:rsidRPr="00EA30E2">
        <w:rPr>
          <w:rFonts w:ascii="Microsoft Sans Serif" w:eastAsia="Microsoft Sans Serif" w:hAnsi="Microsoft Sans Serif" w:cs="Microsoft Sans Serif"/>
          <w:b/>
          <w:bCs/>
        </w:rPr>
        <w:t>412.848.8929</w:t>
      </w:r>
      <w:r w:rsidRPr="00EA30E2">
        <w:rPr>
          <w:rFonts w:ascii="Microsoft Sans Serif" w:eastAsia="Microsoft Sans Serif" w:hAnsi="Microsoft Sans Serif" w:cs="Microsoft Sans Serif"/>
          <w:b/>
          <w:bCs/>
        </w:rPr>
        <w:cr/>
        <w:t>724.457.1432</w:t>
      </w:r>
      <w:r w:rsidRPr="00EA30E2"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EA30E2">
          <w:rPr>
            <w:rFonts w:ascii="Microsoft Sans Serif" w:eastAsia="Microsoft Sans Serif" w:hAnsi="Microsoft Sans Serif" w:cs="Microsoft Sans Serif"/>
            <w:color w:val="0563C1"/>
            <w:u w:val="single"/>
          </w:rPr>
          <w:t>jkjplumb@comcast.net</w:t>
        </w:r>
      </w:hyperlink>
      <w:r w:rsidRPr="00EA30E2">
        <w:rPr>
          <w:rFonts w:ascii="Microsoft Sans Serif" w:eastAsia="Microsoft Sans Serif" w:hAnsi="Microsoft Sans Serif" w:cs="Microsoft Sans Serif"/>
        </w:rPr>
        <w:br/>
        <w:t>Accepts eService</w:t>
      </w:r>
      <w:r w:rsidRPr="00EA30E2">
        <w:rPr>
          <w:rFonts w:ascii="Microsoft Sans Serif" w:eastAsia="Microsoft Sans Serif" w:hAnsi="Microsoft Sans Serif" w:cs="Microsoft Sans Serif"/>
        </w:rPr>
        <w:cr/>
      </w:r>
    </w:p>
    <w:p w14:paraId="138CDF99" w14:textId="77777777" w:rsidR="00967A8F" w:rsidRDefault="00967A8F" w:rsidP="00967A8F">
      <w:pPr>
        <w:spacing w:line="259" w:lineRule="auto"/>
        <w:rPr>
          <w:rFonts w:ascii="Microsoft Sans Serif" w:eastAsia="Microsoft Sans Serif" w:hAnsi="Microsoft Sans Serif" w:cs="Microsoft Sans Serif"/>
        </w:rPr>
      </w:pPr>
      <w:r w:rsidRPr="00EA30E2">
        <w:rPr>
          <w:rFonts w:ascii="Microsoft Sans Serif" w:eastAsia="Microsoft Sans Serif" w:hAnsi="Microsoft Sans Serif" w:cs="Microsoft Sans Serif"/>
        </w:rPr>
        <w:t>EMILY M FARAH ESQUIRE</w:t>
      </w:r>
      <w:r w:rsidRPr="00EA30E2">
        <w:rPr>
          <w:rFonts w:ascii="Microsoft Sans Serif" w:eastAsia="Microsoft Sans Serif" w:hAnsi="Microsoft Sans Serif" w:cs="Microsoft Sans Serif"/>
        </w:rPr>
        <w:cr/>
        <w:t>DUQUESNE LIGHT COMPANY</w:t>
      </w:r>
      <w:r w:rsidRPr="00EA30E2">
        <w:rPr>
          <w:rFonts w:ascii="Microsoft Sans Serif" w:eastAsia="Microsoft Sans Serif" w:hAnsi="Microsoft Sans Serif" w:cs="Microsoft Sans Serif"/>
        </w:rPr>
        <w:cr/>
        <w:t>411 SEVENTH AVENUE</w:t>
      </w:r>
      <w:r w:rsidRPr="00EA30E2">
        <w:rPr>
          <w:rFonts w:ascii="Microsoft Sans Serif" w:eastAsia="Microsoft Sans Serif" w:hAnsi="Microsoft Sans Serif" w:cs="Microsoft Sans Serif"/>
        </w:rPr>
        <w:cr/>
        <w:t>PITTSBURGH PA  15219</w:t>
      </w:r>
      <w:r w:rsidRPr="00EA30E2">
        <w:rPr>
          <w:rFonts w:ascii="Microsoft Sans Serif" w:eastAsia="Microsoft Sans Serif" w:hAnsi="Microsoft Sans Serif" w:cs="Microsoft Sans Serif"/>
        </w:rPr>
        <w:cr/>
      </w:r>
      <w:r w:rsidRPr="00EA30E2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EA30E2"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EA30E2">
          <w:rPr>
            <w:rFonts w:ascii="Microsoft Sans Serif" w:eastAsia="Microsoft Sans Serif" w:hAnsi="Microsoft Sans Serif" w:cs="Microsoft Sans Serif"/>
            <w:color w:val="0563C1"/>
            <w:u w:val="single"/>
          </w:rPr>
          <w:t>efarah@duqlight.com</w:t>
        </w:r>
      </w:hyperlink>
      <w:r w:rsidRPr="00EA30E2">
        <w:rPr>
          <w:rFonts w:ascii="Microsoft Sans Serif" w:eastAsia="Microsoft Sans Serif" w:hAnsi="Microsoft Sans Serif" w:cs="Microsoft Sans Serif"/>
        </w:rPr>
        <w:br/>
        <w:t>Accepts eService</w:t>
      </w:r>
      <w:r w:rsidRPr="00EA30E2">
        <w:rPr>
          <w:rFonts w:ascii="Microsoft Sans Serif" w:eastAsia="Microsoft Sans Serif" w:hAnsi="Microsoft Sans Serif" w:cs="Microsoft Sans Serif"/>
        </w:rPr>
        <w:cr/>
      </w:r>
      <w:r w:rsidRPr="00EA30E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DAVID J BARTON ESQUIRE</w:t>
      </w:r>
      <w:r>
        <w:rPr>
          <w:rFonts w:ascii="Microsoft Sans Serif" w:eastAsia="Microsoft Sans Serif" w:hAnsi="Microsoft Sans Serif" w:cs="Microsoft Sans Serif"/>
        </w:rPr>
        <w:br/>
        <w:t>BENTZ LAW FIRM PC</w:t>
      </w:r>
      <w:r>
        <w:rPr>
          <w:rFonts w:ascii="Microsoft Sans Serif" w:eastAsia="Microsoft Sans Serif" w:hAnsi="Microsoft Sans Serif" w:cs="Microsoft Sans Serif"/>
        </w:rPr>
        <w:br/>
        <w:t>680 WASHINTON ROAD</w:t>
      </w:r>
      <w:r>
        <w:rPr>
          <w:rFonts w:ascii="Microsoft Sans Serif" w:eastAsia="Microsoft Sans Serif" w:hAnsi="Microsoft Sans Serif" w:cs="Microsoft Sans Serif"/>
        </w:rPr>
        <w:br/>
        <w:t>PITTSBURGH PA 15228</w:t>
      </w:r>
      <w:r>
        <w:rPr>
          <w:rFonts w:ascii="Microsoft Sans Serif" w:eastAsia="Microsoft Sans Serif" w:hAnsi="Microsoft Sans Serif" w:cs="Microsoft Sans Serif"/>
        </w:rPr>
        <w:br/>
      </w:r>
      <w:r w:rsidRPr="008F4CDF">
        <w:rPr>
          <w:rFonts w:ascii="Microsoft Sans Serif" w:eastAsia="Microsoft Sans Serif" w:hAnsi="Microsoft Sans Serif" w:cs="Microsoft Sans Serif"/>
          <w:b/>
          <w:bCs/>
        </w:rPr>
        <w:t>412.563.4500</w:t>
      </w:r>
      <w:r>
        <w:rPr>
          <w:rFonts w:ascii="Microsoft Sans Serif" w:eastAsia="Microsoft Sans Serif" w:hAnsi="Microsoft Sans Serif" w:cs="Microsoft Sans Serif"/>
        </w:rPr>
        <w:br/>
      </w:r>
      <w:hyperlink r:id="rId11" w:history="1">
        <w:r w:rsidRPr="00A414BC">
          <w:rPr>
            <w:rStyle w:val="Hyperlink"/>
            <w:rFonts w:ascii="Microsoft Sans Serif" w:eastAsia="Microsoft Sans Serif" w:hAnsi="Microsoft Sans Serif" w:cs="Microsoft Sans Serif"/>
          </w:rPr>
          <w:t>djbarton@bentzlaw.com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8F4CDF">
        <w:rPr>
          <w:rFonts w:ascii="Microsoft Sans Serif" w:eastAsia="Microsoft Sans Serif" w:hAnsi="Microsoft Sans Serif" w:cs="Microsoft Sans Serif"/>
          <w:i/>
          <w:iCs/>
        </w:rPr>
        <w:t>Representing Complainant</w:t>
      </w:r>
    </w:p>
    <w:p w14:paraId="2470B5EB" w14:textId="77777777" w:rsidR="00967A8F" w:rsidRPr="00EA30E2" w:rsidRDefault="00967A8F" w:rsidP="00967A8F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bookmarkEnd w:id="0"/>
    <w:p w14:paraId="32A939C4" w14:textId="77777777" w:rsidR="00967A8F" w:rsidRDefault="00967A8F" w:rsidP="00967A8F">
      <w:pPr>
        <w:spacing w:after="0"/>
      </w:pPr>
    </w:p>
    <w:sectPr w:rsidR="00967A8F" w:rsidSect="00967A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FBA9" w14:textId="77777777" w:rsidR="00413991" w:rsidRDefault="00413991" w:rsidP="00413991">
      <w:pPr>
        <w:spacing w:after="0" w:line="240" w:lineRule="auto"/>
      </w:pPr>
      <w:r>
        <w:separator/>
      </w:r>
    </w:p>
  </w:endnote>
  <w:endnote w:type="continuationSeparator" w:id="0">
    <w:p w14:paraId="253E0AC6" w14:textId="77777777" w:rsidR="00413991" w:rsidRDefault="00413991" w:rsidP="004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38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2B380" w14:textId="492824D9" w:rsidR="00967A8F" w:rsidRDefault="00967A8F">
        <w:pPr>
          <w:pStyle w:val="Footer"/>
          <w:jc w:val="center"/>
        </w:pPr>
        <w:r w:rsidRPr="00967A8F">
          <w:rPr>
            <w:sz w:val="20"/>
            <w:szCs w:val="20"/>
          </w:rPr>
          <w:fldChar w:fldCharType="begin"/>
        </w:r>
        <w:r w:rsidRPr="00967A8F">
          <w:rPr>
            <w:sz w:val="20"/>
            <w:szCs w:val="20"/>
          </w:rPr>
          <w:instrText xml:space="preserve"> PAGE   \* MERGEFORMAT </w:instrText>
        </w:r>
        <w:r w:rsidRPr="00967A8F">
          <w:rPr>
            <w:sz w:val="20"/>
            <w:szCs w:val="20"/>
          </w:rPr>
          <w:fldChar w:fldCharType="separate"/>
        </w:r>
        <w:r w:rsidRPr="00967A8F">
          <w:rPr>
            <w:noProof/>
            <w:sz w:val="20"/>
            <w:szCs w:val="20"/>
          </w:rPr>
          <w:t>2</w:t>
        </w:r>
        <w:r w:rsidRPr="00967A8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92FB" w14:textId="77777777" w:rsidR="00413991" w:rsidRDefault="00413991" w:rsidP="00413991">
      <w:pPr>
        <w:spacing w:after="0" w:line="240" w:lineRule="auto"/>
      </w:pPr>
      <w:r>
        <w:separator/>
      </w:r>
    </w:p>
  </w:footnote>
  <w:footnote w:type="continuationSeparator" w:id="0">
    <w:p w14:paraId="0FED44E3" w14:textId="77777777" w:rsidR="00413991" w:rsidRDefault="00413991" w:rsidP="00413991">
      <w:pPr>
        <w:spacing w:after="0" w:line="240" w:lineRule="auto"/>
      </w:pPr>
      <w:r>
        <w:continuationSeparator/>
      </w:r>
    </w:p>
  </w:footnote>
  <w:footnote w:id="1">
    <w:p w14:paraId="6B19C907" w14:textId="255C0459" w:rsidR="00413991" w:rsidRDefault="00413991" w:rsidP="00967A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DLC filed a motion for a protective order on June 26, 2023.  I denied the motion on July 31,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698"/>
    <w:multiLevelType w:val="hybridMultilevel"/>
    <w:tmpl w:val="5FD01A88"/>
    <w:lvl w:ilvl="0" w:tplc="8E2EFE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2"/>
  </w:num>
  <w:num w:numId="2" w16cid:durableId="434331319">
    <w:abstractNumId w:val="22"/>
  </w:num>
  <w:num w:numId="3" w16cid:durableId="700204405">
    <w:abstractNumId w:val="30"/>
  </w:num>
  <w:num w:numId="4" w16cid:durableId="1443763581">
    <w:abstractNumId w:val="34"/>
  </w:num>
  <w:num w:numId="5" w16cid:durableId="1888641000">
    <w:abstractNumId w:val="12"/>
  </w:num>
  <w:num w:numId="6" w16cid:durableId="771897392">
    <w:abstractNumId w:val="9"/>
  </w:num>
  <w:num w:numId="7" w16cid:durableId="401686284">
    <w:abstractNumId w:val="7"/>
  </w:num>
  <w:num w:numId="8" w16cid:durableId="905720563">
    <w:abstractNumId w:val="33"/>
  </w:num>
  <w:num w:numId="9" w16cid:durableId="76749609">
    <w:abstractNumId w:val="4"/>
  </w:num>
  <w:num w:numId="10" w16cid:durableId="1172405981">
    <w:abstractNumId w:val="24"/>
  </w:num>
  <w:num w:numId="11" w16cid:durableId="1312253715">
    <w:abstractNumId w:val="29"/>
  </w:num>
  <w:num w:numId="12" w16cid:durableId="10184379">
    <w:abstractNumId w:val="18"/>
  </w:num>
  <w:num w:numId="13" w16cid:durableId="529227091">
    <w:abstractNumId w:val="26"/>
  </w:num>
  <w:num w:numId="14" w16cid:durableId="2083213294">
    <w:abstractNumId w:val="31"/>
  </w:num>
  <w:num w:numId="15" w16cid:durableId="103304739">
    <w:abstractNumId w:val="0"/>
  </w:num>
  <w:num w:numId="16" w16cid:durableId="1268391741">
    <w:abstractNumId w:val="23"/>
  </w:num>
  <w:num w:numId="17" w16cid:durableId="1737705955">
    <w:abstractNumId w:val="23"/>
  </w:num>
  <w:num w:numId="18" w16cid:durableId="2065447608">
    <w:abstractNumId w:val="11"/>
  </w:num>
  <w:num w:numId="19" w16cid:durableId="240335003">
    <w:abstractNumId w:val="19"/>
  </w:num>
  <w:num w:numId="20" w16cid:durableId="1699697877">
    <w:abstractNumId w:val="35"/>
  </w:num>
  <w:num w:numId="21" w16cid:durableId="1433433638">
    <w:abstractNumId w:val="16"/>
  </w:num>
  <w:num w:numId="22" w16cid:durableId="1235362085">
    <w:abstractNumId w:val="6"/>
  </w:num>
  <w:num w:numId="23" w16cid:durableId="1143349798">
    <w:abstractNumId w:val="17"/>
  </w:num>
  <w:num w:numId="24" w16cid:durableId="638923867">
    <w:abstractNumId w:val="38"/>
  </w:num>
  <w:num w:numId="25" w16cid:durableId="1407266254">
    <w:abstractNumId w:val="1"/>
  </w:num>
  <w:num w:numId="26" w16cid:durableId="1634946696">
    <w:abstractNumId w:val="8"/>
  </w:num>
  <w:num w:numId="27" w16cid:durableId="1395852139">
    <w:abstractNumId w:val="28"/>
  </w:num>
  <w:num w:numId="28" w16cid:durableId="1694070323">
    <w:abstractNumId w:val="15"/>
  </w:num>
  <w:num w:numId="29" w16cid:durableId="722409651">
    <w:abstractNumId w:val="10"/>
  </w:num>
  <w:num w:numId="30" w16cid:durableId="1882018023">
    <w:abstractNumId w:val="21"/>
  </w:num>
  <w:num w:numId="31" w16cid:durableId="1653749281">
    <w:abstractNumId w:val="36"/>
  </w:num>
  <w:num w:numId="32" w16cid:durableId="1057171494">
    <w:abstractNumId w:val="37"/>
  </w:num>
  <w:num w:numId="33" w16cid:durableId="1563904577">
    <w:abstractNumId w:val="27"/>
  </w:num>
  <w:num w:numId="34" w16cid:durableId="1325668127">
    <w:abstractNumId w:val="5"/>
  </w:num>
  <w:num w:numId="35" w16cid:durableId="1633827708">
    <w:abstractNumId w:val="20"/>
  </w:num>
  <w:num w:numId="36" w16cid:durableId="722096734">
    <w:abstractNumId w:val="2"/>
  </w:num>
  <w:num w:numId="37" w16cid:durableId="50353854">
    <w:abstractNumId w:val="13"/>
  </w:num>
  <w:num w:numId="38" w16cid:durableId="1740320400">
    <w:abstractNumId w:val="25"/>
  </w:num>
  <w:num w:numId="39" w16cid:durableId="1583250809">
    <w:abstractNumId w:val="14"/>
  </w:num>
  <w:num w:numId="40" w16cid:durableId="210823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91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67405"/>
    <w:rsid w:val="002C697B"/>
    <w:rsid w:val="003145FA"/>
    <w:rsid w:val="00367A41"/>
    <w:rsid w:val="00393C92"/>
    <w:rsid w:val="003A1A41"/>
    <w:rsid w:val="003A3E09"/>
    <w:rsid w:val="00413991"/>
    <w:rsid w:val="00417566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3401D"/>
    <w:rsid w:val="008529D2"/>
    <w:rsid w:val="0088105E"/>
    <w:rsid w:val="00917DCA"/>
    <w:rsid w:val="00926DE3"/>
    <w:rsid w:val="00967A8F"/>
    <w:rsid w:val="009C7C72"/>
    <w:rsid w:val="00A47096"/>
    <w:rsid w:val="00AA2EC5"/>
    <w:rsid w:val="00AB4C73"/>
    <w:rsid w:val="00AD27C0"/>
    <w:rsid w:val="00AE6F47"/>
    <w:rsid w:val="00B91E47"/>
    <w:rsid w:val="00BC6B21"/>
    <w:rsid w:val="00C04D8A"/>
    <w:rsid w:val="00C65884"/>
    <w:rsid w:val="00C87E57"/>
    <w:rsid w:val="00CF6143"/>
    <w:rsid w:val="00D14843"/>
    <w:rsid w:val="00DD5C37"/>
    <w:rsid w:val="00DF35D9"/>
    <w:rsid w:val="00E4239A"/>
    <w:rsid w:val="00E445B2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C1CBB"/>
  <w15:chartTrackingRefBased/>
  <w15:docId w15:val="{B641DD67-6D9A-4FF4-83F1-06E05BA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91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967A8F"/>
    <w:pPr>
      <w:spacing w:after="0" w:line="240" w:lineRule="auto"/>
      <w:ind w:firstLine="720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A8F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139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8F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6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8F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96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barton@bentzl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jplumb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8493-60D5-4ED2-9BB7-70B9BA08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2023-08-10T19:01:00Z</dcterms:created>
  <dcterms:modified xsi:type="dcterms:W3CDTF">2023-08-10T19:01:00Z</dcterms:modified>
</cp:coreProperties>
</file>