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62" w:type="dxa"/>
        <w:tblLayout w:type="fixed"/>
        <w:tblLook w:val="04A0" w:firstRow="1" w:lastRow="0" w:firstColumn="1" w:lastColumn="0" w:noHBand="0" w:noVBand="1"/>
      </w:tblPr>
      <w:tblGrid>
        <w:gridCol w:w="1170"/>
        <w:gridCol w:w="7470"/>
        <w:gridCol w:w="1530"/>
      </w:tblGrid>
      <w:tr w:rsidR="0040456C" w14:paraId="38204399" w14:textId="77777777" w:rsidTr="0040456C">
        <w:tc>
          <w:tcPr>
            <w:tcW w:w="1170" w:type="dxa"/>
            <w:hideMark/>
          </w:tcPr>
          <w:p w14:paraId="0D4E0672" w14:textId="77777777" w:rsidR="0040456C" w:rsidRDefault="0040456C">
            <w:pPr>
              <w:spacing w:line="240" w:lineRule="auto"/>
              <w:rPr>
                <w:sz w:val="20"/>
                <w:szCs w:val="20"/>
              </w:rPr>
            </w:pPr>
            <w:r>
              <w:rPr>
                <w:spacing w:val="-2"/>
                <w:sz w:val="20"/>
                <w:szCs w:val="20"/>
              </w:rPr>
              <w:object w:dxaOrig="1005" w:dyaOrig="2010" w14:anchorId="38FAE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00.8pt" o:ole="" fillcolor="window">
                  <v:imagedata r:id="rId7" o:title="" croptop="-9397f" cropbottom="-9325f" cropleft="-23f" cropright="-23f"/>
                </v:shape>
                <o:OLEObject Type="Embed" ProgID="Word.Picture.8" ShapeID="_x0000_i1025" DrawAspect="Content" ObjectID="_1753688014" r:id="rId8"/>
              </w:object>
            </w:r>
          </w:p>
        </w:tc>
        <w:tc>
          <w:tcPr>
            <w:tcW w:w="7470" w:type="dxa"/>
            <w:hideMark/>
          </w:tcPr>
          <w:p w14:paraId="0559F0E6" w14:textId="77777777" w:rsidR="0040456C" w:rsidRDefault="0040456C">
            <w:pPr>
              <w:suppressAutoHyphens/>
              <w:spacing w:line="204" w:lineRule="auto"/>
              <w:jc w:val="center"/>
              <w:rPr>
                <w:rFonts w:ascii="Lucida Sans Unicode" w:hAnsi="Lucida Sans Unicode"/>
                <w:b/>
                <w:spacing w:val="-3"/>
                <w:sz w:val="28"/>
                <w:szCs w:val="20"/>
              </w:rPr>
            </w:pPr>
            <w:smartTag w:uri="urn:schemas-microsoft-com:office:smarttags" w:element="place">
              <w:smartTag w:uri="urn:schemas-microsoft-com:office:smarttags" w:element="PlaceType">
                <w:r>
                  <w:rPr>
                    <w:rFonts w:ascii="Lucida Sans Unicode" w:hAnsi="Lucida Sans Unicode"/>
                    <w:b/>
                    <w:spacing w:val="-3"/>
                    <w:sz w:val="28"/>
                    <w:szCs w:val="20"/>
                  </w:rPr>
                  <w:t>COMMONWEALTH</w:t>
                </w:r>
              </w:smartTag>
              <w:r>
                <w:rPr>
                  <w:rFonts w:ascii="Lucida Sans Unicode" w:hAnsi="Lucida Sans Unicode"/>
                  <w:b/>
                  <w:spacing w:val="-3"/>
                  <w:sz w:val="28"/>
                  <w:szCs w:val="20"/>
                </w:rPr>
                <w:t xml:space="preserve"> OF </w:t>
              </w:r>
              <w:smartTag w:uri="urn:schemas-microsoft-com:office:smarttags" w:element="PlaceName">
                <w:r>
                  <w:rPr>
                    <w:rFonts w:ascii="Lucida Sans Unicode" w:hAnsi="Lucida Sans Unicode"/>
                    <w:b/>
                    <w:spacing w:val="-3"/>
                    <w:sz w:val="28"/>
                    <w:szCs w:val="20"/>
                  </w:rPr>
                  <w:t>PENNSYLVANIA</w:t>
                </w:r>
              </w:smartTag>
            </w:smartTag>
            <w:r>
              <w:rPr>
                <w:rFonts w:ascii="Lucida Sans Unicode" w:hAnsi="Lucida Sans Unicode"/>
                <w:b/>
                <w:spacing w:val="-3"/>
                <w:sz w:val="28"/>
                <w:szCs w:val="20"/>
              </w:rPr>
              <w:fldChar w:fldCharType="begin"/>
            </w:r>
            <w:r>
              <w:rPr>
                <w:rFonts w:ascii="Lucida Sans Unicode" w:hAnsi="Lucida Sans Unicode"/>
                <w:b/>
                <w:spacing w:val="-3"/>
                <w:sz w:val="28"/>
                <w:szCs w:val="20"/>
              </w:rPr>
              <w:instrText xml:space="preserve">PRIVATE </w:instrText>
            </w:r>
            <w:r>
              <w:rPr>
                <w:rFonts w:ascii="Lucida Sans Unicode" w:hAnsi="Lucida Sans Unicode"/>
                <w:b/>
                <w:spacing w:val="-3"/>
                <w:sz w:val="28"/>
                <w:szCs w:val="20"/>
              </w:rPr>
              <w:fldChar w:fldCharType="end"/>
            </w:r>
          </w:p>
          <w:p w14:paraId="667B64D8" w14:textId="77777777" w:rsidR="0040456C" w:rsidRDefault="0040456C">
            <w:pPr>
              <w:suppressAutoHyphens/>
              <w:spacing w:line="204" w:lineRule="auto"/>
              <w:jc w:val="center"/>
              <w:rPr>
                <w:rFonts w:ascii="Century Gothic" w:hAnsi="Century Gothic"/>
                <w:spacing w:val="-3"/>
                <w:sz w:val="28"/>
                <w:szCs w:val="20"/>
              </w:rPr>
            </w:pPr>
            <w:smartTag w:uri="urn:schemas-microsoft-com:office:smarttags" w:element="State">
              <w:smartTag w:uri="urn:schemas-microsoft-com:office:smarttags" w:element="place">
                <w:r>
                  <w:rPr>
                    <w:rFonts w:ascii="Lucida Sans Unicode" w:hAnsi="Lucida Sans Unicode"/>
                    <w:b/>
                    <w:spacing w:val="-3"/>
                    <w:sz w:val="28"/>
                    <w:szCs w:val="20"/>
                  </w:rPr>
                  <w:t>PENNSYLVANIA</w:t>
                </w:r>
              </w:smartTag>
            </w:smartTag>
            <w:r>
              <w:rPr>
                <w:rFonts w:ascii="Lucida Sans Unicode" w:hAnsi="Lucida Sans Unicode"/>
                <w:b/>
                <w:spacing w:val="-3"/>
                <w:sz w:val="28"/>
                <w:szCs w:val="20"/>
              </w:rPr>
              <w:t xml:space="preserve"> PUBLIC UTILITY COMMISSION</w:t>
            </w:r>
          </w:p>
          <w:p w14:paraId="26D8A2A3" w14:textId="77777777" w:rsidR="0040456C" w:rsidRDefault="0040456C">
            <w:pPr>
              <w:spacing w:line="240" w:lineRule="auto"/>
              <w:jc w:val="center"/>
              <w:rPr>
                <w:rFonts w:ascii="Arial Narrow" w:hAnsi="Arial Narrow"/>
                <w:spacing w:val="-3"/>
                <w:sz w:val="28"/>
                <w:szCs w:val="20"/>
              </w:rPr>
            </w:pPr>
            <w:r>
              <w:rPr>
                <w:rFonts w:ascii="Arial Narrow" w:hAnsi="Arial Narrow"/>
                <w:spacing w:val="-3"/>
                <w:sz w:val="28"/>
                <w:szCs w:val="20"/>
              </w:rPr>
              <w:t>Office of Administrative Law Judge</w:t>
            </w:r>
          </w:p>
          <w:p w14:paraId="5FE41DD5" w14:textId="77777777" w:rsidR="0040456C" w:rsidRDefault="0040456C">
            <w:pPr>
              <w:spacing w:line="240" w:lineRule="auto"/>
              <w:jc w:val="center"/>
              <w:rPr>
                <w:rFonts w:ascii="Arial Narrow" w:hAnsi="Arial Narrow"/>
                <w:spacing w:val="-3"/>
                <w:sz w:val="22"/>
                <w:szCs w:val="20"/>
              </w:rPr>
            </w:pPr>
            <w:r>
              <w:rPr>
                <w:rFonts w:ascii="Arial Narrow" w:hAnsi="Arial Narrow"/>
                <w:spacing w:val="-3"/>
                <w:sz w:val="22"/>
                <w:szCs w:val="20"/>
              </w:rPr>
              <w:t>801 Market Street</w:t>
            </w:r>
          </w:p>
          <w:p w14:paraId="4D594D51" w14:textId="77777777" w:rsidR="0040456C" w:rsidRDefault="0040456C">
            <w:pPr>
              <w:spacing w:line="240" w:lineRule="auto"/>
              <w:jc w:val="center"/>
              <w:rPr>
                <w:rFonts w:ascii="Arial Narrow" w:hAnsi="Arial Narrow"/>
                <w:spacing w:val="-3"/>
                <w:sz w:val="22"/>
                <w:szCs w:val="20"/>
              </w:rPr>
            </w:pPr>
            <w:r>
              <w:rPr>
                <w:rFonts w:ascii="Arial Narrow" w:hAnsi="Arial Narrow"/>
                <w:spacing w:val="-3"/>
                <w:sz w:val="22"/>
                <w:szCs w:val="20"/>
              </w:rPr>
              <w:t>4</w:t>
            </w:r>
            <w:r>
              <w:rPr>
                <w:rFonts w:ascii="Arial Narrow" w:hAnsi="Arial Narrow"/>
                <w:spacing w:val="-3"/>
                <w:sz w:val="22"/>
                <w:szCs w:val="20"/>
                <w:vertAlign w:val="superscript"/>
              </w:rPr>
              <w:t>th</w:t>
            </w:r>
            <w:r>
              <w:rPr>
                <w:rFonts w:ascii="Arial Narrow" w:hAnsi="Arial Narrow"/>
                <w:spacing w:val="-3"/>
                <w:sz w:val="22"/>
                <w:szCs w:val="20"/>
              </w:rPr>
              <w:t xml:space="preserve"> Floor, Suite 4063</w:t>
            </w:r>
          </w:p>
          <w:p w14:paraId="75F80D91" w14:textId="77777777" w:rsidR="0040456C" w:rsidRDefault="0040456C">
            <w:pPr>
              <w:spacing w:line="240" w:lineRule="auto"/>
              <w:jc w:val="center"/>
              <w:rPr>
                <w:rFonts w:ascii="Arial Narrow" w:hAnsi="Arial Narrow"/>
                <w:spacing w:val="-3"/>
                <w:sz w:val="22"/>
                <w:szCs w:val="20"/>
              </w:rPr>
            </w:pPr>
            <w:r>
              <w:rPr>
                <w:rFonts w:ascii="Arial Narrow" w:hAnsi="Arial Narrow"/>
                <w:spacing w:val="-3"/>
                <w:sz w:val="22"/>
                <w:szCs w:val="20"/>
              </w:rPr>
              <w:t>Philadelphia, Pennsylvania  19107</w:t>
            </w:r>
          </w:p>
          <w:p w14:paraId="482D5828" w14:textId="77777777" w:rsidR="0040456C" w:rsidRDefault="0040456C">
            <w:pPr>
              <w:spacing w:line="240" w:lineRule="auto"/>
              <w:jc w:val="center"/>
              <w:rPr>
                <w:rFonts w:ascii="Arial Narrow" w:hAnsi="Arial Narrow"/>
                <w:spacing w:val="-3"/>
                <w:sz w:val="22"/>
                <w:szCs w:val="20"/>
              </w:rPr>
            </w:pPr>
            <w:r>
              <w:rPr>
                <w:rFonts w:ascii="Arial Narrow" w:hAnsi="Arial Narrow"/>
                <w:spacing w:val="-3"/>
                <w:sz w:val="22"/>
                <w:szCs w:val="20"/>
              </w:rPr>
              <w:t>Telephone:  (215) 560-2105</w:t>
            </w:r>
          </w:p>
          <w:p w14:paraId="0E9BC057" w14:textId="77777777" w:rsidR="0040456C" w:rsidRDefault="0040456C">
            <w:pPr>
              <w:spacing w:line="240" w:lineRule="auto"/>
              <w:jc w:val="center"/>
              <w:rPr>
                <w:sz w:val="20"/>
                <w:szCs w:val="20"/>
              </w:rPr>
            </w:pPr>
            <w:r>
              <w:rPr>
                <w:rFonts w:ascii="Arial Narrow" w:hAnsi="Arial Narrow"/>
                <w:spacing w:val="-3"/>
                <w:sz w:val="22"/>
                <w:szCs w:val="20"/>
              </w:rPr>
              <w:t>Fax:  (215) 560-3133</w:t>
            </w:r>
          </w:p>
        </w:tc>
        <w:tc>
          <w:tcPr>
            <w:tcW w:w="1530" w:type="dxa"/>
          </w:tcPr>
          <w:p w14:paraId="082E79DD" w14:textId="77777777" w:rsidR="0040456C" w:rsidRDefault="0040456C">
            <w:pPr>
              <w:spacing w:line="240" w:lineRule="auto"/>
              <w:rPr>
                <w:rFonts w:ascii="Arial" w:hAnsi="Arial"/>
                <w:sz w:val="12"/>
                <w:szCs w:val="20"/>
              </w:rPr>
            </w:pPr>
          </w:p>
          <w:p w14:paraId="7A05C5DC" w14:textId="77777777" w:rsidR="0040456C" w:rsidRDefault="0040456C">
            <w:pPr>
              <w:spacing w:line="240" w:lineRule="auto"/>
              <w:rPr>
                <w:rFonts w:ascii="Arial" w:hAnsi="Arial"/>
                <w:sz w:val="12"/>
                <w:szCs w:val="20"/>
              </w:rPr>
            </w:pPr>
          </w:p>
          <w:p w14:paraId="4A847A10" w14:textId="77777777" w:rsidR="0040456C" w:rsidRDefault="0040456C">
            <w:pPr>
              <w:spacing w:line="240" w:lineRule="auto"/>
              <w:rPr>
                <w:rFonts w:ascii="Arial" w:hAnsi="Arial"/>
                <w:sz w:val="12"/>
                <w:szCs w:val="20"/>
              </w:rPr>
            </w:pPr>
          </w:p>
          <w:p w14:paraId="574B9C71" w14:textId="77777777" w:rsidR="0040456C" w:rsidRDefault="0040456C">
            <w:pPr>
              <w:spacing w:line="240" w:lineRule="auto"/>
              <w:rPr>
                <w:rFonts w:ascii="Arial" w:hAnsi="Arial"/>
                <w:sz w:val="12"/>
                <w:szCs w:val="20"/>
              </w:rPr>
            </w:pPr>
          </w:p>
          <w:p w14:paraId="0ABD72B8" w14:textId="77777777" w:rsidR="0040456C" w:rsidRDefault="0040456C">
            <w:pPr>
              <w:spacing w:line="240" w:lineRule="auto"/>
              <w:rPr>
                <w:rFonts w:ascii="Arial" w:hAnsi="Arial"/>
                <w:sz w:val="12"/>
                <w:szCs w:val="20"/>
              </w:rPr>
            </w:pPr>
          </w:p>
          <w:p w14:paraId="20E6C441" w14:textId="77777777" w:rsidR="0040456C" w:rsidRDefault="0040456C">
            <w:pPr>
              <w:spacing w:line="240" w:lineRule="auto"/>
              <w:rPr>
                <w:rFonts w:ascii="Arial" w:hAnsi="Arial"/>
                <w:sz w:val="12"/>
                <w:szCs w:val="20"/>
              </w:rPr>
            </w:pPr>
          </w:p>
          <w:p w14:paraId="5003A90F" w14:textId="77777777" w:rsidR="0040456C" w:rsidRDefault="0040456C">
            <w:pPr>
              <w:spacing w:line="240" w:lineRule="auto"/>
              <w:rPr>
                <w:rFonts w:ascii="Arial" w:hAnsi="Arial"/>
                <w:sz w:val="12"/>
                <w:szCs w:val="20"/>
              </w:rPr>
            </w:pPr>
          </w:p>
          <w:p w14:paraId="37798E2D" w14:textId="77777777" w:rsidR="0040456C" w:rsidRDefault="0040456C">
            <w:pPr>
              <w:spacing w:line="240" w:lineRule="auto"/>
              <w:rPr>
                <w:rFonts w:ascii="Arial" w:hAnsi="Arial"/>
                <w:sz w:val="12"/>
                <w:szCs w:val="20"/>
              </w:rPr>
            </w:pPr>
          </w:p>
          <w:p w14:paraId="4D501323" w14:textId="77777777" w:rsidR="0040456C" w:rsidRDefault="0040456C">
            <w:pPr>
              <w:spacing w:line="240" w:lineRule="auto"/>
              <w:rPr>
                <w:rFonts w:ascii="Arial" w:hAnsi="Arial"/>
                <w:sz w:val="12"/>
                <w:szCs w:val="20"/>
              </w:rPr>
            </w:pPr>
          </w:p>
          <w:p w14:paraId="13FB07CD" w14:textId="77777777" w:rsidR="0040456C" w:rsidRDefault="0040456C">
            <w:pPr>
              <w:spacing w:line="240" w:lineRule="auto"/>
              <w:rPr>
                <w:rFonts w:ascii="Arial" w:hAnsi="Arial"/>
                <w:sz w:val="12"/>
                <w:szCs w:val="20"/>
              </w:rPr>
            </w:pPr>
          </w:p>
          <w:p w14:paraId="2066EE09" w14:textId="77777777" w:rsidR="0040456C" w:rsidRDefault="0040456C">
            <w:pPr>
              <w:spacing w:line="240" w:lineRule="auto"/>
              <w:rPr>
                <w:rFonts w:ascii="Arial" w:hAnsi="Arial"/>
                <w:sz w:val="12"/>
                <w:szCs w:val="20"/>
              </w:rPr>
            </w:pPr>
          </w:p>
          <w:p w14:paraId="27C68957" w14:textId="77777777" w:rsidR="0040456C" w:rsidRDefault="0040456C">
            <w:pPr>
              <w:spacing w:line="240" w:lineRule="auto"/>
              <w:rPr>
                <w:rFonts w:ascii="Arial" w:hAnsi="Arial"/>
                <w:sz w:val="12"/>
                <w:szCs w:val="20"/>
              </w:rPr>
            </w:pPr>
          </w:p>
          <w:p w14:paraId="068F9FAF" w14:textId="77777777" w:rsidR="0040456C" w:rsidRDefault="0040456C">
            <w:pPr>
              <w:spacing w:line="240" w:lineRule="auto"/>
              <w:rPr>
                <w:rFonts w:ascii="Arial" w:hAnsi="Arial"/>
                <w:sz w:val="12"/>
                <w:szCs w:val="20"/>
              </w:rPr>
            </w:pPr>
          </w:p>
          <w:p w14:paraId="4EED9E37" w14:textId="77777777" w:rsidR="0040456C" w:rsidRDefault="0040456C">
            <w:pPr>
              <w:spacing w:line="240" w:lineRule="auto"/>
              <w:rPr>
                <w:rFonts w:ascii="Arial" w:hAnsi="Arial"/>
                <w:sz w:val="12"/>
                <w:szCs w:val="20"/>
              </w:rPr>
            </w:pPr>
          </w:p>
          <w:p w14:paraId="0CDB932D" w14:textId="77777777" w:rsidR="0040456C" w:rsidRDefault="0040456C">
            <w:pPr>
              <w:spacing w:line="240" w:lineRule="auto"/>
              <w:jc w:val="right"/>
              <w:rPr>
                <w:rFonts w:ascii="Arial" w:hAnsi="Arial"/>
                <w:b/>
                <w:spacing w:val="-1"/>
                <w:sz w:val="12"/>
                <w:szCs w:val="20"/>
              </w:rPr>
            </w:pPr>
            <w:r>
              <w:rPr>
                <w:rFonts w:ascii="Arial" w:hAnsi="Arial"/>
                <w:b/>
                <w:spacing w:val="-1"/>
                <w:sz w:val="12"/>
                <w:szCs w:val="20"/>
              </w:rPr>
              <w:t>IN REPLY PLEASE  </w:t>
            </w:r>
          </w:p>
          <w:p w14:paraId="5EA9EE1A" w14:textId="77777777" w:rsidR="0040456C" w:rsidRDefault="0040456C">
            <w:pPr>
              <w:spacing w:line="240" w:lineRule="auto"/>
              <w:jc w:val="right"/>
              <w:rPr>
                <w:rFonts w:ascii="Arial" w:hAnsi="Arial"/>
                <w:sz w:val="12"/>
                <w:szCs w:val="20"/>
              </w:rPr>
            </w:pPr>
            <w:r>
              <w:rPr>
                <w:rFonts w:ascii="Arial" w:hAnsi="Arial"/>
                <w:b/>
                <w:spacing w:val="-1"/>
                <w:sz w:val="12"/>
                <w:szCs w:val="20"/>
              </w:rPr>
              <w:fldChar w:fldCharType="begin"/>
            </w:r>
            <w:r>
              <w:rPr>
                <w:rFonts w:ascii="Arial" w:hAnsi="Arial"/>
                <w:b/>
                <w:spacing w:val="-1"/>
                <w:sz w:val="12"/>
                <w:szCs w:val="20"/>
              </w:rPr>
              <w:instrText>ADVANCE \U 3.60</w:instrText>
            </w:r>
            <w:r>
              <w:rPr>
                <w:rFonts w:ascii="Arial" w:hAnsi="Arial"/>
                <w:b/>
                <w:spacing w:val="-1"/>
                <w:sz w:val="12"/>
                <w:szCs w:val="20"/>
              </w:rPr>
              <w:fldChar w:fldCharType="end"/>
            </w:r>
            <w:r>
              <w:rPr>
                <w:rFonts w:ascii="Arial" w:hAnsi="Arial"/>
                <w:b/>
                <w:spacing w:val="-1"/>
                <w:sz w:val="12"/>
                <w:szCs w:val="20"/>
              </w:rPr>
              <w:t>REFER TO OUR FILE</w:t>
            </w:r>
          </w:p>
        </w:tc>
      </w:tr>
    </w:tbl>
    <w:p w14:paraId="48CE0A7D" w14:textId="77777777" w:rsidR="0040456C" w:rsidRDefault="0040456C" w:rsidP="0040456C">
      <w:pPr>
        <w:widowControl w:val="0"/>
        <w:spacing w:line="240" w:lineRule="auto"/>
        <w:jc w:val="center"/>
      </w:pPr>
    </w:p>
    <w:p w14:paraId="2375494F" w14:textId="041BEF47" w:rsidR="0040456C" w:rsidRDefault="0040456C" w:rsidP="0040456C">
      <w:pPr>
        <w:widowControl w:val="0"/>
        <w:spacing w:line="240" w:lineRule="auto"/>
        <w:jc w:val="center"/>
        <w:rPr>
          <w:sz w:val="26"/>
          <w:szCs w:val="26"/>
        </w:rPr>
      </w:pPr>
      <w:r>
        <w:rPr>
          <w:sz w:val="26"/>
          <w:szCs w:val="26"/>
        </w:rPr>
        <w:t>August 1</w:t>
      </w:r>
      <w:r w:rsidR="001B40EE">
        <w:rPr>
          <w:sz w:val="26"/>
          <w:szCs w:val="26"/>
        </w:rPr>
        <w:t>6</w:t>
      </w:r>
      <w:r>
        <w:rPr>
          <w:sz w:val="26"/>
          <w:szCs w:val="26"/>
        </w:rPr>
        <w:t>, 2023</w:t>
      </w:r>
    </w:p>
    <w:p w14:paraId="658A24C1" w14:textId="77777777" w:rsidR="0040456C" w:rsidRPr="00B81594" w:rsidRDefault="0040456C" w:rsidP="00B81594">
      <w:pPr>
        <w:widowControl w:val="0"/>
        <w:contextualSpacing/>
      </w:pPr>
    </w:p>
    <w:p w14:paraId="7FB0DDC5" w14:textId="77777777" w:rsidR="0040456C" w:rsidRPr="00B81594" w:rsidRDefault="0040456C" w:rsidP="00B81594">
      <w:pPr>
        <w:widowControl w:val="0"/>
        <w:contextualSpacing/>
      </w:pPr>
    </w:p>
    <w:p w14:paraId="3F38D0B8" w14:textId="77777777" w:rsidR="0040456C" w:rsidRPr="00B81594" w:rsidRDefault="0040456C" w:rsidP="00B81594">
      <w:pPr>
        <w:widowControl w:val="0"/>
        <w:contextualSpacing/>
      </w:pPr>
    </w:p>
    <w:p w14:paraId="01ABE9F4" w14:textId="77777777" w:rsidR="0040456C" w:rsidRPr="00B81594" w:rsidRDefault="0040456C" w:rsidP="00B81594">
      <w:pPr>
        <w:widowControl w:val="0"/>
        <w:contextualSpacing/>
      </w:pPr>
      <w:r w:rsidRPr="00B81594">
        <w:t>SEE ATTACHED SERVICE LIST</w:t>
      </w:r>
    </w:p>
    <w:p w14:paraId="3B3AF794" w14:textId="77777777" w:rsidR="0040456C" w:rsidRPr="00B81594" w:rsidRDefault="0040456C" w:rsidP="00B81594">
      <w:pPr>
        <w:widowControl w:val="0"/>
        <w:contextualSpacing/>
      </w:pPr>
    </w:p>
    <w:p w14:paraId="6038BC9C" w14:textId="77777777" w:rsidR="0040456C" w:rsidRPr="00B81594" w:rsidRDefault="0040456C" w:rsidP="00B81594">
      <w:pPr>
        <w:widowControl w:val="0"/>
        <w:spacing w:line="240" w:lineRule="auto"/>
        <w:ind w:left="1440" w:hanging="720"/>
        <w:contextualSpacing/>
      </w:pPr>
      <w:r w:rsidRPr="00B81594">
        <w:t>Re:</w:t>
      </w:r>
      <w:r w:rsidRPr="00B81594">
        <w:tab/>
        <w:t>Application under Section 1329 of the Public Utility Code of Pennsylvania American Water Company-Wastewater to acquire the wastewater assets of Butler Area Sewer Authority</w:t>
      </w:r>
    </w:p>
    <w:p w14:paraId="7BA8A753" w14:textId="77777777" w:rsidR="0040456C" w:rsidRPr="00B81594" w:rsidRDefault="0040456C" w:rsidP="00B81594">
      <w:pPr>
        <w:widowControl w:val="0"/>
        <w:spacing w:line="240" w:lineRule="auto"/>
        <w:ind w:left="1440"/>
        <w:contextualSpacing/>
      </w:pPr>
      <w:r w:rsidRPr="00B81594">
        <w:t>Docket Number A-2022-3037047</w:t>
      </w:r>
    </w:p>
    <w:p w14:paraId="1028289F" w14:textId="77777777" w:rsidR="0040456C" w:rsidRPr="00B81594" w:rsidRDefault="0040456C" w:rsidP="00B81594">
      <w:pPr>
        <w:widowControl w:val="0"/>
        <w:spacing w:line="240" w:lineRule="auto"/>
        <w:contextualSpacing/>
      </w:pPr>
    </w:p>
    <w:p w14:paraId="6FAB0CD6" w14:textId="77777777" w:rsidR="0040456C" w:rsidRPr="00B81594" w:rsidRDefault="0040456C" w:rsidP="00B81594">
      <w:pPr>
        <w:widowControl w:val="0"/>
        <w:contextualSpacing/>
      </w:pPr>
      <w:r w:rsidRPr="00B81594">
        <w:t>Dear Protestants:</w:t>
      </w:r>
    </w:p>
    <w:p w14:paraId="10186CF9" w14:textId="77777777" w:rsidR="0040456C" w:rsidRPr="00B81594" w:rsidRDefault="0040456C" w:rsidP="00B81594">
      <w:pPr>
        <w:widowControl w:val="0"/>
        <w:ind w:firstLine="1440"/>
        <w:contextualSpacing/>
      </w:pPr>
    </w:p>
    <w:p w14:paraId="1419506C" w14:textId="34BA348F" w:rsidR="0040456C" w:rsidRPr="00B81594" w:rsidRDefault="0040456C" w:rsidP="00B81594">
      <w:pPr>
        <w:widowControl w:val="0"/>
        <w:ind w:firstLine="1440"/>
        <w:contextualSpacing/>
      </w:pPr>
      <w:r w:rsidRPr="00B81594">
        <w:t>I am writing to inform you of a potential settlement of the above-referenced case.  Pennsylvania American Water Company (PAWC), the Office of Consumer Advocate (OCA) and the Bureau of Investigation &amp; Enforcement (BI&amp;E), the Office of Small Business Advocate (OSBA), the Butler Area Sewer Authority (BASA), and the City and Township of Butler have signed and filed a Joint Petition for Settlement.  A copy of the Settlement Petition is attached to this letter.</w:t>
      </w:r>
    </w:p>
    <w:p w14:paraId="2A2EE90C" w14:textId="77777777" w:rsidR="0040456C" w:rsidRPr="00B81594" w:rsidRDefault="0040456C" w:rsidP="00B81594">
      <w:pPr>
        <w:widowControl w:val="0"/>
        <w:ind w:firstLine="1440"/>
        <w:contextualSpacing/>
      </w:pPr>
    </w:p>
    <w:p w14:paraId="64AF3278" w14:textId="77777777" w:rsidR="0040456C" w:rsidRPr="00B81594" w:rsidRDefault="0040456C" w:rsidP="00B81594">
      <w:pPr>
        <w:widowControl w:val="0"/>
        <w:ind w:firstLine="1440"/>
        <w:contextualSpacing/>
      </w:pPr>
      <w:r w:rsidRPr="00B81594">
        <w:t>After I have reviewed the proposed settlement, I will prepare a written recommended decision, which you will receive, recommending that the Commission adopt, modify, or reject the Settlement Petition.  The Commission will make a final decision on whether or not the proposed settlement should be approved.</w:t>
      </w:r>
    </w:p>
    <w:p w14:paraId="30301FE1" w14:textId="77777777" w:rsidR="0040456C" w:rsidRPr="00B81594" w:rsidRDefault="0040456C" w:rsidP="00B81594">
      <w:pPr>
        <w:widowControl w:val="0"/>
        <w:ind w:firstLine="1440"/>
        <w:contextualSpacing/>
      </w:pPr>
    </w:p>
    <w:p w14:paraId="4143BF00" w14:textId="1641AF32" w:rsidR="0040456C" w:rsidRPr="00B81594" w:rsidRDefault="0040456C" w:rsidP="00B81594">
      <w:pPr>
        <w:widowControl w:val="0"/>
        <w:ind w:firstLine="1440"/>
        <w:contextualSpacing/>
      </w:pPr>
      <w:r w:rsidRPr="00B81594">
        <w:t>As a protestant, you have an opportunity to submit comments or objections to me after you review the Settlement Petition.  If you wish to comment or object, you must send your written comments or objections to me, with a copy to the company, and all other parties, within seven days of the date of this letter (not later than August 2</w:t>
      </w:r>
      <w:r w:rsidR="001B40EE">
        <w:t>3</w:t>
      </w:r>
      <w:r w:rsidRPr="00B81594">
        <w:t>, 2023 ), at the following address:</w:t>
      </w:r>
    </w:p>
    <w:p w14:paraId="5F0328AF" w14:textId="77777777" w:rsidR="0040456C" w:rsidRPr="00B81594" w:rsidRDefault="0040456C" w:rsidP="00B81594">
      <w:pPr>
        <w:widowControl w:val="0"/>
        <w:ind w:firstLine="1440"/>
        <w:contextualSpacing/>
      </w:pPr>
    </w:p>
    <w:p w14:paraId="173C9892" w14:textId="77777777" w:rsidR="0040456C" w:rsidRPr="00B81594" w:rsidRDefault="0040456C" w:rsidP="00B81594">
      <w:pPr>
        <w:widowControl w:val="0"/>
        <w:spacing w:line="240" w:lineRule="auto"/>
        <w:contextualSpacing/>
        <w:jc w:val="center"/>
      </w:pPr>
      <w:r w:rsidRPr="00B81594">
        <w:t>Administrative Law Judge Marta Guhl</w:t>
      </w:r>
    </w:p>
    <w:p w14:paraId="0AB5C819" w14:textId="77777777" w:rsidR="0040456C" w:rsidRPr="00B81594" w:rsidRDefault="0040456C" w:rsidP="00B81594">
      <w:pPr>
        <w:widowControl w:val="0"/>
        <w:spacing w:line="240" w:lineRule="auto"/>
        <w:contextualSpacing/>
        <w:jc w:val="center"/>
      </w:pPr>
      <w:r w:rsidRPr="00B81594">
        <w:t xml:space="preserve">Pennsylvania Public Utility Commission </w:t>
      </w:r>
    </w:p>
    <w:p w14:paraId="7ACA1D40" w14:textId="77777777" w:rsidR="0040456C" w:rsidRPr="00B81594" w:rsidRDefault="0040456C" w:rsidP="00B81594">
      <w:pPr>
        <w:widowControl w:val="0"/>
        <w:spacing w:line="240" w:lineRule="auto"/>
        <w:contextualSpacing/>
        <w:jc w:val="center"/>
      </w:pPr>
      <w:r w:rsidRPr="00B81594">
        <w:t>801 Market St., Suite 4063</w:t>
      </w:r>
    </w:p>
    <w:p w14:paraId="36D12CF7" w14:textId="77777777" w:rsidR="0040456C" w:rsidRPr="00B81594" w:rsidRDefault="0040456C" w:rsidP="00B81594">
      <w:pPr>
        <w:widowControl w:val="0"/>
        <w:spacing w:line="240" w:lineRule="auto"/>
        <w:contextualSpacing/>
        <w:jc w:val="center"/>
      </w:pPr>
      <w:r w:rsidRPr="00B81594">
        <w:t>Philadelphia, PA 19107</w:t>
      </w:r>
    </w:p>
    <w:p w14:paraId="11B6DE5E" w14:textId="77777777" w:rsidR="0040456C" w:rsidRPr="00B81594" w:rsidRDefault="0040456C" w:rsidP="00B81594">
      <w:pPr>
        <w:widowControl w:val="0"/>
        <w:ind w:firstLine="1440"/>
        <w:contextualSpacing/>
      </w:pPr>
    </w:p>
    <w:p w14:paraId="2F7D7F6F" w14:textId="77777777" w:rsidR="0040456C" w:rsidRPr="00B81594" w:rsidRDefault="0040456C" w:rsidP="00B81594">
      <w:pPr>
        <w:widowControl w:val="0"/>
        <w:contextualSpacing/>
      </w:pPr>
      <w:r w:rsidRPr="00B81594">
        <w:t xml:space="preserve">Please also send electronic copies of the comments or objections to me at mguhl@pa.gov and to my legal assistant, Athena </w:t>
      </w:r>
      <w:proofErr w:type="spellStart"/>
      <w:r w:rsidRPr="00B81594">
        <w:t>DelVillar</w:t>
      </w:r>
      <w:proofErr w:type="spellEnd"/>
      <w:r w:rsidRPr="00B81594">
        <w:t xml:space="preserve"> at sdelvillar@pa.gov.  </w:t>
      </w:r>
    </w:p>
    <w:p w14:paraId="7C8EA381" w14:textId="77777777" w:rsidR="0040456C" w:rsidRPr="00B81594" w:rsidRDefault="0040456C" w:rsidP="00B81594">
      <w:pPr>
        <w:widowControl w:val="0"/>
        <w:ind w:firstLine="1440"/>
        <w:contextualSpacing/>
      </w:pPr>
    </w:p>
    <w:p w14:paraId="0723986F" w14:textId="092A802E" w:rsidR="0040456C" w:rsidRPr="00B81594" w:rsidRDefault="0040456C" w:rsidP="00B81594">
      <w:pPr>
        <w:widowControl w:val="0"/>
        <w:ind w:firstLine="1440"/>
        <w:contextualSpacing/>
      </w:pPr>
      <w:r w:rsidRPr="00B81594">
        <w:t xml:space="preserve">The opportunity to submit written comments on, or objections to, the Settlement Petition is a means of expressing your opinions regarding the proposed settlement and the acquisition before my recommended decision is issued.  Your right to file exceptions and/or reply to exceptions to the recommended decision is not affected by this settlement unless you decide to join in the Settlement Petition, as explained below.  </w:t>
      </w:r>
      <w:r w:rsidRPr="00B81594">
        <w:rPr>
          <w:u w:val="single"/>
        </w:rPr>
        <w:t>Objections to the settlement must include facts, affidavits, argument and relevant legal analysis as substantiation.  Only if specifically requested, and supported by appropriate information and legal argument concerning the implications of denial of a continued opportunity to litigate the matter in lieu of settlement, will continued litigation of a protest be considered</w:t>
      </w:r>
      <w:r w:rsidRPr="00B81594">
        <w:t>.</w:t>
      </w:r>
    </w:p>
    <w:p w14:paraId="7B9B8481" w14:textId="77777777" w:rsidR="0040456C" w:rsidRPr="00B81594" w:rsidRDefault="0040456C" w:rsidP="00B81594">
      <w:pPr>
        <w:widowControl w:val="0"/>
        <w:ind w:firstLine="1440"/>
        <w:contextualSpacing/>
      </w:pPr>
    </w:p>
    <w:p w14:paraId="1837532F" w14:textId="0E8E61E1" w:rsidR="0040456C" w:rsidRPr="00B81594" w:rsidRDefault="0040456C" w:rsidP="00B81594">
      <w:pPr>
        <w:widowControl w:val="0"/>
        <w:ind w:firstLine="1440"/>
        <w:contextualSpacing/>
      </w:pPr>
      <w:r w:rsidRPr="00B81594">
        <w:t xml:space="preserve">If, after you review the Settlement Petition, you wish to join in, you may do so by completing and returning to me a copy of the Signature Page enclosed with this letter.  Please understand that by signing and returning the Signature Page you will be signifying that, as a signatory party, you do not wish to further prosecute your Protest unless the Commission rejects or modifies the Settlement Petition.  </w:t>
      </w:r>
    </w:p>
    <w:p w14:paraId="1D7EF18A" w14:textId="77777777" w:rsidR="0040456C" w:rsidRPr="00B81594" w:rsidRDefault="0040456C" w:rsidP="00B81594">
      <w:pPr>
        <w:widowControl w:val="0"/>
        <w:contextualSpacing/>
      </w:pPr>
    </w:p>
    <w:p w14:paraId="2A050F34" w14:textId="77777777" w:rsidR="0040456C" w:rsidRPr="00B81594" w:rsidRDefault="0040456C" w:rsidP="00B81594">
      <w:pPr>
        <w:widowControl w:val="0"/>
        <w:contextualSpacing/>
      </w:pPr>
      <w:r w:rsidRPr="00B81594">
        <w:tab/>
      </w:r>
      <w:r w:rsidRPr="00B81594">
        <w:tab/>
        <w:t>If you do not wish to comment on, object to or join in the settlement, you may do nothing.</w:t>
      </w:r>
    </w:p>
    <w:p w14:paraId="1F251017" w14:textId="77777777" w:rsidR="0040456C" w:rsidRPr="00B81594" w:rsidRDefault="0040456C" w:rsidP="00B81594">
      <w:pPr>
        <w:contextualSpacing/>
        <w:sectPr w:rsidR="0040456C" w:rsidRPr="00B81594">
          <w:pgSz w:w="12240" w:h="15840"/>
          <w:pgMar w:top="720" w:right="1440" w:bottom="1440" w:left="1440" w:header="720" w:footer="720" w:gutter="0"/>
          <w:cols w:space="720"/>
        </w:sectPr>
      </w:pPr>
    </w:p>
    <w:p w14:paraId="6BE6FFCB" w14:textId="77777777" w:rsidR="0040456C" w:rsidRPr="00B81594" w:rsidRDefault="0040456C" w:rsidP="00B81594">
      <w:pPr>
        <w:widowControl w:val="0"/>
        <w:contextualSpacing/>
      </w:pPr>
    </w:p>
    <w:p w14:paraId="17F00CDA" w14:textId="26ECE2C9" w:rsidR="0040456C" w:rsidRPr="00B81594" w:rsidRDefault="0040456C" w:rsidP="00B81594">
      <w:pPr>
        <w:widowControl w:val="0"/>
        <w:ind w:firstLine="1440"/>
        <w:contextualSpacing/>
      </w:pPr>
      <w:r w:rsidRPr="00B81594">
        <w:t>Please carefully review the Settlement Petition.  If you have any questions, PAWC, BASA, I&amp;E and OCA will be glad to speak with you.  The contact information for the parties is attached to this letter in the Service List.</w:t>
      </w:r>
    </w:p>
    <w:p w14:paraId="6F29D5A5" w14:textId="77777777" w:rsidR="0040456C" w:rsidRPr="00B81594" w:rsidRDefault="0040456C" w:rsidP="00B81594">
      <w:pPr>
        <w:widowControl w:val="0"/>
        <w:ind w:firstLine="1440"/>
        <w:contextualSpacing/>
      </w:pPr>
    </w:p>
    <w:p w14:paraId="32F5FB9A" w14:textId="77777777" w:rsidR="0040456C" w:rsidRDefault="0040456C" w:rsidP="00B81594">
      <w:pPr>
        <w:widowControl w:val="0"/>
        <w:ind w:left="5040"/>
        <w:contextualSpacing/>
      </w:pPr>
      <w:r w:rsidRPr="00B81594">
        <w:t>Very truly yours,</w:t>
      </w:r>
    </w:p>
    <w:p w14:paraId="6C2C2284" w14:textId="77777777" w:rsidR="00B81594" w:rsidRDefault="00B81594" w:rsidP="00B81594">
      <w:pPr>
        <w:widowControl w:val="0"/>
        <w:ind w:left="5040"/>
        <w:contextualSpacing/>
      </w:pPr>
    </w:p>
    <w:p w14:paraId="30C06014" w14:textId="77777777" w:rsidR="00B81594" w:rsidRPr="00B81594" w:rsidRDefault="00B81594" w:rsidP="00B81594">
      <w:pPr>
        <w:widowControl w:val="0"/>
        <w:ind w:left="5040"/>
        <w:contextualSpacing/>
      </w:pPr>
    </w:p>
    <w:p w14:paraId="04B04772" w14:textId="72E11B3F" w:rsidR="00B81594" w:rsidRPr="002D1426" w:rsidRDefault="00B81594" w:rsidP="00B81594">
      <w:pPr>
        <w:pStyle w:val="NoSpacing"/>
        <w:rPr>
          <w:szCs w:val="24"/>
        </w:rPr>
      </w:pPr>
      <w:r w:rsidRPr="002D1426">
        <w:rPr>
          <w:szCs w:val="24"/>
        </w:rPr>
        <w:t>Date:</w:t>
      </w:r>
      <w:r>
        <w:rPr>
          <w:szCs w:val="24"/>
        </w:rPr>
        <w:t xml:space="preserve">  </w:t>
      </w:r>
      <w:r>
        <w:rPr>
          <w:szCs w:val="24"/>
          <w:u w:val="single"/>
        </w:rPr>
        <w:t>August 1</w:t>
      </w:r>
      <w:r w:rsidR="001B40EE">
        <w:rPr>
          <w:szCs w:val="24"/>
          <w:u w:val="single"/>
        </w:rPr>
        <w:t>6</w:t>
      </w:r>
      <w:r w:rsidRPr="00361202">
        <w:rPr>
          <w:szCs w:val="24"/>
          <w:u w:val="single"/>
        </w:rPr>
        <w:t>,</w:t>
      </w:r>
      <w:r>
        <w:rPr>
          <w:szCs w:val="24"/>
          <w:u w:val="single"/>
        </w:rPr>
        <w:t xml:space="preserve"> 2023</w:t>
      </w:r>
      <w:r w:rsidRPr="002D1426">
        <w:rPr>
          <w:szCs w:val="24"/>
        </w:rPr>
        <w:tab/>
      </w:r>
      <w:r>
        <w:rPr>
          <w:szCs w:val="24"/>
        </w:rPr>
        <w:tab/>
      </w:r>
      <w:r w:rsidRPr="002D1426">
        <w:rPr>
          <w:szCs w:val="24"/>
        </w:rPr>
        <w:tab/>
      </w:r>
      <w:r>
        <w:rPr>
          <w:szCs w:val="24"/>
        </w:rPr>
        <w:tab/>
      </w:r>
      <w:r w:rsidR="001569E3" w:rsidRPr="002328CF">
        <w:rPr>
          <w:rFonts w:ascii="Fairwater Script" w:hAnsi="Fairwater Script"/>
          <w:szCs w:val="24"/>
          <w:u w:val="single"/>
        </w:rPr>
        <w:t>Marta</w:t>
      </w:r>
      <w:r w:rsidR="002547DB" w:rsidRPr="002328CF">
        <w:rPr>
          <w:rFonts w:ascii="Fairwater Script" w:hAnsi="Fairwater Script"/>
          <w:szCs w:val="24"/>
          <w:u w:val="single"/>
        </w:rPr>
        <w:t xml:space="preserve"> Guhl</w:t>
      </w:r>
      <w:r w:rsidRPr="002328CF">
        <w:rPr>
          <w:rFonts w:ascii="Fairwater Script" w:hAnsi="Fairwater Script"/>
          <w:szCs w:val="24"/>
          <w:u w:val="single"/>
        </w:rPr>
        <w:t>/</w:t>
      </w:r>
      <w:r w:rsidRPr="002D1426">
        <w:rPr>
          <w:szCs w:val="24"/>
          <w:u w:val="single"/>
        </w:rPr>
        <w:t>s/</w:t>
      </w:r>
      <w:r w:rsidRPr="002D1426">
        <w:rPr>
          <w:szCs w:val="24"/>
          <w:u w:val="single"/>
        </w:rPr>
        <w:tab/>
      </w:r>
      <w:r w:rsidRPr="002D1426">
        <w:rPr>
          <w:szCs w:val="24"/>
          <w:u w:val="single"/>
        </w:rPr>
        <w:tab/>
      </w:r>
      <w:r w:rsidRPr="002D1426">
        <w:rPr>
          <w:szCs w:val="24"/>
          <w:u w:val="single"/>
        </w:rPr>
        <w:tab/>
      </w:r>
    </w:p>
    <w:p w14:paraId="79B1837A" w14:textId="77777777" w:rsidR="00B81594" w:rsidRPr="002D1426" w:rsidRDefault="00B81594" w:rsidP="00B81594">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Marta Guhl</w:t>
      </w:r>
    </w:p>
    <w:p w14:paraId="2A0DDFD3" w14:textId="77777777" w:rsidR="00B81594" w:rsidRDefault="00B81594" w:rsidP="00B81594">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Pr="002D1426">
        <w:rPr>
          <w:szCs w:val="24"/>
        </w:rPr>
        <w:t>Administrative Law Judge</w:t>
      </w:r>
    </w:p>
    <w:p w14:paraId="1C5DE963" w14:textId="77777777" w:rsidR="0040456C" w:rsidRPr="00B81594" w:rsidRDefault="0040456C" w:rsidP="00B81594">
      <w:pPr>
        <w:widowControl w:val="0"/>
        <w:contextualSpacing/>
      </w:pPr>
    </w:p>
    <w:p w14:paraId="59CF43A5" w14:textId="77777777" w:rsidR="0040456C" w:rsidRPr="00B81594" w:rsidRDefault="0040456C" w:rsidP="00B81594">
      <w:pPr>
        <w:widowControl w:val="0"/>
        <w:contextualSpacing/>
      </w:pPr>
    </w:p>
    <w:p w14:paraId="7F62F21F" w14:textId="77777777" w:rsidR="0040456C" w:rsidRPr="00B81594" w:rsidRDefault="0040456C" w:rsidP="00B81594">
      <w:pPr>
        <w:contextualSpacing/>
        <w:sectPr w:rsidR="0040456C" w:rsidRPr="00B81594">
          <w:pgSz w:w="12240" w:h="15840"/>
          <w:pgMar w:top="720" w:right="1440" w:bottom="1440" w:left="1440" w:header="720" w:footer="720" w:gutter="0"/>
          <w:cols w:space="720"/>
        </w:sectPr>
      </w:pPr>
    </w:p>
    <w:p w14:paraId="7D9BF3C7" w14:textId="77777777" w:rsidR="003F36D6" w:rsidRDefault="003F36D6" w:rsidP="00B81594">
      <w:pPr>
        <w:widowControl w:val="0"/>
        <w:contextualSpacing/>
        <w:jc w:val="center"/>
        <w:rPr>
          <w:b/>
          <w:u w:val="single"/>
        </w:rPr>
      </w:pPr>
    </w:p>
    <w:p w14:paraId="64D26D7D" w14:textId="77777777" w:rsidR="003F36D6" w:rsidRDefault="003F36D6" w:rsidP="00B81594">
      <w:pPr>
        <w:widowControl w:val="0"/>
        <w:contextualSpacing/>
        <w:jc w:val="center"/>
        <w:rPr>
          <w:b/>
          <w:u w:val="single"/>
        </w:rPr>
      </w:pPr>
    </w:p>
    <w:p w14:paraId="7EAB6468" w14:textId="77777777" w:rsidR="003F36D6" w:rsidRDefault="003F36D6" w:rsidP="00B81594">
      <w:pPr>
        <w:widowControl w:val="0"/>
        <w:contextualSpacing/>
        <w:jc w:val="center"/>
        <w:rPr>
          <w:b/>
          <w:u w:val="single"/>
        </w:rPr>
      </w:pPr>
    </w:p>
    <w:p w14:paraId="4BEA3C5D" w14:textId="77777777" w:rsidR="003F36D6" w:rsidRDefault="003F36D6" w:rsidP="00B81594">
      <w:pPr>
        <w:widowControl w:val="0"/>
        <w:contextualSpacing/>
        <w:jc w:val="center"/>
        <w:rPr>
          <w:b/>
          <w:u w:val="single"/>
        </w:rPr>
      </w:pPr>
    </w:p>
    <w:p w14:paraId="3A47142B" w14:textId="77777777" w:rsidR="003F36D6" w:rsidRDefault="003F36D6" w:rsidP="00B81594">
      <w:pPr>
        <w:widowControl w:val="0"/>
        <w:contextualSpacing/>
        <w:jc w:val="center"/>
        <w:rPr>
          <w:b/>
          <w:u w:val="single"/>
        </w:rPr>
      </w:pPr>
    </w:p>
    <w:p w14:paraId="767C2C09" w14:textId="77777777" w:rsidR="003F36D6" w:rsidRDefault="003F36D6" w:rsidP="00B81594">
      <w:pPr>
        <w:widowControl w:val="0"/>
        <w:contextualSpacing/>
        <w:jc w:val="center"/>
        <w:rPr>
          <w:b/>
          <w:u w:val="single"/>
        </w:rPr>
      </w:pPr>
    </w:p>
    <w:p w14:paraId="172164BE" w14:textId="77777777" w:rsidR="003F36D6" w:rsidRDefault="003F36D6" w:rsidP="00B81594">
      <w:pPr>
        <w:widowControl w:val="0"/>
        <w:contextualSpacing/>
        <w:jc w:val="center"/>
        <w:rPr>
          <w:b/>
          <w:u w:val="single"/>
        </w:rPr>
      </w:pPr>
    </w:p>
    <w:p w14:paraId="0479FFB7" w14:textId="77777777" w:rsidR="003F36D6" w:rsidRDefault="003F36D6" w:rsidP="00B81594">
      <w:pPr>
        <w:widowControl w:val="0"/>
        <w:contextualSpacing/>
        <w:jc w:val="center"/>
        <w:rPr>
          <w:b/>
          <w:u w:val="single"/>
        </w:rPr>
      </w:pPr>
    </w:p>
    <w:p w14:paraId="439340DE" w14:textId="77777777" w:rsidR="003F36D6" w:rsidRDefault="003F36D6" w:rsidP="00B81594">
      <w:pPr>
        <w:widowControl w:val="0"/>
        <w:contextualSpacing/>
        <w:jc w:val="center"/>
        <w:rPr>
          <w:b/>
          <w:u w:val="single"/>
        </w:rPr>
      </w:pPr>
    </w:p>
    <w:p w14:paraId="553AD539" w14:textId="77777777" w:rsidR="003F36D6" w:rsidRDefault="003F36D6" w:rsidP="00B81594">
      <w:pPr>
        <w:widowControl w:val="0"/>
        <w:contextualSpacing/>
        <w:jc w:val="center"/>
        <w:rPr>
          <w:b/>
          <w:u w:val="single"/>
        </w:rPr>
      </w:pPr>
    </w:p>
    <w:p w14:paraId="66311D83" w14:textId="77777777" w:rsidR="003F36D6" w:rsidRDefault="003F36D6" w:rsidP="00B81594">
      <w:pPr>
        <w:widowControl w:val="0"/>
        <w:contextualSpacing/>
        <w:jc w:val="center"/>
        <w:rPr>
          <w:b/>
          <w:u w:val="single"/>
        </w:rPr>
      </w:pPr>
    </w:p>
    <w:p w14:paraId="6DC537DC" w14:textId="77777777" w:rsidR="003F36D6" w:rsidRDefault="003F36D6" w:rsidP="00B81594">
      <w:pPr>
        <w:widowControl w:val="0"/>
        <w:contextualSpacing/>
        <w:jc w:val="center"/>
        <w:rPr>
          <w:b/>
          <w:u w:val="single"/>
        </w:rPr>
      </w:pPr>
    </w:p>
    <w:p w14:paraId="1BF4733F" w14:textId="77777777" w:rsidR="003F36D6" w:rsidRDefault="003F36D6" w:rsidP="00B81594">
      <w:pPr>
        <w:widowControl w:val="0"/>
        <w:contextualSpacing/>
        <w:jc w:val="center"/>
        <w:rPr>
          <w:b/>
          <w:u w:val="single"/>
        </w:rPr>
      </w:pPr>
    </w:p>
    <w:p w14:paraId="7439419E" w14:textId="77777777" w:rsidR="003F36D6" w:rsidRDefault="003F36D6" w:rsidP="00B81594">
      <w:pPr>
        <w:widowControl w:val="0"/>
        <w:contextualSpacing/>
        <w:jc w:val="center"/>
        <w:rPr>
          <w:b/>
          <w:u w:val="single"/>
        </w:rPr>
      </w:pPr>
    </w:p>
    <w:p w14:paraId="6DD3AA97" w14:textId="77777777" w:rsidR="003F36D6" w:rsidRDefault="003F36D6" w:rsidP="00B81594">
      <w:pPr>
        <w:widowControl w:val="0"/>
        <w:contextualSpacing/>
        <w:jc w:val="center"/>
        <w:rPr>
          <w:b/>
          <w:u w:val="single"/>
        </w:rPr>
      </w:pPr>
    </w:p>
    <w:p w14:paraId="137CCC19" w14:textId="77777777" w:rsidR="003F36D6" w:rsidRDefault="003F36D6" w:rsidP="00B81594">
      <w:pPr>
        <w:widowControl w:val="0"/>
        <w:contextualSpacing/>
        <w:jc w:val="center"/>
        <w:rPr>
          <w:b/>
          <w:u w:val="single"/>
        </w:rPr>
      </w:pPr>
    </w:p>
    <w:p w14:paraId="0540CE62" w14:textId="77777777" w:rsidR="003F36D6" w:rsidRDefault="003F36D6" w:rsidP="00B81594">
      <w:pPr>
        <w:widowControl w:val="0"/>
        <w:contextualSpacing/>
        <w:jc w:val="center"/>
        <w:rPr>
          <w:b/>
          <w:u w:val="single"/>
        </w:rPr>
      </w:pPr>
    </w:p>
    <w:p w14:paraId="2E8447C0" w14:textId="77777777" w:rsidR="003F36D6" w:rsidRDefault="003F36D6" w:rsidP="00B81594">
      <w:pPr>
        <w:widowControl w:val="0"/>
        <w:contextualSpacing/>
        <w:jc w:val="center"/>
        <w:rPr>
          <w:b/>
          <w:u w:val="single"/>
        </w:rPr>
      </w:pPr>
    </w:p>
    <w:p w14:paraId="4B379627" w14:textId="77777777" w:rsidR="003F36D6" w:rsidRDefault="003F36D6" w:rsidP="00B81594">
      <w:pPr>
        <w:widowControl w:val="0"/>
        <w:contextualSpacing/>
        <w:jc w:val="center"/>
        <w:rPr>
          <w:b/>
          <w:u w:val="single"/>
        </w:rPr>
      </w:pPr>
    </w:p>
    <w:p w14:paraId="392DD3D5" w14:textId="77777777" w:rsidR="003F36D6" w:rsidRDefault="003F36D6" w:rsidP="00B81594">
      <w:pPr>
        <w:widowControl w:val="0"/>
        <w:contextualSpacing/>
        <w:jc w:val="center"/>
        <w:rPr>
          <w:b/>
          <w:u w:val="single"/>
        </w:rPr>
      </w:pPr>
    </w:p>
    <w:p w14:paraId="43789320" w14:textId="77777777" w:rsidR="003F36D6" w:rsidRDefault="003F36D6" w:rsidP="00B81594">
      <w:pPr>
        <w:widowControl w:val="0"/>
        <w:contextualSpacing/>
        <w:jc w:val="center"/>
        <w:rPr>
          <w:b/>
          <w:u w:val="single"/>
        </w:rPr>
      </w:pPr>
    </w:p>
    <w:p w14:paraId="11EF7FA8" w14:textId="2E24590A" w:rsidR="0040456C" w:rsidRPr="00B81594" w:rsidRDefault="0040456C" w:rsidP="00B81594">
      <w:pPr>
        <w:widowControl w:val="0"/>
        <w:contextualSpacing/>
        <w:jc w:val="center"/>
        <w:rPr>
          <w:b/>
          <w:u w:val="single"/>
        </w:rPr>
      </w:pPr>
      <w:r w:rsidRPr="00B81594">
        <w:rPr>
          <w:b/>
          <w:u w:val="single"/>
        </w:rPr>
        <w:lastRenderedPageBreak/>
        <w:t>SIGNATURE PAGE</w:t>
      </w:r>
    </w:p>
    <w:p w14:paraId="2C011531" w14:textId="77777777" w:rsidR="0040456C" w:rsidRPr="00B81594" w:rsidRDefault="0040456C" w:rsidP="00B81594">
      <w:pPr>
        <w:widowControl w:val="0"/>
        <w:ind w:firstLine="1440"/>
        <w:contextualSpacing/>
      </w:pPr>
    </w:p>
    <w:p w14:paraId="4096C561" w14:textId="2061A86B" w:rsidR="0040456C" w:rsidRPr="00B81594" w:rsidRDefault="0040456C" w:rsidP="00B81594">
      <w:pPr>
        <w:widowControl w:val="0"/>
        <w:ind w:firstLine="1440"/>
        <w:contextualSpacing/>
      </w:pPr>
      <w:r w:rsidRPr="00B81594">
        <w:t>Please sign below if you would like to join in the Settlement Petition signed by Pennsylvania American Water Company (PAWC), the Office of Consumer Advocate (OCA) and the Bureau of Investigation &amp; Enforcement (BI&amp;E), the Office of Small Business Advocate (OSBA), the Butler Area Sewer Authority (BASA), and the City and Township of Butler at Docket No. A-2022-3037047.</w:t>
      </w:r>
    </w:p>
    <w:p w14:paraId="731EE623" w14:textId="77777777" w:rsidR="0040456C" w:rsidRPr="00B81594" w:rsidRDefault="0040456C" w:rsidP="00B81594">
      <w:pPr>
        <w:widowControl w:val="0"/>
        <w:ind w:firstLine="1440"/>
        <w:contextualSpacing/>
      </w:pPr>
    </w:p>
    <w:p w14:paraId="036FCCFF" w14:textId="663B33AA" w:rsidR="0040456C" w:rsidRPr="00B81594" w:rsidRDefault="0040456C" w:rsidP="00B81594">
      <w:pPr>
        <w:widowControl w:val="0"/>
        <w:ind w:firstLine="1440"/>
        <w:contextualSpacing/>
      </w:pPr>
      <w:r w:rsidRPr="00B81594">
        <w:t>I have read the Settlement Petition and wish to join in it.  I am willing to withdraw my Protest in this case if the Pennsylvania Public Utility Commission approves the Settlement Petition without modification.</w:t>
      </w:r>
    </w:p>
    <w:p w14:paraId="731804E9" w14:textId="77777777" w:rsidR="0040456C" w:rsidRPr="00B81594" w:rsidRDefault="0040456C" w:rsidP="00B81594">
      <w:pPr>
        <w:widowControl w:val="0"/>
        <w:spacing w:line="240" w:lineRule="auto"/>
        <w:ind w:firstLine="720"/>
        <w:contextualSpacing/>
        <w:jc w:val="both"/>
      </w:pPr>
    </w:p>
    <w:p w14:paraId="7B815A46" w14:textId="77777777" w:rsidR="0040456C" w:rsidRPr="00B81594" w:rsidRDefault="0040456C" w:rsidP="00B81594">
      <w:pPr>
        <w:widowControl w:val="0"/>
        <w:spacing w:line="240" w:lineRule="auto"/>
        <w:ind w:firstLine="720"/>
        <w:contextualSpacing/>
        <w:jc w:val="both"/>
      </w:pPr>
    </w:p>
    <w:p w14:paraId="2C71248B" w14:textId="77777777" w:rsidR="0040456C" w:rsidRPr="00B81594" w:rsidRDefault="0040456C" w:rsidP="00B81594">
      <w:pPr>
        <w:widowControl w:val="0"/>
        <w:spacing w:line="240" w:lineRule="auto"/>
        <w:ind w:firstLine="720"/>
        <w:contextualSpacing/>
        <w:jc w:val="both"/>
      </w:pPr>
    </w:p>
    <w:p w14:paraId="0B93BEBE" w14:textId="77777777" w:rsidR="0040456C" w:rsidRPr="00B81594" w:rsidRDefault="0040456C" w:rsidP="00B81594">
      <w:pPr>
        <w:widowControl w:val="0"/>
        <w:spacing w:line="240" w:lineRule="auto"/>
        <w:ind w:firstLine="720"/>
        <w:contextualSpacing/>
        <w:jc w:val="both"/>
      </w:pPr>
    </w:p>
    <w:p w14:paraId="3E09351F" w14:textId="77777777" w:rsidR="0040456C" w:rsidRPr="00B81594" w:rsidRDefault="0040456C" w:rsidP="00B81594">
      <w:pPr>
        <w:widowControl w:val="0"/>
        <w:spacing w:line="240" w:lineRule="auto"/>
        <w:contextualSpacing/>
      </w:pPr>
      <w:r w:rsidRPr="00B81594">
        <w:t>__________________________________</w:t>
      </w:r>
      <w:r w:rsidRPr="00B81594">
        <w:tab/>
      </w:r>
      <w:r w:rsidRPr="00B81594">
        <w:tab/>
        <w:t>___________________________</w:t>
      </w:r>
    </w:p>
    <w:p w14:paraId="0247C5A6" w14:textId="77777777" w:rsidR="0040456C" w:rsidRPr="00B81594" w:rsidRDefault="0040456C" w:rsidP="00B81594">
      <w:pPr>
        <w:widowControl w:val="0"/>
        <w:tabs>
          <w:tab w:val="left" w:pos="5760"/>
        </w:tabs>
        <w:spacing w:line="240" w:lineRule="auto"/>
        <w:contextualSpacing/>
      </w:pPr>
      <w:r w:rsidRPr="00B81594">
        <w:t>Signature</w:t>
      </w:r>
      <w:r w:rsidRPr="00B81594">
        <w:tab/>
        <w:t>Date</w:t>
      </w:r>
    </w:p>
    <w:p w14:paraId="16762D8D" w14:textId="77777777" w:rsidR="0040456C" w:rsidRPr="00B81594" w:rsidRDefault="0040456C" w:rsidP="00B81594">
      <w:pPr>
        <w:widowControl w:val="0"/>
        <w:spacing w:line="240" w:lineRule="auto"/>
        <w:contextualSpacing/>
      </w:pPr>
    </w:p>
    <w:p w14:paraId="4EBE2F33" w14:textId="77777777" w:rsidR="0040456C" w:rsidRPr="00B81594" w:rsidRDefault="0040456C" w:rsidP="00B81594">
      <w:pPr>
        <w:keepNext/>
        <w:widowControl w:val="0"/>
        <w:spacing w:line="240" w:lineRule="auto"/>
        <w:contextualSpacing/>
        <w:outlineLvl w:val="1"/>
      </w:pPr>
    </w:p>
    <w:p w14:paraId="7125921D" w14:textId="77777777" w:rsidR="0040456C" w:rsidRPr="00B81594" w:rsidRDefault="0040456C" w:rsidP="00B81594">
      <w:pPr>
        <w:keepNext/>
        <w:widowControl w:val="0"/>
        <w:spacing w:line="240" w:lineRule="auto"/>
        <w:contextualSpacing/>
        <w:outlineLvl w:val="1"/>
      </w:pPr>
      <w:r w:rsidRPr="00B81594">
        <w:t>Please print your name and address here:</w:t>
      </w:r>
      <w:r w:rsidRPr="00B81594">
        <w:tab/>
      </w:r>
      <w:r w:rsidRPr="00B81594">
        <w:tab/>
        <w:t>_________________________________</w:t>
      </w:r>
    </w:p>
    <w:p w14:paraId="49635387" w14:textId="77777777" w:rsidR="0040456C" w:rsidRPr="00B81594" w:rsidRDefault="0040456C" w:rsidP="00B81594">
      <w:pPr>
        <w:spacing w:line="240" w:lineRule="auto"/>
        <w:contextualSpacing/>
      </w:pPr>
    </w:p>
    <w:p w14:paraId="02883897" w14:textId="77777777" w:rsidR="0040456C" w:rsidRPr="00B81594" w:rsidRDefault="0040456C" w:rsidP="00B81594">
      <w:pPr>
        <w:spacing w:line="240" w:lineRule="auto"/>
        <w:contextualSpacing/>
      </w:pPr>
      <w:r w:rsidRPr="00B81594">
        <w:tab/>
      </w:r>
      <w:r w:rsidRPr="00B81594">
        <w:tab/>
      </w:r>
      <w:r w:rsidRPr="00B81594">
        <w:tab/>
      </w:r>
      <w:r w:rsidRPr="00B81594">
        <w:tab/>
      </w:r>
      <w:r w:rsidRPr="00B81594">
        <w:tab/>
      </w:r>
      <w:r w:rsidRPr="00B81594">
        <w:tab/>
      </w:r>
      <w:r w:rsidRPr="00B81594">
        <w:tab/>
        <w:t>_________________________________</w:t>
      </w:r>
    </w:p>
    <w:p w14:paraId="3EEFA477" w14:textId="77777777" w:rsidR="0040456C" w:rsidRPr="00B81594" w:rsidRDefault="0040456C" w:rsidP="00B81594">
      <w:pPr>
        <w:spacing w:line="240" w:lineRule="auto"/>
        <w:contextualSpacing/>
      </w:pPr>
    </w:p>
    <w:p w14:paraId="0A853823" w14:textId="77777777" w:rsidR="0040456C" w:rsidRPr="00B81594" w:rsidRDefault="0040456C" w:rsidP="00B81594">
      <w:pPr>
        <w:widowControl w:val="0"/>
        <w:spacing w:line="240" w:lineRule="auto"/>
        <w:contextualSpacing/>
      </w:pPr>
      <w:r w:rsidRPr="00B81594">
        <w:tab/>
      </w:r>
      <w:r w:rsidRPr="00B81594">
        <w:tab/>
      </w:r>
      <w:r w:rsidRPr="00B81594">
        <w:tab/>
      </w:r>
      <w:r w:rsidRPr="00B81594">
        <w:tab/>
      </w:r>
      <w:r w:rsidRPr="00B81594">
        <w:tab/>
      </w:r>
      <w:r w:rsidRPr="00B81594">
        <w:tab/>
      </w:r>
      <w:r w:rsidRPr="00B81594">
        <w:tab/>
        <w:t>_________________________________</w:t>
      </w:r>
    </w:p>
    <w:p w14:paraId="33C74519" w14:textId="77777777" w:rsidR="0040456C" w:rsidRPr="00B81594" w:rsidRDefault="0040456C" w:rsidP="00B81594">
      <w:pPr>
        <w:widowControl w:val="0"/>
        <w:spacing w:line="240" w:lineRule="auto"/>
        <w:contextualSpacing/>
        <w:rPr>
          <w:u w:val="single"/>
        </w:rPr>
      </w:pPr>
    </w:p>
    <w:p w14:paraId="7EB29443" w14:textId="77777777" w:rsidR="0040456C" w:rsidRPr="00B81594" w:rsidRDefault="0040456C" w:rsidP="00B81594">
      <w:pPr>
        <w:widowControl w:val="0"/>
        <w:spacing w:line="240" w:lineRule="auto"/>
        <w:contextualSpacing/>
      </w:pPr>
      <w:r w:rsidRPr="00B81594">
        <w:tab/>
      </w:r>
      <w:r w:rsidRPr="00B81594">
        <w:tab/>
      </w:r>
      <w:r w:rsidRPr="00B81594">
        <w:tab/>
      </w:r>
      <w:r w:rsidRPr="00B81594">
        <w:tab/>
      </w:r>
      <w:r w:rsidRPr="00B81594">
        <w:tab/>
      </w:r>
      <w:r w:rsidRPr="00B81594">
        <w:tab/>
      </w:r>
      <w:r w:rsidRPr="00B81594">
        <w:tab/>
        <w:t>_________________________________</w:t>
      </w:r>
    </w:p>
    <w:p w14:paraId="23EED9C9" w14:textId="77777777" w:rsidR="0040456C" w:rsidRPr="00B81594" w:rsidRDefault="0040456C" w:rsidP="00DA0DD8">
      <w:pPr>
        <w:widowControl w:val="0"/>
        <w:contextualSpacing/>
      </w:pPr>
    </w:p>
    <w:p w14:paraId="2771C708" w14:textId="77777777" w:rsidR="004E65CC" w:rsidRDefault="004E65CC" w:rsidP="00B81594">
      <w:pPr>
        <w:contextualSpacing/>
      </w:pPr>
    </w:p>
    <w:p w14:paraId="48BEDE40" w14:textId="6C69128C" w:rsidR="00DA0DD8" w:rsidRDefault="00DA0DD8" w:rsidP="00DA0DD8">
      <w:pPr>
        <w:spacing w:after="160" w:line="259" w:lineRule="auto"/>
      </w:pPr>
      <w:r>
        <w:br w:type="page"/>
      </w:r>
    </w:p>
    <w:p w14:paraId="5D61294C" w14:textId="77777777" w:rsidR="00DA0DD8" w:rsidRPr="00B138E9" w:rsidRDefault="00DA0DD8">
      <w:pPr>
        <w:spacing w:line="259" w:lineRule="auto"/>
        <w:ind w:left="726" w:right="1"/>
        <w:jc w:val="center"/>
        <w:rPr>
          <w:sz w:val="22"/>
          <w:szCs w:val="22"/>
        </w:rPr>
      </w:pPr>
      <w:r w:rsidRPr="00B138E9">
        <w:rPr>
          <w:b/>
          <w:sz w:val="22"/>
          <w:szCs w:val="22"/>
        </w:rPr>
        <w:lastRenderedPageBreak/>
        <w:t xml:space="preserve">BEFORE THE </w:t>
      </w:r>
    </w:p>
    <w:p w14:paraId="737A1F99" w14:textId="77777777" w:rsidR="00DA0DD8" w:rsidRPr="00B138E9" w:rsidRDefault="00DA0DD8">
      <w:pPr>
        <w:pStyle w:val="Heading1"/>
        <w:spacing w:after="8"/>
        <w:ind w:left="2232"/>
        <w:rPr>
          <w:sz w:val="22"/>
        </w:rPr>
      </w:pPr>
      <w:r w:rsidRPr="00B138E9">
        <w:rPr>
          <w:sz w:val="22"/>
        </w:rPr>
        <w:t xml:space="preserve">PENNSYLVANIA PUBLIC UTILITY COMMISSION </w:t>
      </w:r>
    </w:p>
    <w:p w14:paraId="2F1B2C5D" w14:textId="77777777" w:rsidR="00DA0DD8" w:rsidRPr="00B138E9" w:rsidRDefault="00DA0DD8">
      <w:pPr>
        <w:spacing w:line="259" w:lineRule="auto"/>
        <w:ind w:left="726"/>
        <w:jc w:val="center"/>
        <w:rPr>
          <w:sz w:val="22"/>
          <w:szCs w:val="22"/>
        </w:rPr>
      </w:pPr>
      <w:r w:rsidRPr="00B138E9">
        <w:rPr>
          <w:b/>
          <w:sz w:val="22"/>
          <w:szCs w:val="22"/>
        </w:rPr>
        <w:t xml:space="preserve">________________________________________ </w:t>
      </w:r>
    </w:p>
    <w:p w14:paraId="4081C852" w14:textId="77777777" w:rsidR="00DA0DD8" w:rsidRPr="00B138E9" w:rsidRDefault="00DA0DD8">
      <w:pPr>
        <w:spacing w:line="259" w:lineRule="auto"/>
        <w:ind w:left="776"/>
        <w:jc w:val="center"/>
        <w:rPr>
          <w:sz w:val="22"/>
          <w:szCs w:val="22"/>
        </w:rPr>
      </w:pPr>
      <w:r w:rsidRPr="00B138E9">
        <w:rPr>
          <w:b/>
          <w:sz w:val="22"/>
          <w:szCs w:val="22"/>
        </w:rPr>
        <w:t xml:space="preserve"> </w:t>
      </w:r>
    </w:p>
    <w:p w14:paraId="4DEED824" w14:textId="77777777" w:rsidR="00DA0DD8" w:rsidRPr="00B138E9" w:rsidRDefault="00DA0DD8">
      <w:pPr>
        <w:spacing w:line="259" w:lineRule="auto"/>
        <w:ind w:left="726" w:right="2"/>
        <w:jc w:val="center"/>
        <w:rPr>
          <w:sz w:val="22"/>
          <w:szCs w:val="22"/>
        </w:rPr>
      </w:pPr>
      <w:r w:rsidRPr="00B138E9">
        <w:rPr>
          <w:b/>
          <w:sz w:val="22"/>
          <w:szCs w:val="22"/>
        </w:rPr>
        <w:t xml:space="preserve">Administrative Law Judge Marta Guhl </w:t>
      </w:r>
    </w:p>
    <w:p w14:paraId="5EE6BB90" w14:textId="77777777" w:rsidR="00DA0DD8" w:rsidRPr="00B138E9" w:rsidRDefault="00DA0DD8">
      <w:pPr>
        <w:spacing w:line="259" w:lineRule="auto"/>
        <w:ind w:left="726"/>
        <w:jc w:val="center"/>
        <w:rPr>
          <w:sz w:val="22"/>
          <w:szCs w:val="22"/>
        </w:rPr>
      </w:pPr>
      <w:r w:rsidRPr="00B138E9">
        <w:rPr>
          <w:b/>
          <w:sz w:val="22"/>
          <w:szCs w:val="22"/>
        </w:rPr>
        <w:t xml:space="preserve">________________________________________ </w:t>
      </w:r>
    </w:p>
    <w:p w14:paraId="54B65F06" w14:textId="77777777" w:rsidR="00DA0DD8" w:rsidRPr="00B138E9" w:rsidRDefault="00DA0DD8">
      <w:pPr>
        <w:spacing w:line="259" w:lineRule="auto"/>
        <w:rPr>
          <w:sz w:val="22"/>
          <w:szCs w:val="22"/>
        </w:rPr>
      </w:pPr>
      <w:r w:rsidRPr="00B138E9">
        <w:rPr>
          <w:sz w:val="22"/>
          <w:szCs w:val="22"/>
        </w:rPr>
        <w:t xml:space="preserve"> </w:t>
      </w:r>
    </w:p>
    <w:p w14:paraId="10B7168A" w14:textId="56B79F82" w:rsidR="00DA0DD8" w:rsidRPr="00B138E9" w:rsidRDefault="00DA0DD8">
      <w:pPr>
        <w:spacing w:after="2" w:line="242" w:lineRule="auto"/>
        <w:ind w:left="-5"/>
        <w:rPr>
          <w:sz w:val="22"/>
          <w:szCs w:val="22"/>
        </w:rPr>
      </w:pPr>
      <w:r w:rsidRPr="00B138E9">
        <w:rPr>
          <w:sz w:val="22"/>
          <w:szCs w:val="22"/>
        </w:rPr>
        <w:t xml:space="preserve">In re: Application of Pennsylvania-American Water   </w:t>
      </w:r>
      <w:r w:rsidRPr="00B138E9">
        <w:rPr>
          <w:sz w:val="22"/>
          <w:szCs w:val="22"/>
        </w:rPr>
        <w:tab/>
      </w:r>
      <w:r w:rsidR="00D05287">
        <w:rPr>
          <w:sz w:val="22"/>
          <w:szCs w:val="22"/>
        </w:rPr>
        <w:tab/>
      </w:r>
      <w:r w:rsidRPr="00B138E9">
        <w:rPr>
          <w:sz w:val="22"/>
          <w:szCs w:val="22"/>
        </w:rPr>
        <w:t xml:space="preserve">: </w:t>
      </w:r>
    </w:p>
    <w:p w14:paraId="218E7F7D" w14:textId="25B45AFF" w:rsidR="00DA0DD8" w:rsidRPr="00B138E9" w:rsidRDefault="00DA0DD8">
      <w:pPr>
        <w:spacing w:after="2" w:line="242" w:lineRule="auto"/>
        <w:ind w:left="-5"/>
        <w:rPr>
          <w:sz w:val="22"/>
          <w:szCs w:val="22"/>
        </w:rPr>
      </w:pPr>
      <w:r w:rsidRPr="00B138E9">
        <w:rPr>
          <w:sz w:val="22"/>
          <w:szCs w:val="22"/>
        </w:rPr>
        <w:t xml:space="preserve">Company under Sections 1102(a) and 1329 of the   </w:t>
      </w:r>
      <w:r w:rsidRPr="00B138E9">
        <w:rPr>
          <w:sz w:val="22"/>
          <w:szCs w:val="22"/>
        </w:rPr>
        <w:tab/>
      </w:r>
      <w:r w:rsidRPr="00B138E9">
        <w:rPr>
          <w:sz w:val="22"/>
          <w:szCs w:val="22"/>
        </w:rPr>
        <w:tab/>
        <w:t xml:space="preserve">: </w:t>
      </w:r>
    </w:p>
    <w:p w14:paraId="725DEBE9" w14:textId="77777777" w:rsidR="00DA0DD8" w:rsidRPr="00B138E9" w:rsidRDefault="00DA0DD8">
      <w:pPr>
        <w:spacing w:after="2" w:line="242" w:lineRule="auto"/>
        <w:ind w:left="-5"/>
        <w:rPr>
          <w:sz w:val="22"/>
          <w:szCs w:val="22"/>
        </w:rPr>
      </w:pPr>
      <w:r w:rsidRPr="00B138E9">
        <w:rPr>
          <w:sz w:val="22"/>
          <w:szCs w:val="22"/>
        </w:rPr>
        <w:t xml:space="preserve">Pennsylvania Public Utility Code, 66 Pa C.S. §§ 1102(a) </w:t>
      </w:r>
      <w:r w:rsidRPr="00B138E9">
        <w:rPr>
          <w:sz w:val="22"/>
          <w:szCs w:val="22"/>
        </w:rPr>
        <w:tab/>
        <w:t xml:space="preserve">: </w:t>
      </w:r>
    </w:p>
    <w:p w14:paraId="73684F9B" w14:textId="4C7F9D05" w:rsidR="00DA0DD8" w:rsidRPr="00B138E9" w:rsidRDefault="00DA0DD8">
      <w:pPr>
        <w:spacing w:after="2" w:line="242" w:lineRule="auto"/>
        <w:ind w:left="-5"/>
        <w:rPr>
          <w:sz w:val="22"/>
          <w:szCs w:val="22"/>
        </w:rPr>
      </w:pPr>
      <w:r w:rsidRPr="00B138E9">
        <w:rPr>
          <w:sz w:val="22"/>
          <w:szCs w:val="22"/>
        </w:rPr>
        <w:t xml:space="preserve">and 1329, for approval of (1) the transfer, by sale, to  </w:t>
      </w:r>
      <w:r w:rsidRPr="00B138E9">
        <w:rPr>
          <w:sz w:val="22"/>
          <w:szCs w:val="22"/>
        </w:rPr>
        <w:tab/>
      </w:r>
      <w:r w:rsidR="00D05287">
        <w:rPr>
          <w:sz w:val="22"/>
          <w:szCs w:val="22"/>
        </w:rPr>
        <w:tab/>
      </w:r>
      <w:r w:rsidRPr="00B138E9">
        <w:rPr>
          <w:sz w:val="22"/>
          <w:szCs w:val="22"/>
        </w:rPr>
        <w:t xml:space="preserve">: </w:t>
      </w:r>
    </w:p>
    <w:p w14:paraId="6B919EA2" w14:textId="0AE3EB60" w:rsidR="00D05287" w:rsidRDefault="00DA0DD8">
      <w:pPr>
        <w:spacing w:after="2" w:line="242" w:lineRule="auto"/>
        <w:ind w:left="-5" w:right="205"/>
        <w:rPr>
          <w:sz w:val="22"/>
          <w:szCs w:val="22"/>
        </w:rPr>
      </w:pPr>
      <w:r w:rsidRPr="00B138E9">
        <w:rPr>
          <w:sz w:val="22"/>
          <w:szCs w:val="22"/>
        </w:rPr>
        <w:t xml:space="preserve">Pennsylvania-American Water Company, of substantially  </w:t>
      </w:r>
      <w:r w:rsidRPr="00B138E9">
        <w:rPr>
          <w:sz w:val="22"/>
          <w:szCs w:val="22"/>
        </w:rPr>
        <w:tab/>
        <w:t xml:space="preserve">:       Docket Nos. A-20223037047 all of the assets, properties and rights related to </w:t>
      </w:r>
      <w:r w:rsidRPr="00B138E9">
        <w:rPr>
          <w:sz w:val="22"/>
          <w:szCs w:val="22"/>
        </w:rPr>
        <w:tab/>
      </w:r>
      <w:r w:rsidR="00D05287">
        <w:rPr>
          <w:sz w:val="22"/>
          <w:szCs w:val="22"/>
        </w:rPr>
        <w:tab/>
      </w:r>
      <w:r w:rsidR="00D05287">
        <w:rPr>
          <w:sz w:val="22"/>
          <w:szCs w:val="22"/>
        </w:rPr>
        <w:tab/>
      </w:r>
      <w:r w:rsidRPr="00B138E9">
        <w:rPr>
          <w:sz w:val="22"/>
          <w:szCs w:val="22"/>
        </w:rPr>
        <w:t xml:space="preserve">:                            </w:t>
      </w:r>
      <w:r w:rsidRPr="00B138E9">
        <w:rPr>
          <w:sz w:val="22"/>
          <w:szCs w:val="22"/>
        </w:rPr>
        <w:tab/>
        <w:t xml:space="preserve"> </w:t>
      </w:r>
    </w:p>
    <w:p w14:paraId="002EBF9F" w14:textId="64C9805D" w:rsidR="00DA0DD8" w:rsidRPr="00B138E9" w:rsidRDefault="00DA0DD8">
      <w:pPr>
        <w:spacing w:after="2" w:line="242" w:lineRule="auto"/>
        <w:ind w:left="-5" w:right="205"/>
        <w:rPr>
          <w:sz w:val="22"/>
          <w:szCs w:val="22"/>
        </w:rPr>
      </w:pPr>
      <w:r w:rsidRPr="00B138E9">
        <w:rPr>
          <w:sz w:val="22"/>
          <w:szCs w:val="22"/>
        </w:rPr>
        <w:t xml:space="preserve">wastewater collection and treatment system owned by </w:t>
      </w:r>
      <w:r w:rsidR="008D6B52" w:rsidRPr="00B138E9">
        <w:rPr>
          <w:sz w:val="22"/>
          <w:szCs w:val="22"/>
        </w:rPr>
        <w:tab/>
      </w:r>
      <w:r w:rsidR="00D05287">
        <w:rPr>
          <w:sz w:val="22"/>
          <w:szCs w:val="22"/>
        </w:rPr>
        <w:tab/>
      </w:r>
      <w:r w:rsidRPr="00B138E9">
        <w:rPr>
          <w:sz w:val="22"/>
          <w:szCs w:val="22"/>
        </w:rPr>
        <w:t>:</w:t>
      </w:r>
    </w:p>
    <w:p w14:paraId="0975965C" w14:textId="214E5C5C" w:rsidR="00DA0DD8" w:rsidRPr="00B138E9" w:rsidRDefault="00DA0DD8">
      <w:pPr>
        <w:spacing w:after="2" w:line="242" w:lineRule="auto"/>
        <w:ind w:left="-5" w:right="205"/>
        <w:rPr>
          <w:sz w:val="22"/>
          <w:szCs w:val="22"/>
        </w:rPr>
      </w:pPr>
      <w:r w:rsidRPr="00B138E9">
        <w:rPr>
          <w:sz w:val="22"/>
          <w:szCs w:val="22"/>
        </w:rPr>
        <w:t xml:space="preserve">Butler Area Sewer Authority, (2) the rights of  </w:t>
      </w:r>
      <w:r w:rsidRPr="00B138E9">
        <w:rPr>
          <w:sz w:val="22"/>
          <w:szCs w:val="22"/>
        </w:rPr>
        <w:tab/>
        <w:t xml:space="preserve"> </w:t>
      </w:r>
      <w:r w:rsidRPr="00B138E9">
        <w:rPr>
          <w:sz w:val="22"/>
          <w:szCs w:val="22"/>
        </w:rPr>
        <w:tab/>
      </w:r>
      <w:r w:rsidR="00D05287">
        <w:rPr>
          <w:sz w:val="22"/>
          <w:szCs w:val="22"/>
        </w:rPr>
        <w:tab/>
      </w:r>
      <w:r w:rsidRPr="00B138E9">
        <w:rPr>
          <w:sz w:val="22"/>
          <w:szCs w:val="22"/>
        </w:rPr>
        <w:t>:</w:t>
      </w:r>
    </w:p>
    <w:p w14:paraId="4CF7FB98" w14:textId="77777777" w:rsidR="00DA0DD8" w:rsidRPr="00B138E9" w:rsidRDefault="00DA0DD8">
      <w:pPr>
        <w:spacing w:after="2" w:line="242" w:lineRule="auto"/>
        <w:ind w:left="-5" w:right="205"/>
        <w:rPr>
          <w:sz w:val="22"/>
          <w:szCs w:val="22"/>
        </w:rPr>
      </w:pPr>
      <w:r w:rsidRPr="00B138E9">
        <w:rPr>
          <w:sz w:val="22"/>
          <w:szCs w:val="22"/>
        </w:rPr>
        <w:t>Pennsylvania-American Water Company to begin to offer</w:t>
      </w:r>
      <w:r w:rsidRPr="00B138E9">
        <w:rPr>
          <w:sz w:val="22"/>
          <w:szCs w:val="22"/>
        </w:rPr>
        <w:tab/>
        <w:t xml:space="preserve">: </w:t>
      </w:r>
    </w:p>
    <w:p w14:paraId="093A1D81" w14:textId="77777777" w:rsidR="00DA0DD8" w:rsidRPr="00B138E9" w:rsidRDefault="00DA0DD8">
      <w:pPr>
        <w:spacing w:after="2" w:line="242" w:lineRule="auto"/>
        <w:ind w:left="-5" w:right="205"/>
        <w:rPr>
          <w:sz w:val="22"/>
          <w:szCs w:val="22"/>
        </w:rPr>
      </w:pPr>
      <w:r w:rsidRPr="00B138E9">
        <w:rPr>
          <w:sz w:val="22"/>
          <w:szCs w:val="22"/>
        </w:rPr>
        <w:t xml:space="preserve">or furnish wastewater service to the public in the City of  </w:t>
      </w:r>
      <w:r w:rsidRPr="00B138E9">
        <w:rPr>
          <w:sz w:val="22"/>
          <w:szCs w:val="22"/>
        </w:rPr>
        <w:tab/>
        <w:t xml:space="preserve">: </w:t>
      </w:r>
    </w:p>
    <w:p w14:paraId="7FD9C991" w14:textId="5639F077" w:rsidR="00DA0DD8" w:rsidRPr="00B138E9" w:rsidRDefault="00DA0DD8">
      <w:pPr>
        <w:spacing w:after="2" w:line="242" w:lineRule="auto"/>
        <w:ind w:left="-5" w:right="205"/>
        <w:rPr>
          <w:sz w:val="22"/>
          <w:szCs w:val="22"/>
        </w:rPr>
      </w:pPr>
      <w:r w:rsidRPr="00B138E9">
        <w:rPr>
          <w:sz w:val="22"/>
          <w:szCs w:val="22"/>
        </w:rPr>
        <w:t xml:space="preserve">Butler, portions of the Borough of East Butler, and portions </w:t>
      </w:r>
      <w:r w:rsidR="00D05287">
        <w:rPr>
          <w:sz w:val="22"/>
          <w:szCs w:val="22"/>
        </w:rPr>
        <w:tab/>
      </w:r>
      <w:r w:rsidRPr="00B138E9">
        <w:rPr>
          <w:sz w:val="22"/>
          <w:szCs w:val="22"/>
        </w:rPr>
        <w:t xml:space="preserve">: </w:t>
      </w:r>
    </w:p>
    <w:p w14:paraId="4127E859" w14:textId="07CAE42B" w:rsidR="00DA0DD8" w:rsidRPr="00B138E9" w:rsidRDefault="00DA0DD8">
      <w:pPr>
        <w:spacing w:after="2" w:line="242" w:lineRule="auto"/>
        <w:ind w:left="-5" w:right="205"/>
        <w:rPr>
          <w:sz w:val="22"/>
          <w:szCs w:val="22"/>
        </w:rPr>
      </w:pPr>
      <w:r w:rsidRPr="00B138E9">
        <w:rPr>
          <w:sz w:val="22"/>
          <w:szCs w:val="22"/>
        </w:rPr>
        <w:t xml:space="preserve">of the Townships of Butler, Center, </w:t>
      </w:r>
      <w:proofErr w:type="spellStart"/>
      <w:r w:rsidRPr="00B138E9">
        <w:rPr>
          <w:sz w:val="22"/>
          <w:szCs w:val="22"/>
        </w:rPr>
        <w:t>Connoquenessing</w:t>
      </w:r>
      <w:proofErr w:type="spellEnd"/>
      <w:r w:rsidRPr="00B138E9">
        <w:rPr>
          <w:sz w:val="22"/>
          <w:szCs w:val="22"/>
        </w:rPr>
        <w:t xml:space="preserve">,  </w:t>
      </w:r>
      <w:r w:rsidRPr="00B138E9">
        <w:rPr>
          <w:sz w:val="22"/>
          <w:szCs w:val="22"/>
        </w:rPr>
        <w:tab/>
      </w:r>
      <w:r w:rsidR="00D05287">
        <w:rPr>
          <w:sz w:val="22"/>
          <w:szCs w:val="22"/>
        </w:rPr>
        <w:tab/>
      </w:r>
      <w:r w:rsidRPr="00B138E9">
        <w:rPr>
          <w:sz w:val="22"/>
          <w:szCs w:val="22"/>
        </w:rPr>
        <w:t xml:space="preserve">: </w:t>
      </w:r>
    </w:p>
    <w:p w14:paraId="03C2D2C4" w14:textId="0D9FFE6C" w:rsidR="00DA0DD8" w:rsidRPr="00B138E9" w:rsidRDefault="00DA0DD8">
      <w:pPr>
        <w:spacing w:after="2" w:line="242" w:lineRule="auto"/>
        <w:ind w:left="-5" w:right="205"/>
        <w:rPr>
          <w:sz w:val="22"/>
          <w:szCs w:val="22"/>
        </w:rPr>
      </w:pPr>
      <w:r w:rsidRPr="00B138E9">
        <w:rPr>
          <w:sz w:val="22"/>
          <w:szCs w:val="22"/>
        </w:rPr>
        <w:t>Oakland, Penn and Summit, in Butler County, Pennsylvania</w:t>
      </w:r>
      <w:r w:rsidR="00D05287">
        <w:rPr>
          <w:sz w:val="22"/>
          <w:szCs w:val="22"/>
        </w:rPr>
        <w:tab/>
      </w:r>
      <w:r w:rsidRPr="00B138E9">
        <w:rPr>
          <w:sz w:val="22"/>
          <w:szCs w:val="22"/>
        </w:rPr>
        <w:t xml:space="preserve">: </w:t>
      </w:r>
      <w:r w:rsidRPr="00B138E9">
        <w:rPr>
          <w:sz w:val="22"/>
          <w:szCs w:val="22"/>
        </w:rPr>
        <w:tab/>
        <w:t xml:space="preserve"> </w:t>
      </w:r>
    </w:p>
    <w:p w14:paraId="641C5A94" w14:textId="77777777" w:rsidR="00DA0DD8" w:rsidRPr="00B138E9" w:rsidRDefault="00DA0DD8">
      <w:pPr>
        <w:spacing w:line="259" w:lineRule="auto"/>
        <w:ind w:left="720"/>
        <w:rPr>
          <w:sz w:val="22"/>
          <w:szCs w:val="22"/>
        </w:rPr>
      </w:pPr>
      <w:r w:rsidRPr="00B138E9">
        <w:rPr>
          <w:sz w:val="22"/>
          <w:szCs w:val="22"/>
        </w:rPr>
        <w:t xml:space="preserve"> </w:t>
      </w:r>
    </w:p>
    <w:p w14:paraId="2ECBD481" w14:textId="77777777" w:rsidR="00DA0DD8" w:rsidRPr="00B138E9" w:rsidRDefault="00DA0DD8">
      <w:pPr>
        <w:spacing w:line="259" w:lineRule="auto"/>
        <w:rPr>
          <w:sz w:val="22"/>
          <w:szCs w:val="22"/>
        </w:rPr>
      </w:pPr>
      <w:r w:rsidRPr="00B138E9">
        <w:rPr>
          <w:b/>
          <w:sz w:val="22"/>
          <w:szCs w:val="22"/>
        </w:rPr>
        <w:t xml:space="preserve"> </w:t>
      </w:r>
    </w:p>
    <w:p w14:paraId="5CA4328D" w14:textId="77777777" w:rsidR="00DA0DD8" w:rsidRDefault="00DA0DD8">
      <w:pPr>
        <w:spacing w:after="8" w:line="252" w:lineRule="auto"/>
        <w:ind w:left="1870"/>
      </w:pPr>
      <w:r>
        <w:rPr>
          <w:b/>
        </w:rPr>
        <w:t xml:space="preserve">_____________________________________________________ </w:t>
      </w:r>
    </w:p>
    <w:p w14:paraId="22343553" w14:textId="77777777" w:rsidR="00DA0DD8" w:rsidRDefault="00DA0DD8">
      <w:pPr>
        <w:spacing w:line="259" w:lineRule="auto"/>
        <w:ind w:left="776"/>
        <w:jc w:val="center"/>
      </w:pPr>
      <w:r>
        <w:rPr>
          <w:b/>
        </w:rPr>
        <w:t xml:space="preserve"> </w:t>
      </w:r>
    </w:p>
    <w:p w14:paraId="47EE6C6C" w14:textId="77777777" w:rsidR="00DA0DD8" w:rsidRDefault="00DA0DD8">
      <w:pPr>
        <w:spacing w:line="259" w:lineRule="auto"/>
        <w:ind w:left="726" w:right="6"/>
        <w:jc w:val="center"/>
      </w:pPr>
      <w:r>
        <w:rPr>
          <w:b/>
        </w:rPr>
        <w:t xml:space="preserve">JOINT PETITION FOR APPROVAL OF </w:t>
      </w:r>
    </w:p>
    <w:p w14:paraId="20C238B6" w14:textId="77777777" w:rsidR="00DA0DD8" w:rsidRDefault="00DA0DD8">
      <w:pPr>
        <w:spacing w:after="8" w:line="252" w:lineRule="auto"/>
        <w:ind w:left="2523"/>
      </w:pPr>
      <w:r>
        <w:rPr>
          <w:b/>
        </w:rPr>
        <w:t xml:space="preserve">UNANIMOUS SETTLEMENT OF ALL ISSUES _____________________________________________________ </w:t>
      </w:r>
    </w:p>
    <w:p w14:paraId="560670E9" w14:textId="77777777" w:rsidR="00DA0DD8" w:rsidRDefault="00DA0DD8">
      <w:pPr>
        <w:spacing w:after="492" w:line="259" w:lineRule="auto"/>
        <w:ind w:left="720"/>
      </w:pPr>
      <w:r>
        <w:t xml:space="preserve"> </w:t>
      </w:r>
    </w:p>
    <w:p w14:paraId="50268FD5" w14:textId="67BB1DBF" w:rsidR="00DA0DD8" w:rsidRDefault="00DA0DD8" w:rsidP="00EA470F">
      <w:pPr>
        <w:pStyle w:val="Heading1"/>
        <w:numPr>
          <w:ilvl w:val="0"/>
          <w:numId w:val="18"/>
        </w:numPr>
        <w:tabs>
          <w:tab w:val="center" w:pos="797"/>
          <w:tab w:val="center" w:pos="2400"/>
        </w:tabs>
        <w:spacing w:after="0"/>
        <w:ind w:hanging="1452"/>
      </w:pPr>
      <w:r>
        <w:t xml:space="preserve">INTRODUCTION </w:t>
      </w:r>
    </w:p>
    <w:p w14:paraId="65542277" w14:textId="77777777" w:rsidR="003F36D6" w:rsidRPr="003F36D6" w:rsidRDefault="003F36D6" w:rsidP="003F36D6"/>
    <w:p w14:paraId="69701D5B" w14:textId="34DFD59B" w:rsidR="00DA0DD8" w:rsidRDefault="00DA0DD8" w:rsidP="008845B2">
      <w:pPr>
        <w:ind w:firstLine="1440"/>
      </w:pPr>
      <w:r>
        <w:t>Pennsylvania-American Water Company (“PAWC”), the Office of Consumer Advocate (“OCA”), the Office of Small Business Advocate (“OSBA”), the Bureau of Investigation and Enforcement (“I&amp;E”) of the Pennsylvania Public Utility Commission (“Commission”), the Butler Area Sewer Authority (“BASA”), the Township of Butler (the “Township”) and the City of Butler (the “City”) (singularly, a “Petitioner” and, collectively, the “Joint Petitioners”) hereby join in this “Joint Petition for Approval of Unanimous Settlement of All Issues” (“Settlement”)</w:t>
      </w:r>
      <w:r>
        <w:rPr>
          <w:vertAlign w:val="superscript"/>
        </w:rPr>
        <w:footnoteReference w:id="1"/>
      </w:r>
      <w:r>
        <w:t xml:space="preserve"> and respectfully request that the Honorable </w:t>
      </w:r>
      <w:r>
        <w:lastRenderedPageBreak/>
        <w:t>Administrative Law Judge Marta Guhl (the “ALJ”) recommend approval of, and the Commission approve, this Settlement without modification.</w:t>
      </w:r>
      <w:r w:rsidR="008845B2">
        <w:t xml:space="preserve"> </w:t>
      </w:r>
      <w:r>
        <w:t xml:space="preserve">In support of the Settlement, the Joint Petitioners state the following: </w:t>
      </w:r>
    </w:p>
    <w:p w14:paraId="0D231496" w14:textId="77777777" w:rsidR="00DA0DD8" w:rsidRDefault="00DA0DD8" w:rsidP="008845B2">
      <w:pPr>
        <w:ind w:left="720" w:firstLine="1440"/>
      </w:pPr>
      <w:r>
        <w:t xml:space="preserve"> </w:t>
      </w:r>
    </w:p>
    <w:p w14:paraId="15D980E2" w14:textId="77777777" w:rsidR="00DA0DD8" w:rsidRDefault="00DA0DD8" w:rsidP="00EA470F">
      <w:pPr>
        <w:pStyle w:val="Heading1"/>
        <w:tabs>
          <w:tab w:val="center" w:pos="844"/>
          <w:tab w:val="center" w:pos="2320"/>
        </w:tabs>
        <w:spacing w:after="0" w:line="360" w:lineRule="auto"/>
        <w:ind w:left="0" w:firstLine="0"/>
      </w:pPr>
      <w:r>
        <w:rPr>
          <w:rFonts w:ascii="Calibri" w:eastAsia="Calibri" w:hAnsi="Calibri" w:cs="Calibri"/>
          <w:b w:val="0"/>
          <w:sz w:val="22"/>
        </w:rPr>
        <w:tab/>
      </w:r>
      <w:r>
        <w:t xml:space="preserve">II. </w:t>
      </w:r>
      <w:r>
        <w:tab/>
        <w:t xml:space="preserve">BACKGROUND </w:t>
      </w:r>
    </w:p>
    <w:p w14:paraId="0019B082" w14:textId="77777777" w:rsidR="008845B2" w:rsidRPr="008845B2" w:rsidRDefault="008845B2" w:rsidP="008845B2"/>
    <w:p w14:paraId="44308DCB" w14:textId="33A6337F" w:rsidR="00DA0DD8" w:rsidRDefault="00DA0DD8" w:rsidP="008845B2">
      <w:pPr>
        <w:numPr>
          <w:ilvl w:val="0"/>
          <w:numId w:val="1"/>
        </w:numPr>
        <w:ind w:firstLine="1440"/>
      </w:pPr>
      <w:r>
        <w:t xml:space="preserve">PAWC and the Butler Area Sewer Authority entered into an Asset Purchase Agreement (the “APA”) dated as of October 11, 2022, by which PAWC will purchase the wastewater system currently owned and operated by BASA (the “System”).  On February 14, 2023, PAWC filed the instant Application (as amended, the “Application”), asking the Commission to approve the acquisition pursuant to Sections 507, 1102 and 1329 of the Pennsylvania Public Utility Code (“Code”), 66 Pa. C.S. §§ 507, 1102 and 1329.  An Amended Application was filed on February 17, 2023. </w:t>
      </w:r>
    </w:p>
    <w:p w14:paraId="2DBED34F" w14:textId="77777777" w:rsidR="00DA0DD8" w:rsidRDefault="00DA0DD8" w:rsidP="008845B2">
      <w:pPr>
        <w:ind w:left="-5" w:firstLine="1440"/>
      </w:pPr>
    </w:p>
    <w:p w14:paraId="7D6A99FA" w14:textId="3A0B36C3" w:rsidR="00DA0DD8" w:rsidRDefault="00DA0DD8" w:rsidP="008845B2">
      <w:pPr>
        <w:numPr>
          <w:ilvl w:val="0"/>
          <w:numId w:val="1"/>
        </w:numPr>
        <w:ind w:firstLine="1440"/>
      </w:pPr>
      <w:r>
        <w:t xml:space="preserve">Steven C. Gray, Esq. and Nakea S. Hurdle, Esq. filed Notices of Appearance on February 17, 2023 and March 2, 2023, respectively, on behalf of the Office of Small Business Advocate (“OSBA”).  Ms. Hurdle subsequently filed a Withdrawal of Appearance on June 16, 2023. </w:t>
      </w:r>
    </w:p>
    <w:p w14:paraId="5C8D2BF5" w14:textId="77777777" w:rsidR="008845B2" w:rsidRDefault="008845B2" w:rsidP="008845B2">
      <w:pPr>
        <w:ind w:left="1440"/>
      </w:pPr>
    </w:p>
    <w:p w14:paraId="3B63533D" w14:textId="77777777" w:rsidR="00DA0DD8" w:rsidRDefault="00DA0DD8" w:rsidP="008845B2">
      <w:pPr>
        <w:numPr>
          <w:ilvl w:val="0"/>
          <w:numId w:val="1"/>
        </w:numPr>
        <w:ind w:firstLine="1440"/>
      </w:pPr>
      <w:r>
        <w:t xml:space="preserve">On February 22, 2023, Erika L. McLain, Esq. filed a Notice of Appearance on behalf of the Commission’s Bureau of Investigation and Enforcement (“I&amp;E”).  On May 26, 2023, Ms. McLain withdrew her appearance, and Carrie B. Wright, Esq., filed her Notice of Appearance. </w:t>
      </w:r>
    </w:p>
    <w:p w14:paraId="082FEDED" w14:textId="77777777" w:rsidR="00DA0DD8" w:rsidRDefault="00DA0DD8" w:rsidP="008845B2">
      <w:pPr>
        <w:ind w:left="720" w:firstLine="1440"/>
      </w:pPr>
    </w:p>
    <w:p w14:paraId="459072E7" w14:textId="27D40671" w:rsidR="00DA0DD8" w:rsidRDefault="00DA0DD8" w:rsidP="008845B2">
      <w:pPr>
        <w:numPr>
          <w:ilvl w:val="0"/>
          <w:numId w:val="1"/>
        </w:numPr>
        <w:ind w:firstLine="1440"/>
      </w:pPr>
      <w:r>
        <w:t xml:space="preserve">On April 12, 2023, Erin L. Gannon, Esq., Harrison W. Breitman, Esq., and Mackenzie C. Battle, Esq. filed Notices of Appearance on behalf of the Office of Consumer Advocate (“OCA”).   Ms. Battle withdrew her appearance on July 20, 2023. </w:t>
      </w:r>
    </w:p>
    <w:p w14:paraId="21984BAB" w14:textId="77777777" w:rsidR="00DA0DD8" w:rsidRDefault="00DA0DD8" w:rsidP="008845B2">
      <w:pPr>
        <w:ind w:left="-5" w:firstLine="1440"/>
      </w:pPr>
    </w:p>
    <w:p w14:paraId="230A8432" w14:textId="77777777" w:rsidR="00DA0DD8" w:rsidRDefault="00DA0DD8" w:rsidP="008845B2">
      <w:pPr>
        <w:numPr>
          <w:ilvl w:val="0"/>
          <w:numId w:val="1"/>
        </w:numPr>
        <w:ind w:firstLine="1440"/>
      </w:pPr>
      <w:r>
        <w:t xml:space="preserve">On March 7, 2023, staff from the Commission’s Bureau of Technical Utility Services (“TUS”) notified PAWC that they had performed a completeness review of the Application and determined that certain information was missing.  TUS staff requested that </w:t>
      </w:r>
      <w:r>
        <w:lastRenderedPageBreak/>
        <w:t>the information be provided within ten business days (</w:t>
      </w:r>
      <w:r>
        <w:rPr>
          <w:i/>
        </w:rPr>
        <w:t>i.e.</w:t>
      </w:r>
      <w:r>
        <w:t xml:space="preserve">, by March 21, 2023).  On March 13, 2023, PAWC filed the information requested by TUS.  On March 16, 2023, TUS staff notified PAWC that certain information remained missing.  PAWC filed the requested information on March 27, 2023. </w:t>
      </w:r>
    </w:p>
    <w:p w14:paraId="6FF74ADC" w14:textId="77777777" w:rsidR="00DA0DD8" w:rsidRDefault="00DA0DD8" w:rsidP="008845B2">
      <w:pPr>
        <w:ind w:left="720" w:firstLine="1440"/>
      </w:pPr>
    </w:p>
    <w:p w14:paraId="370EACDE" w14:textId="217EF083" w:rsidR="00DA0DD8" w:rsidRDefault="00DA0DD8" w:rsidP="008845B2">
      <w:pPr>
        <w:numPr>
          <w:ilvl w:val="0"/>
          <w:numId w:val="1"/>
        </w:numPr>
        <w:ind w:firstLine="1440"/>
      </w:pPr>
      <w:r>
        <w:t xml:space="preserve">On April 6, 2023, TUS staff notified PAWC that it deemed PAWC’s filing deficient because it included a </w:t>
      </w:r>
      <w:r>
        <w:rPr>
          <w:i/>
        </w:rPr>
        <w:t xml:space="preserve">pro forma </w:t>
      </w:r>
      <w:r>
        <w:t xml:space="preserve">tariff that did not include BASA’s Industrial Pretreatment Program (“IPP”) pollutant loading rates together with an alternate </w:t>
      </w:r>
      <w:r w:rsidRPr="003B5D11">
        <w:rPr>
          <w:i/>
        </w:rPr>
        <w:t xml:space="preserve">pro forma </w:t>
      </w:r>
      <w:r>
        <w:t xml:space="preserve">tariff that included BASA’s IPP pollutant loading rates.  On April 6, 2023, PAWC responded by filing a Second Amended Appendix A-12, which reflected the changes directed by TUS.  PAWC asked that the Commission conditionally accept the Application and provide a due date for protests and notices of intervention. </w:t>
      </w:r>
    </w:p>
    <w:p w14:paraId="68906A67" w14:textId="77777777" w:rsidR="003B5D11" w:rsidRDefault="003B5D11" w:rsidP="008845B2">
      <w:pPr>
        <w:ind w:firstLine="1440"/>
      </w:pPr>
    </w:p>
    <w:p w14:paraId="349C58B1" w14:textId="67AA5185" w:rsidR="00DA0DD8" w:rsidRDefault="00DA0DD8" w:rsidP="008845B2">
      <w:pPr>
        <w:numPr>
          <w:ilvl w:val="0"/>
          <w:numId w:val="1"/>
        </w:numPr>
        <w:ind w:firstLine="1440"/>
      </w:pPr>
      <w:r>
        <w:t xml:space="preserve">On April 10, 2023, the Commission notified PAWC that the Application had been conditionally accepted for filing.  According to that Secretarial Letter, the Commission would not finally accept the Application until PAWC complied with certain service and notice requirements.  The April 10, 2023 Secretarial Letter, however, did not set a due date for protests and notices of intervention.  By letter dated April 10, 2023, PAWC asked the Commission to establish such a due date.  On April 12, 2023, a Secretarial Letter was issued setting a protest period end date of July 10, 2023.  On May 22, 2021, PAWC filed a verification stating that it had complied with all service and notice requirements of the Secretarial Letter of April 10, 2023. </w:t>
      </w:r>
    </w:p>
    <w:p w14:paraId="7CE7403C" w14:textId="77777777" w:rsidR="00DA0DD8" w:rsidRDefault="00DA0DD8" w:rsidP="008845B2">
      <w:pPr>
        <w:ind w:left="-5" w:firstLine="1440"/>
      </w:pPr>
    </w:p>
    <w:p w14:paraId="3014DFE5" w14:textId="4C768185" w:rsidR="00DA0DD8" w:rsidRDefault="00DA0DD8" w:rsidP="008845B2">
      <w:pPr>
        <w:numPr>
          <w:ilvl w:val="0"/>
          <w:numId w:val="1"/>
        </w:numPr>
        <w:ind w:firstLine="1440"/>
      </w:pPr>
      <w:r>
        <w:t xml:space="preserve">On May 23, 2023, the Commission notified PAWC that it had finally accepted the Application.  The Commission further notified PAWC that notice of the Application would be published in the </w:t>
      </w:r>
      <w:r>
        <w:rPr>
          <w:i/>
        </w:rPr>
        <w:t xml:space="preserve">Pennsylvania Bulletin </w:t>
      </w:r>
      <w:r>
        <w:t xml:space="preserve">on June 10, 2023, with a protest deadline of July 10, 2023.  The Commission issued a Call-in Telephonic Pre-Hearing Conference Notice on May 24, 2023, but that Pre-Hearing Conference was subsequently cancelled.  Another Call-in Telephonic </w:t>
      </w:r>
      <w:proofErr w:type="spellStart"/>
      <w:r>
        <w:t>PreHearing</w:t>
      </w:r>
      <w:proofErr w:type="spellEnd"/>
      <w:r>
        <w:t xml:space="preserve"> Conference Notice was issued on June 1, 2023 scheduling a Pre-Hearing Conference for July 11, 2023.  The ALJ issued her Prehearing Conference Order for Telephonic Conference on June 27, 2023. </w:t>
      </w:r>
    </w:p>
    <w:p w14:paraId="1B666503" w14:textId="77777777" w:rsidR="00892FA8" w:rsidRDefault="00892FA8" w:rsidP="008845B2">
      <w:pPr>
        <w:ind w:left="720" w:firstLine="1440"/>
      </w:pPr>
    </w:p>
    <w:p w14:paraId="72C6A81E" w14:textId="77777777" w:rsidR="00602A63" w:rsidRDefault="00DA0DD8" w:rsidP="008845B2">
      <w:pPr>
        <w:numPr>
          <w:ilvl w:val="0"/>
          <w:numId w:val="1"/>
        </w:numPr>
        <w:ind w:firstLine="1440"/>
      </w:pPr>
      <w:r>
        <w:t xml:space="preserve">John J. Dolan filed a Petition to Intervene on May 20, 2023, which was granted.  Cynthia L. Spigelmyer filed a Protest on May 22, 2023.  On May 26, 2023, BASA, the City, and the Township (collectively, the “BASA Parties”) filed Petitions to Intervene.  Those Petitions were granted.  </w:t>
      </w:r>
    </w:p>
    <w:p w14:paraId="295061E1" w14:textId="77777777" w:rsidR="00602A63" w:rsidRDefault="00602A63" w:rsidP="00602A63">
      <w:pPr>
        <w:ind w:left="1440"/>
      </w:pPr>
    </w:p>
    <w:p w14:paraId="59744E4A" w14:textId="6387FB75" w:rsidR="00DA0DD8" w:rsidRDefault="00DA0DD8" w:rsidP="008845B2">
      <w:pPr>
        <w:numPr>
          <w:ilvl w:val="0"/>
          <w:numId w:val="1"/>
        </w:numPr>
        <w:ind w:firstLine="1440"/>
      </w:pPr>
      <w:r>
        <w:t xml:space="preserve">On June 9, 2023, PAWC filed a Petition for Leave to File Supplemental Direct Testimony, which was granted by the ALJ’s Interim Order #1, issued on July 3, 2023.  William Rissmiller filed a Protest on June 15, 2023.  On June 30, 2023, Center and Summit filed Protests.  On July 3, 2023, Cleveland-Cliffs  filed a Petition to Intervene, which was subsequently granted.  On July 5, 2023, PAWC filed Supplemental Direct Testimony pursuant to Interim Order #1. </w:t>
      </w:r>
    </w:p>
    <w:p w14:paraId="5CCB0195" w14:textId="77777777" w:rsidR="00892FA8" w:rsidRDefault="00892FA8" w:rsidP="008845B2">
      <w:pPr>
        <w:ind w:left="-5" w:firstLine="1440"/>
      </w:pPr>
    </w:p>
    <w:p w14:paraId="5DEC57CE" w14:textId="77777777" w:rsidR="00DA0DD8" w:rsidRDefault="00DA0DD8" w:rsidP="008845B2">
      <w:pPr>
        <w:numPr>
          <w:ilvl w:val="0"/>
          <w:numId w:val="1"/>
        </w:numPr>
        <w:ind w:firstLine="1440"/>
      </w:pPr>
      <w:r>
        <w:t xml:space="preserve">The Prehearing Conference was held on July 11, 2023.  On July 12, 2023, Direct Testimony was filed by the OCA, I&amp;E, the OSBA, Center, and Summit.  PAWC filed a Petition for Protective Order on July 14, which was granted by the ALJ by Order issued July 19, 2023. </w:t>
      </w:r>
    </w:p>
    <w:p w14:paraId="2D5A34A4" w14:textId="77777777" w:rsidR="00892FA8" w:rsidRDefault="00892FA8" w:rsidP="008845B2">
      <w:pPr>
        <w:ind w:left="720" w:firstLine="1440"/>
      </w:pPr>
    </w:p>
    <w:p w14:paraId="4EF15B64" w14:textId="77777777" w:rsidR="00DA0DD8" w:rsidRDefault="00DA0DD8" w:rsidP="008845B2">
      <w:pPr>
        <w:numPr>
          <w:ilvl w:val="0"/>
          <w:numId w:val="1"/>
        </w:numPr>
        <w:ind w:firstLine="1440"/>
      </w:pPr>
      <w:r>
        <w:t xml:space="preserve">On July 14, 2023, the BASA Parties filed Motions to Strike portions of the Direct Testimony of Center and Summit.  Center and Summit filed Answers on July 21, 2023.  At the evidentiary hearing on July 28, 2023, the BASA Parties withdrew these motions. </w:t>
      </w:r>
    </w:p>
    <w:p w14:paraId="051D52ED" w14:textId="77777777" w:rsidR="00892FA8" w:rsidRDefault="00892FA8" w:rsidP="008845B2">
      <w:pPr>
        <w:ind w:firstLine="1440"/>
      </w:pPr>
    </w:p>
    <w:p w14:paraId="6BBD9F5C" w14:textId="248DB7F4" w:rsidR="00892FA8" w:rsidRDefault="00DA0DD8" w:rsidP="008845B2">
      <w:pPr>
        <w:numPr>
          <w:ilvl w:val="0"/>
          <w:numId w:val="1"/>
        </w:numPr>
        <w:ind w:firstLine="1440"/>
      </w:pPr>
      <w:r>
        <w:t xml:space="preserve">Center, Summit, PAWC, and the BASA Parties filed Rebuttal Testimony on July 18, 2023.  Telephonic public input hearings were held on the evenings of July 18 and July 19, 2023.  On July 20, 2023, the BASA Parties filed a Motion to Strike the Rebuttal Testimony of Center and Summit.  On July 26, 2023, Center and Summit filed an Answer to this Motion.  At the evidentiary hearing on July 28, 2023, the BASA Parties withdrew this motion. </w:t>
      </w:r>
    </w:p>
    <w:p w14:paraId="1A8161F9" w14:textId="77777777" w:rsidR="00892FA8" w:rsidRDefault="00892FA8" w:rsidP="008845B2">
      <w:pPr>
        <w:ind w:left="-5" w:firstLine="1440"/>
        <w:contextualSpacing/>
      </w:pPr>
    </w:p>
    <w:p w14:paraId="19F46388" w14:textId="6A7E51CC" w:rsidR="00DA0DD8" w:rsidRDefault="00DA0DD8" w:rsidP="00602A63">
      <w:pPr>
        <w:numPr>
          <w:ilvl w:val="0"/>
          <w:numId w:val="2"/>
        </w:numPr>
        <w:ind w:right="-1" w:firstLine="1440"/>
      </w:pPr>
      <w:r>
        <w:t xml:space="preserve">PAWC, the BASA Parties, the OCA, the OSBA, Center and Summit filed Surrebuttal Testimony on July 21, 2023.   </w:t>
      </w:r>
    </w:p>
    <w:p w14:paraId="489910F9" w14:textId="77777777" w:rsidR="00892FA8" w:rsidRDefault="00892FA8" w:rsidP="008845B2">
      <w:pPr>
        <w:ind w:left="-5" w:firstLine="1440"/>
      </w:pPr>
    </w:p>
    <w:p w14:paraId="0B5D00AE" w14:textId="6D06C131" w:rsidR="00DA0DD8" w:rsidRDefault="00DA0DD8" w:rsidP="008845B2">
      <w:pPr>
        <w:numPr>
          <w:ilvl w:val="0"/>
          <w:numId w:val="2"/>
        </w:numPr>
        <w:ind w:right="-1" w:firstLine="1440"/>
      </w:pPr>
      <w:r>
        <w:t xml:space="preserve">At the telephonic evidentiary hearing on July 28, 2023, PAWC, the BASA Parties, the OCA, the OSBA, and I&amp;E informed the ALJ that they had reached a settlement.  The hearing was delayed to give Center, Summit, and Cleveland-Cliffs an opportunity to review the settlement.  When the hearing convened, counsel for Center and Summit indicated that those townships would not oppose the settlement and, at the next meeting of the township supervisors, counsel expected to receive authority to join the settlement.  By e-mails of August 3 and August 10, 2023, counsel for Center and Summit notified the ALJ that Center and Summit would not oppose the Settlement.  On July 31, 2023, Cleveland-Cliffs advised the ALJ that it would not oppose the Settlement. </w:t>
      </w:r>
    </w:p>
    <w:p w14:paraId="09EFD168" w14:textId="77777777" w:rsidR="00DA0DD8" w:rsidRDefault="00DA0DD8" w:rsidP="008845B2">
      <w:pPr>
        <w:ind w:left="720" w:firstLine="1440"/>
      </w:pPr>
      <w:r>
        <w:t xml:space="preserve"> </w:t>
      </w:r>
    </w:p>
    <w:p w14:paraId="50412D1D" w14:textId="77777777" w:rsidR="00DA0DD8" w:rsidRDefault="00DA0DD8" w:rsidP="00EA470F">
      <w:pPr>
        <w:tabs>
          <w:tab w:val="center" w:pos="2002"/>
        </w:tabs>
        <w:rPr>
          <w:b/>
        </w:rPr>
      </w:pPr>
      <w:r>
        <w:rPr>
          <w:b/>
        </w:rPr>
        <w:t xml:space="preserve">III. </w:t>
      </w:r>
      <w:r>
        <w:rPr>
          <w:b/>
        </w:rPr>
        <w:tab/>
        <w:t xml:space="preserve">SETTLEMENT TERMS </w:t>
      </w:r>
    </w:p>
    <w:p w14:paraId="219FEC42" w14:textId="77777777" w:rsidR="000E443B" w:rsidRDefault="000E443B" w:rsidP="008845B2">
      <w:pPr>
        <w:tabs>
          <w:tab w:val="center" w:pos="2002"/>
        </w:tabs>
        <w:ind w:firstLine="1440"/>
      </w:pPr>
    </w:p>
    <w:p w14:paraId="6F6CA36C" w14:textId="77777777" w:rsidR="00DA0DD8" w:rsidRDefault="00DA0DD8" w:rsidP="008845B2">
      <w:pPr>
        <w:tabs>
          <w:tab w:val="center" w:pos="2554"/>
        </w:tabs>
        <w:ind w:left="-15" w:firstLine="1440"/>
      </w:pPr>
      <w:r>
        <w:t xml:space="preserve"> </w:t>
      </w:r>
      <w:r>
        <w:tab/>
        <w:t xml:space="preserve">The Joint Petitioners agree as follows: </w:t>
      </w:r>
    </w:p>
    <w:p w14:paraId="1BA38C6A" w14:textId="77777777" w:rsidR="00892FA8" w:rsidRDefault="00892FA8" w:rsidP="008845B2">
      <w:pPr>
        <w:tabs>
          <w:tab w:val="center" w:pos="2554"/>
        </w:tabs>
        <w:ind w:left="-15" w:firstLine="1440"/>
      </w:pPr>
    </w:p>
    <w:p w14:paraId="35C66A09" w14:textId="2D346AB0" w:rsidR="00DA0DD8" w:rsidRDefault="00DA0DD8" w:rsidP="000E443B">
      <w:pPr>
        <w:pStyle w:val="Heading1"/>
        <w:numPr>
          <w:ilvl w:val="0"/>
          <w:numId w:val="16"/>
        </w:numPr>
        <w:tabs>
          <w:tab w:val="center" w:pos="836"/>
          <w:tab w:val="center" w:pos="2686"/>
        </w:tabs>
        <w:spacing w:after="0" w:line="360" w:lineRule="auto"/>
        <w:ind w:hanging="12"/>
        <w:rPr>
          <w:b w:val="0"/>
        </w:rPr>
      </w:pPr>
      <w:r>
        <w:t>Approval of Application</w:t>
      </w:r>
      <w:r>
        <w:rPr>
          <w:b w:val="0"/>
        </w:rPr>
        <w:t xml:space="preserve"> </w:t>
      </w:r>
    </w:p>
    <w:p w14:paraId="42B82370" w14:textId="77777777" w:rsidR="00892FA8" w:rsidRPr="00892FA8" w:rsidRDefault="00892FA8" w:rsidP="008845B2">
      <w:pPr>
        <w:ind w:firstLine="1440"/>
      </w:pPr>
    </w:p>
    <w:p w14:paraId="17DEA23B" w14:textId="27150110" w:rsidR="00DA0DD8" w:rsidRDefault="00DA0DD8" w:rsidP="008845B2">
      <w:pPr>
        <w:pStyle w:val="ListParagraph"/>
        <w:numPr>
          <w:ilvl w:val="0"/>
          <w:numId w:val="2"/>
        </w:numPr>
        <w:ind w:firstLine="1440"/>
      </w:pPr>
      <w:r>
        <w:t xml:space="preserve">The Joint Petitioners agree that the Commission should approve PAWC’s acquisition of the wastewater system assets (“System”) currently owned by BASA and PAWC’s right to begin to offer, render, furnish, or supply wastewater services in the areas served by the System, as well as any other necessary approvals or certificates for the transactions, subject to approval of all of the following conditions and without modification. </w:t>
      </w:r>
    </w:p>
    <w:p w14:paraId="16531B6B" w14:textId="77777777" w:rsidR="00892FA8" w:rsidRDefault="00892FA8" w:rsidP="008845B2">
      <w:pPr>
        <w:ind w:left="-15" w:firstLine="1440"/>
      </w:pPr>
    </w:p>
    <w:p w14:paraId="5302656F" w14:textId="77777777" w:rsidR="00DA0DD8" w:rsidRDefault="00DA0DD8" w:rsidP="007B3637">
      <w:pPr>
        <w:pStyle w:val="Heading1"/>
        <w:tabs>
          <w:tab w:val="center" w:pos="830"/>
          <w:tab w:val="center" w:pos="1440"/>
        </w:tabs>
        <w:spacing w:after="0" w:line="360" w:lineRule="auto"/>
        <w:ind w:left="0" w:firstLine="1350"/>
      </w:pPr>
      <w:r>
        <w:rPr>
          <w:rFonts w:ascii="Calibri" w:eastAsia="Calibri" w:hAnsi="Calibri" w:cs="Calibri"/>
          <w:b w:val="0"/>
          <w:sz w:val="22"/>
        </w:rPr>
        <w:tab/>
      </w:r>
      <w:r>
        <w:t xml:space="preserve">B. </w:t>
      </w:r>
      <w:r>
        <w:tab/>
        <w:t xml:space="preserve">Tariff </w:t>
      </w:r>
    </w:p>
    <w:p w14:paraId="5E7433D3" w14:textId="77777777" w:rsidR="00892FA8" w:rsidRPr="00892FA8" w:rsidRDefault="00892FA8" w:rsidP="008845B2">
      <w:pPr>
        <w:ind w:firstLine="1440"/>
      </w:pPr>
    </w:p>
    <w:p w14:paraId="21F9B20D" w14:textId="3E3C36EA" w:rsidR="00DA0DD8" w:rsidRDefault="00DA0DD8" w:rsidP="000E443B">
      <w:pPr>
        <w:numPr>
          <w:ilvl w:val="0"/>
          <w:numId w:val="3"/>
        </w:numPr>
        <w:ind w:firstLine="1440"/>
      </w:pPr>
      <w:r>
        <w:t xml:space="preserve">The </w:t>
      </w:r>
      <w:r>
        <w:rPr>
          <w:i/>
        </w:rPr>
        <w:t>pro forma</w:t>
      </w:r>
      <w:r>
        <w:t xml:space="preserve"> tariff supplement attached to this Settlement, including all rates, miscellaneous fees and charges, rules and regulations regarding conditions of PAWC’s wastewater service, shall be permitted to become effective immediately upon closing of the transaction (“Closing”). </w:t>
      </w:r>
    </w:p>
    <w:p w14:paraId="28CAF90C" w14:textId="77777777" w:rsidR="003B5D11" w:rsidRDefault="003B5D11" w:rsidP="008845B2">
      <w:pPr>
        <w:ind w:left="-5" w:firstLine="1440"/>
      </w:pPr>
    </w:p>
    <w:p w14:paraId="03306D93" w14:textId="77777777" w:rsidR="00DA0DD8" w:rsidRDefault="00DA0DD8" w:rsidP="008845B2">
      <w:pPr>
        <w:numPr>
          <w:ilvl w:val="0"/>
          <w:numId w:val="3"/>
        </w:numPr>
        <w:ind w:firstLine="1440"/>
      </w:pPr>
      <w:r>
        <w:lastRenderedPageBreak/>
        <w:t xml:space="preserve">In the first base rate proceeding that includes the BASA wastewater system assets, PAWC will propose to charge cost-of-service based rates for wastewater service to all entities it serves in the System, including but not limited to the VA Hospital, as limited by Paragraph 19(e) below. </w:t>
      </w:r>
    </w:p>
    <w:p w14:paraId="6CED0B26" w14:textId="77777777" w:rsidR="00892FA8" w:rsidRDefault="00892FA8" w:rsidP="00892FA8">
      <w:pPr>
        <w:spacing w:line="476" w:lineRule="auto"/>
        <w:ind w:left="720"/>
        <w:jc w:val="both"/>
      </w:pPr>
    </w:p>
    <w:p w14:paraId="73E85380" w14:textId="77777777" w:rsidR="00DA0DD8" w:rsidRDefault="00DA0DD8">
      <w:pPr>
        <w:pStyle w:val="Heading1"/>
        <w:tabs>
          <w:tab w:val="center" w:pos="836"/>
          <w:tab w:val="center" w:pos="1725"/>
        </w:tabs>
        <w:ind w:left="0" w:firstLine="0"/>
      </w:pPr>
      <w:r>
        <w:rPr>
          <w:rFonts w:ascii="Calibri" w:eastAsia="Calibri" w:hAnsi="Calibri" w:cs="Calibri"/>
          <w:b w:val="0"/>
          <w:sz w:val="22"/>
        </w:rPr>
        <w:tab/>
      </w:r>
      <w:r>
        <w:t xml:space="preserve">C. </w:t>
      </w:r>
      <w:r>
        <w:tab/>
        <w:t xml:space="preserve">Rates </w:t>
      </w:r>
    </w:p>
    <w:p w14:paraId="73412E51" w14:textId="77777777" w:rsidR="00892FA8" w:rsidRPr="00892FA8" w:rsidRDefault="00892FA8" w:rsidP="00FE34DA"/>
    <w:p w14:paraId="32D8510F" w14:textId="77777777" w:rsidR="00DA0DD8" w:rsidRDefault="00DA0DD8" w:rsidP="00FE34DA">
      <w:pPr>
        <w:numPr>
          <w:ilvl w:val="0"/>
          <w:numId w:val="4"/>
        </w:numPr>
        <w:ind w:left="0" w:firstLine="1440"/>
      </w:pPr>
      <w:r>
        <w:t xml:space="preserve">Except as explicitly agreed upon in this Settlement, nothing contained herein or in the Commission’s approval of the Application shall preclude any Joint Petitioner from asserting any position or raising any issue in a future PAWC proceeding. </w:t>
      </w:r>
    </w:p>
    <w:p w14:paraId="23B7CDB8" w14:textId="77777777" w:rsidR="00892FA8" w:rsidRDefault="00892FA8" w:rsidP="00FE34DA">
      <w:pPr>
        <w:ind w:firstLine="1440"/>
      </w:pPr>
    </w:p>
    <w:p w14:paraId="2FAA8B16" w14:textId="77777777" w:rsidR="00DA0DD8" w:rsidRDefault="00DA0DD8" w:rsidP="00FE34DA">
      <w:pPr>
        <w:numPr>
          <w:ilvl w:val="0"/>
          <w:numId w:val="4"/>
        </w:numPr>
        <w:ind w:left="0" w:firstLine="1440"/>
      </w:pPr>
      <w:r>
        <w:t xml:space="preserve">In the first base rate case that includes System assets: </w:t>
      </w:r>
    </w:p>
    <w:p w14:paraId="7A25383B" w14:textId="77777777" w:rsidR="00892FA8" w:rsidRDefault="00892FA8" w:rsidP="00FE34DA">
      <w:pPr>
        <w:ind w:left="1440"/>
      </w:pPr>
    </w:p>
    <w:p w14:paraId="5CAD17FA" w14:textId="6744B86A" w:rsidR="00DA0DD8" w:rsidRDefault="00DA0DD8" w:rsidP="00892FA8">
      <w:pPr>
        <w:numPr>
          <w:ilvl w:val="1"/>
          <w:numId w:val="4"/>
        </w:numPr>
        <w:spacing w:after="299" w:line="240" w:lineRule="auto"/>
        <w:ind w:firstLine="1440"/>
        <w:jc w:val="both"/>
      </w:pPr>
      <w:r>
        <w:t xml:space="preserve">PAWC will submit a cost of service study that removes all costs and revenues associated with the operation of BASA’s systems. </w:t>
      </w:r>
    </w:p>
    <w:p w14:paraId="777DB805" w14:textId="77777777" w:rsidR="00DA0DD8" w:rsidRDefault="00DA0DD8" w:rsidP="00892FA8">
      <w:pPr>
        <w:numPr>
          <w:ilvl w:val="1"/>
          <w:numId w:val="4"/>
        </w:numPr>
        <w:spacing w:after="298" w:line="240" w:lineRule="auto"/>
        <w:ind w:firstLine="1440"/>
        <w:jc w:val="both"/>
      </w:pPr>
      <w:r>
        <w:t xml:space="preserve">PAWC will provide a separate cost of service study for the BASA system. </w:t>
      </w:r>
    </w:p>
    <w:p w14:paraId="62B55999" w14:textId="2B6B1AF5" w:rsidR="00DA0DD8" w:rsidRDefault="00DA0DD8" w:rsidP="00892FA8">
      <w:pPr>
        <w:numPr>
          <w:ilvl w:val="1"/>
          <w:numId w:val="4"/>
        </w:numPr>
        <w:spacing w:after="252" w:line="240" w:lineRule="auto"/>
        <w:ind w:firstLine="1440"/>
        <w:jc w:val="both"/>
      </w:pPr>
      <w:r>
        <w:t xml:space="preserve">PAWC will not propose an increase in BASA’s base rates if the rates would become effective before the later of:  (a) the first anniversary of Closing or (b) January 1, 2025. </w:t>
      </w:r>
    </w:p>
    <w:p w14:paraId="138FAC73" w14:textId="22C0173E" w:rsidR="00DA0DD8" w:rsidRDefault="00DA0DD8" w:rsidP="00892FA8">
      <w:pPr>
        <w:numPr>
          <w:ilvl w:val="1"/>
          <w:numId w:val="4"/>
        </w:numPr>
        <w:spacing w:after="3" w:line="240" w:lineRule="auto"/>
        <w:ind w:firstLine="1440"/>
        <w:jc w:val="both"/>
      </w:pPr>
      <w:r>
        <w:t xml:space="preserve">In PAWC’s first base rate case that includes the BASA system assets, if PAWC proposes a different effective date for new rates for BASA customers beyond the effective date of new rates for other customers, PAWC agrees to calculate its proof of revenue as if the BASA customers were paying proposed rates without any delay to the effective date.  The Joint Petitioners agree that all rights are reserved with respect to the issue of delayed effective dates of rates in subsequent proceedings.  This term should not be construed to limit parties’ ability to make recommendations in any future PAWC base rate case to bring customers in systems with delayed effective dates to an appropriate cost of service as though they have paid the tariffed rates without any delay. </w:t>
      </w:r>
    </w:p>
    <w:p w14:paraId="44CC72B5" w14:textId="77777777" w:rsidR="00892FA8" w:rsidRDefault="00892FA8" w:rsidP="00892FA8">
      <w:pPr>
        <w:spacing w:after="3" w:line="240" w:lineRule="auto"/>
        <w:ind w:left="2880"/>
        <w:jc w:val="both"/>
      </w:pPr>
    </w:p>
    <w:p w14:paraId="285FCC9B" w14:textId="49E5DEB5" w:rsidR="00DA0DD8" w:rsidRDefault="00DA0DD8" w:rsidP="00892FA8">
      <w:pPr>
        <w:numPr>
          <w:ilvl w:val="1"/>
          <w:numId w:val="4"/>
        </w:numPr>
        <w:spacing w:after="272" w:line="265" w:lineRule="auto"/>
        <w:ind w:firstLine="1440"/>
        <w:jc w:val="both"/>
      </w:pPr>
      <w:r>
        <w:t xml:space="preserve">PAWC will propose to move the System to 1.4x the current System rate or PAWC’s proposed Rate Zone 1 system-average </w:t>
      </w:r>
      <w:r>
        <w:lastRenderedPageBreak/>
        <w:t xml:space="preserve">wastewater rates, whichever is lower, upon the later of (a) the first anniversary of Closing or (b) January 1, 2025. </w:t>
      </w:r>
    </w:p>
    <w:p w14:paraId="70A02E81" w14:textId="6C09DC82" w:rsidR="00DA0DD8" w:rsidRDefault="00DA0DD8" w:rsidP="00892FA8">
      <w:pPr>
        <w:numPr>
          <w:ilvl w:val="1"/>
          <w:numId w:val="4"/>
        </w:numPr>
        <w:spacing w:after="252" w:line="265" w:lineRule="auto"/>
        <w:ind w:firstLine="1440"/>
        <w:jc w:val="both"/>
      </w:pPr>
      <w:r>
        <w:t xml:space="preserve">PAWC may agree to rates other than those proposed for System customers in the context of a settlement of the base rate case. </w:t>
      </w:r>
    </w:p>
    <w:p w14:paraId="5C1D5D5C" w14:textId="0B6F959E" w:rsidR="00DA0DD8" w:rsidRDefault="00DA0DD8" w:rsidP="00892FA8">
      <w:pPr>
        <w:numPr>
          <w:ilvl w:val="1"/>
          <w:numId w:val="4"/>
        </w:numPr>
        <w:spacing w:after="252" w:line="265" w:lineRule="auto"/>
        <w:ind w:firstLine="1440"/>
        <w:jc w:val="both"/>
      </w:pPr>
      <w:r>
        <w:t xml:space="preserve">OCA, I&amp;E, and OSBA reserve their rights to address PAWC’s rate proposals fully, and to make other rate proposals.  The Parties expressly recognize the Commission’s ultimate ratemaking authority to set just and reasonable rates and, notwithstanding anything to the contrary contained in this Paragraph 19, may enter into a settlement of the base rate case, whether full or partial and whether unanimous or non-unanimous, on reasonable terms and conditions. </w:t>
      </w:r>
    </w:p>
    <w:p w14:paraId="5041E33F" w14:textId="6D937910" w:rsidR="00DA0DD8" w:rsidRDefault="00DA0DD8" w:rsidP="00892FA8">
      <w:pPr>
        <w:numPr>
          <w:ilvl w:val="1"/>
          <w:numId w:val="4"/>
        </w:numPr>
        <w:spacing w:after="252" w:line="265" w:lineRule="auto"/>
        <w:ind w:firstLine="1440"/>
        <w:jc w:val="both"/>
      </w:pPr>
      <w:r>
        <w:t xml:space="preserve">The rate at Closing for System residential wastewater customers with an average usage of 3,212 gallons per month is approximately $45.50. </w:t>
      </w:r>
    </w:p>
    <w:p w14:paraId="47814361" w14:textId="0C9FB420" w:rsidR="00DA0DD8" w:rsidRDefault="00DA0DD8" w:rsidP="00892FA8">
      <w:pPr>
        <w:numPr>
          <w:ilvl w:val="1"/>
          <w:numId w:val="4"/>
        </w:numPr>
        <w:spacing w:line="259" w:lineRule="auto"/>
        <w:ind w:firstLine="1440"/>
        <w:jc w:val="both"/>
      </w:pPr>
      <w:r>
        <w:t>The current rate for PAWC residential Rate Zone 1 wastewater customers with an average usage of 3,212 gallons per month is approximately $106.00</w:t>
      </w:r>
      <w:r w:rsidR="00892FA8">
        <w:t>.</w:t>
      </w:r>
    </w:p>
    <w:p w14:paraId="102AA050" w14:textId="77777777" w:rsidR="003B5D11" w:rsidRDefault="003B5D11" w:rsidP="001B40EE">
      <w:pPr>
        <w:ind w:left="2880"/>
        <w:jc w:val="both"/>
      </w:pPr>
    </w:p>
    <w:p w14:paraId="4502B8BB" w14:textId="77777777" w:rsidR="00DA0DD8" w:rsidRDefault="00DA0DD8" w:rsidP="001B40EE">
      <w:pPr>
        <w:pStyle w:val="Heading1"/>
        <w:tabs>
          <w:tab w:val="center" w:pos="836"/>
          <w:tab w:val="center" w:pos="3838"/>
        </w:tabs>
        <w:spacing w:after="0" w:line="360" w:lineRule="auto"/>
        <w:ind w:left="0" w:firstLine="0"/>
      </w:pPr>
      <w:r>
        <w:rPr>
          <w:rFonts w:ascii="Calibri" w:eastAsia="Calibri" w:hAnsi="Calibri" w:cs="Calibri"/>
          <w:b w:val="0"/>
          <w:sz w:val="22"/>
        </w:rPr>
        <w:tab/>
      </w:r>
      <w:r>
        <w:t xml:space="preserve">D. </w:t>
      </w:r>
      <w:r>
        <w:tab/>
        <w:t xml:space="preserve">Industrial Pretreatment Program (“IPP”) Fees </w:t>
      </w:r>
    </w:p>
    <w:p w14:paraId="30128922" w14:textId="77777777" w:rsidR="00892FA8" w:rsidRPr="00892FA8" w:rsidRDefault="00892FA8" w:rsidP="001B40EE"/>
    <w:p w14:paraId="1475A545" w14:textId="24CC2541" w:rsidR="00DA0DD8" w:rsidRDefault="00DA0DD8" w:rsidP="001B40EE">
      <w:pPr>
        <w:ind w:firstLine="1440"/>
      </w:pPr>
      <w:r>
        <w:t>20.</w:t>
      </w:r>
      <w:r>
        <w:rPr>
          <w:rFonts w:ascii="Arial" w:eastAsia="Arial" w:hAnsi="Arial" w:cs="Arial"/>
        </w:rPr>
        <w:t xml:space="preserve"> </w:t>
      </w:r>
      <w:r w:rsidR="00892FA8">
        <w:rPr>
          <w:rFonts w:ascii="Arial" w:eastAsia="Arial" w:hAnsi="Arial" w:cs="Arial"/>
        </w:rPr>
        <w:tab/>
      </w:r>
      <w:r>
        <w:t xml:space="preserve">The Joint Petitioners acknowledge that IPP fees are miscellaneous fees that may be applied to acquired customers, rather than existing rates that must be adopted by the acquiring utility pursuant to Section 1329(d)(v).  IPP fees are intended to cover costs associated with a comprehensive enforcement program to ensure that industrial wastewater is properly pretreated in order to protect the integrity of the System and the environment, and to ensure that the costs are allocated to the cost causers and </w:t>
      </w:r>
      <w:proofErr w:type="spellStart"/>
      <w:r>
        <w:t>not</w:t>
      </w:r>
      <w:proofErr w:type="spellEnd"/>
      <w:r>
        <w:t xml:space="preserve"> other ratepayers.  Without imposition of the IPP fees, industrial customers would have no meaningful incentive to pretreat their wastewater.  The </w:t>
      </w:r>
      <w:r>
        <w:rPr>
          <w:i/>
        </w:rPr>
        <w:t>pro forma</w:t>
      </w:r>
      <w:r>
        <w:t xml:space="preserve"> tariff supplement attached to this Settlement</w:t>
      </w:r>
      <w:r>
        <w:rPr>
          <w:b/>
        </w:rPr>
        <w:t xml:space="preserve"> </w:t>
      </w:r>
      <w:r>
        <w:t xml:space="preserve">incorporates BASA industrial customers into PAWC’s existing IPP tariff and does not exempt any BASA industrial customers from IPP fees.  IPP tariffed fees will be adjusted in the context of future PAWC base rate proceedings.  Impacted industrial customers were given notice of the possibility of the imposition of PAWC’s tariffed IPP fees by direct mail notice from </w:t>
      </w:r>
      <w:r>
        <w:lastRenderedPageBreak/>
        <w:t xml:space="preserve">PAWC, dated May 10, 2023, and were afforded an opportunity to participate in this proceeding.  The imposition of IPP fees is supported by substantial evidence of record. </w:t>
      </w:r>
    </w:p>
    <w:p w14:paraId="47C6A9FE" w14:textId="77777777" w:rsidR="00892FA8" w:rsidRDefault="00892FA8" w:rsidP="001B40EE">
      <w:pPr>
        <w:ind w:firstLine="1440"/>
      </w:pPr>
    </w:p>
    <w:p w14:paraId="0610951C" w14:textId="2A731F2B" w:rsidR="00892FA8" w:rsidRPr="00892FA8" w:rsidRDefault="00DA0DD8" w:rsidP="001B40EE">
      <w:pPr>
        <w:pStyle w:val="Heading1"/>
        <w:tabs>
          <w:tab w:val="center" w:pos="830"/>
          <w:tab w:val="center" w:pos="4281"/>
        </w:tabs>
        <w:spacing w:line="360" w:lineRule="auto"/>
        <w:ind w:left="0" w:firstLine="0"/>
      </w:pPr>
      <w:r>
        <w:rPr>
          <w:rFonts w:ascii="Calibri" w:eastAsia="Calibri" w:hAnsi="Calibri" w:cs="Calibri"/>
          <w:b w:val="0"/>
          <w:sz w:val="22"/>
        </w:rPr>
        <w:tab/>
      </w:r>
      <w:r>
        <w:t xml:space="preserve">E. </w:t>
      </w:r>
      <w:r>
        <w:tab/>
        <w:t xml:space="preserve">Fair Market Value for Ratemaking Rate Base Purposes </w:t>
      </w:r>
    </w:p>
    <w:p w14:paraId="63B8DA57" w14:textId="77777777" w:rsidR="00DA0DD8" w:rsidRDefault="00DA0DD8" w:rsidP="001B40EE">
      <w:pPr>
        <w:numPr>
          <w:ilvl w:val="0"/>
          <w:numId w:val="5"/>
        </w:numPr>
        <w:spacing w:after="3"/>
        <w:ind w:firstLine="1440"/>
      </w:pPr>
      <w:r>
        <w:t xml:space="preserve">Joint Petitioners agree that pursuant to 66 Pa. C.S. § 1329, PAWC shall be permitted to use $228,000,000 for ratemaking rate base purposes for the acquired System. </w:t>
      </w:r>
    </w:p>
    <w:p w14:paraId="730078F0" w14:textId="77777777" w:rsidR="00892FA8" w:rsidRDefault="00892FA8" w:rsidP="001B40EE">
      <w:pPr>
        <w:spacing w:after="3"/>
        <w:ind w:left="720" w:firstLine="1440"/>
      </w:pPr>
    </w:p>
    <w:p w14:paraId="459D2063" w14:textId="77777777" w:rsidR="00DA0DD8" w:rsidRDefault="00DA0DD8" w:rsidP="001B40EE">
      <w:pPr>
        <w:numPr>
          <w:ilvl w:val="0"/>
          <w:numId w:val="5"/>
        </w:numPr>
        <w:spacing w:after="3"/>
        <w:ind w:firstLine="1440"/>
      </w:pPr>
      <w:r>
        <w:t xml:space="preserve">The Joint Petitioners agree that PAWC may record the acquisition at the net value of the assets, consistent with generally accepted accounting principles. </w:t>
      </w:r>
    </w:p>
    <w:p w14:paraId="31E9CA4F" w14:textId="77777777" w:rsidR="00892FA8" w:rsidRDefault="00892FA8" w:rsidP="001B40EE">
      <w:pPr>
        <w:spacing w:after="3"/>
        <w:ind w:firstLine="1440"/>
      </w:pPr>
    </w:p>
    <w:p w14:paraId="37F04397" w14:textId="28C4A887" w:rsidR="00DA0DD8" w:rsidRDefault="00DA0DD8" w:rsidP="001B40EE">
      <w:pPr>
        <w:numPr>
          <w:ilvl w:val="0"/>
          <w:numId w:val="5"/>
        </w:numPr>
        <w:spacing w:after="3"/>
        <w:ind w:firstLine="1440"/>
      </w:pPr>
      <w:r>
        <w:t xml:space="preserve">PAWC and BASA have executed a First Amendment to the Asset Purchase Agreement (“First Amendment”) to reflect a purchase price of $230,000,000.  PAWC requests approval of the First Amendment pursuant to 66 Pa. C.S. § 507. </w:t>
      </w:r>
    </w:p>
    <w:p w14:paraId="78298A12" w14:textId="77777777" w:rsidR="00892FA8" w:rsidRDefault="00892FA8" w:rsidP="001B40EE">
      <w:pPr>
        <w:spacing w:after="3"/>
        <w:jc w:val="both"/>
      </w:pPr>
    </w:p>
    <w:p w14:paraId="7BE229F1" w14:textId="1D7F8087" w:rsidR="00892FA8" w:rsidRPr="00892FA8" w:rsidRDefault="00DA0DD8" w:rsidP="001B40EE">
      <w:pPr>
        <w:pStyle w:val="Heading1"/>
        <w:tabs>
          <w:tab w:val="center" w:pos="823"/>
          <w:tab w:val="center" w:pos="3602"/>
        </w:tabs>
        <w:spacing w:line="360" w:lineRule="auto"/>
        <w:ind w:left="0" w:firstLine="0"/>
      </w:pPr>
      <w:r>
        <w:rPr>
          <w:rFonts w:ascii="Calibri" w:eastAsia="Calibri" w:hAnsi="Calibri" w:cs="Calibri"/>
          <w:b w:val="0"/>
          <w:sz w:val="22"/>
        </w:rPr>
        <w:tab/>
      </w:r>
      <w:r>
        <w:t xml:space="preserve">F. </w:t>
      </w:r>
      <w:r>
        <w:tab/>
        <w:t xml:space="preserve">Distribution System Improvement Charge </w:t>
      </w:r>
    </w:p>
    <w:p w14:paraId="73F836BA" w14:textId="4FA36969" w:rsidR="00DA0DD8" w:rsidRDefault="00DA0DD8" w:rsidP="001B40EE">
      <w:pPr>
        <w:ind w:firstLine="1440"/>
      </w:pPr>
      <w:r>
        <w:t>24.</w:t>
      </w:r>
      <w:r w:rsidR="00892FA8">
        <w:rPr>
          <w:rFonts w:ascii="Arial" w:eastAsia="Arial" w:hAnsi="Arial" w:cs="Arial"/>
        </w:rPr>
        <w:tab/>
      </w:r>
      <w:r>
        <w:t>PAWC will not include System-related investments in its distribution system improvement charge (“DSIC”) until PAWC collects a DSIC from System customers.  PAWC shall be permitted to collect a DSIC from System customers upon (</w:t>
      </w:r>
      <w:proofErr w:type="spellStart"/>
      <w:r>
        <w:t>i</w:t>
      </w:r>
      <w:proofErr w:type="spellEnd"/>
      <w:r>
        <w:t xml:space="preserve">) PAWC’s filing of an amended wastewater Long-Term Infrastructure Improvement Plan (“Amended LTIIP”) including the System, which does not re-prioritize other existing commitments in other service areas, (ii) the Commission’s approval of the Amended LTIIP, as may be modified in the discretion of the Commission, and (iii) PAWC’s filing of a compliance tariff supplement which incorporates the System and all other systems included in the amended LTIIP into PAWC’s DSIC tariff, including all customer safeguards applicable thereto, no later than the next quarterly DSIC filing after Commission approval of the Amended LTIIP. </w:t>
      </w:r>
    </w:p>
    <w:p w14:paraId="373173F3" w14:textId="77777777" w:rsidR="00892FA8" w:rsidRDefault="00892FA8" w:rsidP="001B40EE">
      <w:pPr>
        <w:ind w:firstLine="1440"/>
      </w:pPr>
    </w:p>
    <w:p w14:paraId="4DB44E79" w14:textId="02469D32" w:rsidR="00892FA8" w:rsidRPr="00892FA8" w:rsidRDefault="00DA0DD8" w:rsidP="001B40EE">
      <w:pPr>
        <w:pStyle w:val="Heading1"/>
        <w:spacing w:after="229" w:line="360" w:lineRule="auto"/>
        <w:ind w:left="1425" w:hanging="720"/>
      </w:pPr>
      <w:r>
        <w:lastRenderedPageBreak/>
        <w:t xml:space="preserve">G. </w:t>
      </w:r>
      <w:r>
        <w:tab/>
        <w:t xml:space="preserve">Claims for Allowance for Funds Used During Construction and Deferred Depreciation </w:t>
      </w:r>
    </w:p>
    <w:p w14:paraId="79C57B67" w14:textId="37976B57" w:rsidR="00892FA8" w:rsidRDefault="00DA0DD8" w:rsidP="001B40EE">
      <w:pPr>
        <w:pStyle w:val="ListParagraph"/>
        <w:numPr>
          <w:ilvl w:val="0"/>
          <w:numId w:val="5"/>
        </w:numPr>
        <w:ind w:firstLine="1440"/>
      </w:pPr>
      <w:r>
        <w:t>The Joint Petitioners acknowledge that the Application includes a request that (</w:t>
      </w:r>
      <w:proofErr w:type="spellStart"/>
      <w:r>
        <w:t>i</w:t>
      </w:r>
      <w:proofErr w:type="spellEnd"/>
      <w:r>
        <w:t xml:space="preserve">) PAWC be permitted to accrue Allowance for Funds Used During Construction (“AFUDC”) for post-acquisition improvements not recovered through the DSIC for book and ratemaking purposes and (ii) PAWC be permitted to defer depreciation related to post acquisition improvements not recovered through the DSIC for book and ratemaking purposes.  Any claims for AFUDC and deferred depreciation related to post-acquisition improvements not recovered through the DSIC for book and ratemaking purposes will be addressed in PAWC’s first base rate case which includes System assets.  The Joint Petitioners reserve their rights to litigate their positions fully in future rate cases when these issues are ripe for review.  The Joint Petitioners’ assent to this term should not be construed to operate as their preapproval of PAWC’s requests. </w:t>
      </w:r>
    </w:p>
    <w:p w14:paraId="55F2B7FF" w14:textId="77777777" w:rsidR="00892FA8" w:rsidRDefault="00892FA8" w:rsidP="001B40EE">
      <w:pPr>
        <w:pStyle w:val="ListParagraph"/>
        <w:ind w:left="0" w:firstLine="1440"/>
      </w:pPr>
    </w:p>
    <w:p w14:paraId="0916ADFE" w14:textId="2D1CD76B" w:rsidR="00892FA8" w:rsidRPr="001B40EE" w:rsidRDefault="00DA0DD8" w:rsidP="001B40EE">
      <w:pPr>
        <w:pStyle w:val="Heading1"/>
        <w:tabs>
          <w:tab w:val="center" w:pos="844"/>
          <w:tab w:val="center" w:pos="3009"/>
        </w:tabs>
        <w:spacing w:line="360" w:lineRule="auto"/>
        <w:ind w:left="0" w:firstLine="0"/>
        <w:rPr>
          <w:b w:val="0"/>
        </w:rPr>
      </w:pPr>
      <w:r>
        <w:rPr>
          <w:rFonts w:ascii="Calibri" w:eastAsia="Calibri" w:hAnsi="Calibri" w:cs="Calibri"/>
          <w:b w:val="0"/>
          <w:sz w:val="22"/>
        </w:rPr>
        <w:tab/>
      </w:r>
      <w:r>
        <w:t xml:space="preserve">H. </w:t>
      </w:r>
      <w:r>
        <w:tab/>
        <w:t>Transaction and Closing Costs</w:t>
      </w:r>
      <w:r>
        <w:rPr>
          <w:b w:val="0"/>
        </w:rPr>
        <w:t xml:space="preserve"> </w:t>
      </w:r>
    </w:p>
    <w:p w14:paraId="519C90FC" w14:textId="77777777" w:rsidR="00DA0DD8" w:rsidRDefault="00DA0DD8" w:rsidP="001B40EE">
      <w:pPr>
        <w:numPr>
          <w:ilvl w:val="0"/>
          <w:numId w:val="6"/>
        </w:numPr>
        <w:spacing w:after="31"/>
        <w:ind w:firstLine="1440"/>
        <w:jc w:val="both"/>
      </w:pPr>
      <w:r>
        <w:t xml:space="preserve">The Joint Petitioners acknowledge that the Application includes a request that PAWC be permitted to claim transaction and closing costs associated with the acquisition of the System.  The Joint Petitioners agree that they will not contest these requests in this proceeding, but they reserve their rights to litigate their positions fully in future rate cases when this issue is ripe for review.  The Joint Petitioners’ assent to this term should not be construed to operate as their preapproval of PAWC’s request. </w:t>
      </w:r>
    </w:p>
    <w:p w14:paraId="1F830EDF" w14:textId="77777777" w:rsidR="00892FA8" w:rsidRDefault="00892FA8" w:rsidP="001B40EE">
      <w:pPr>
        <w:spacing w:after="31"/>
        <w:ind w:left="1440"/>
        <w:jc w:val="both"/>
      </w:pPr>
    </w:p>
    <w:p w14:paraId="739AB678" w14:textId="23AF4C91" w:rsidR="00AC7B62" w:rsidRDefault="00DA0DD8" w:rsidP="00AC7B62">
      <w:pPr>
        <w:numPr>
          <w:ilvl w:val="0"/>
          <w:numId w:val="6"/>
        </w:numPr>
        <w:spacing w:after="3"/>
        <w:ind w:firstLine="1440"/>
        <w:jc w:val="both"/>
      </w:pPr>
      <w:r>
        <w:t xml:space="preserve">The inclusion of outside legal fees, if any, in PAWC’s transaction and closing costs under the Asset Purchase Agreement shall be separately identified in PAWC’s next base rate case, and OCA, I&amp;E and OSBA reserve the right to challenge the reasonableness, prudency, and basis for such fees. </w:t>
      </w:r>
    </w:p>
    <w:p w14:paraId="39DD66DA" w14:textId="77777777" w:rsidR="00AC7B62" w:rsidRDefault="00AC7B62" w:rsidP="00AC7B62">
      <w:pPr>
        <w:spacing w:after="3"/>
        <w:ind w:left="1440"/>
        <w:jc w:val="both"/>
      </w:pPr>
    </w:p>
    <w:p w14:paraId="1BF54A86" w14:textId="77777777" w:rsidR="00DA0DD8" w:rsidRDefault="00DA0DD8" w:rsidP="001B40EE">
      <w:pPr>
        <w:numPr>
          <w:ilvl w:val="0"/>
          <w:numId w:val="6"/>
        </w:numPr>
        <w:spacing w:after="3"/>
        <w:ind w:firstLine="1440"/>
        <w:jc w:val="both"/>
      </w:pPr>
      <w:r>
        <w:t xml:space="preserve">Any claim by PAWC to recover transaction and closing costs associated with the transaction will not include costs incurred by BASA.  </w:t>
      </w:r>
    </w:p>
    <w:p w14:paraId="3C65527D" w14:textId="77777777" w:rsidR="00892FA8" w:rsidRDefault="00892FA8" w:rsidP="00892FA8">
      <w:pPr>
        <w:spacing w:after="3" w:line="476" w:lineRule="auto"/>
        <w:jc w:val="both"/>
      </w:pPr>
    </w:p>
    <w:p w14:paraId="6BACF43E" w14:textId="678808D2" w:rsidR="00892FA8" w:rsidRPr="00892FA8" w:rsidRDefault="00DA0DD8" w:rsidP="00892FA8">
      <w:pPr>
        <w:pStyle w:val="Heading1"/>
        <w:numPr>
          <w:ilvl w:val="0"/>
          <w:numId w:val="17"/>
        </w:numPr>
        <w:tabs>
          <w:tab w:val="center" w:pos="797"/>
          <w:tab w:val="center" w:pos="3354"/>
        </w:tabs>
      </w:pPr>
      <w:r>
        <w:lastRenderedPageBreak/>
        <w:t>Approval of Section 507 Agreements</w:t>
      </w:r>
      <w:r>
        <w:rPr>
          <w:vertAlign w:val="superscript"/>
        </w:rPr>
        <w:footnoteReference w:id="2"/>
      </w:r>
      <w:r>
        <w:t xml:space="preserve"> </w:t>
      </w:r>
    </w:p>
    <w:p w14:paraId="06BD37E0" w14:textId="07F71656" w:rsidR="00892FA8" w:rsidRDefault="00DA0DD8" w:rsidP="003523B3">
      <w:pPr>
        <w:pStyle w:val="ListParagraph"/>
        <w:numPr>
          <w:ilvl w:val="0"/>
          <w:numId w:val="6"/>
        </w:numPr>
        <w:ind w:firstLine="1440"/>
      </w:pPr>
      <w:r>
        <w:t xml:space="preserve">Pursuant to 66 Pa. C.S. § 507, the Commission shall issue Certificates of Filing or approval for: </w:t>
      </w:r>
    </w:p>
    <w:p w14:paraId="5E43819B" w14:textId="77777777" w:rsidR="004C46C8" w:rsidRDefault="004C46C8" w:rsidP="004C46C8">
      <w:pPr>
        <w:pStyle w:val="ListParagraph"/>
      </w:pPr>
    </w:p>
    <w:p w14:paraId="5BD8D8B1" w14:textId="6384D8E0" w:rsidR="00DA0DD8" w:rsidRDefault="00DA0DD8" w:rsidP="004C46C8">
      <w:pPr>
        <w:numPr>
          <w:ilvl w:val="0"/>
          <w:numId w:val="7"/>
        </w:numPr>
        <w:spacing w:line="265" w:lineRule="auto"/>
        <w:ind w:left="1440" w:firstLine="1440"/>
        <w:jc w:val="both"/>
      </w:pPr>
      <w:r>
        <w:t xml:space="preserve">the Asset Purchase Agreement By and Between Butler Area Sewer Authority, as Seller, and Pennsylvania-American Water Company, as Buyer, Dated as of October 11, 2022, and the attached First Amendment thereto; </w:t>
      </w:r>
    </w:p>
    <w:p w14:paraId="5A6FDFFD" w14:textId="77777777" w:rsidR="004C46C8" w:rsidRDefault="004C46C8" w:rsidP="004C46C8">
      <w:pPr>
        <w:spacing w:line="265" w:lineRule="auto"/>
        <w:ind w:left="2880"/>
        <w:jc w:val="both"/>
      </w:pPr>
    </w:p>
    <w:p w14:paraId="4B912963" w14:textId="53392500" w:rsidR="00DA0DD8" w:rsidRDefault="00DA0DD8" w:rsidP="004C46C8">
      <w:pPr>
        <w:numPr>
          <w:ilvl w:val="0"/>
          <w:numId w:val="7"/>
        </w:numPr>
        <w:spacing w:line="265" w:lineRule="auto"/>
        <w:ind w:left="1440" w:firstLine="1440"/>
        <w:jc w:val="both"/>
      </w:pPr>
      <w:r>
        <w:t xml:space="preserve">Water Pollution Control Agreement for Central Butler County between City of Butler, Township of Butler, Township of Center, Township of Summit, Borough of East Butler, Deshon Area Sanitary Disposal and Sewer Authority, East Butler Borough Sewer Authority, East Butler Borough Sewer Authority, Meridian Water and Sewer Authority, Municipal Water and Sewer Authority of Center Township and Butler Area Sewer Authority dated as of February 20, 1974; </w:t>
      </w:r>
    </w:p>
    <w:p w14:paraId="0432D551" w14:textId="77777777" w:rsidR="004C46C8" w:rsidRDefault="004C46C8" w:rsidP="004C46C8">
      <w:pPr>
        <w:spacing w:line="265" w:lineRule="auto"/>
        <w:jc w:val="both"/>
      </w:pPr>
    </w:p>
    <w:p w14:paraId="28B46606" w14:textId="3A92EB4E" w:rsidR="00DA0DD8" w:rsidRDefault="00DA0DD8" w:rsidP="004C46C8">
      <w:pPr>
        <w:numPr>
          <w:ilvl w:val="0"/>
          <w:numId w:val="7"/>
        </w:numPr>
        <w:spacing w:line="265" w:lineRule="auto"/>
        <w:ind w:left="1440" w:firstLine="1440"/>
        <w:jc w:val="both"/>
      </w:pPr>
      <w:r>
        <w:t xml:space="preserve">Service Agreement between The Township of Oakland and Butler Area Sewer Authority for the Service Area along Route 38 dated March 7, 1994; </w:t>
      </w:r>
    </w:p>
    <w:p w14:paraId="2E96C6B7" w14:textId="77777777" w:rsidR="004C46C8" w:rsidRDefault="004C46C8" w:rsidP="004C46C8">
      <w:pPr>
        <w:spacing w:line="265" w:lineRule="auto"/>
        <w:jc w:val="both"/>
      </w:pPr>
    </w:p>
    <w:p w14:paraId="383F2A56" w14:textId="2C326032" w:rsidR="00DA0DD8" w:rsidRDefault="00DA0DD8" w:rsidP="004C46C8">
      <w:pPr>
        <w:numPr>
          <w:ilvl w:val="0"/>
          <w:numId w:val="7"/>
        </w:numPr>
        <w:spacing w:line="265" w:lineRule="auto"/>
        <w:ind w:left="1440" w:firstLine="1440"/>
        <w:jc w:val="both"/>
      </w:pPr>
      <w:r>
        <w:t xml:space="preserve">Service Agreement between the Township of </w:t>
      </w:r>
      <w:proofErr w:type="spellStart"/>
      <w:r>
        <w:t>Connoquenessing</w:t>
      </w:r>
      <w:proofErr w:type="spellEnd"/>
      <w:r>
        <w:t xml:space="preserve"> and Butler Area Sewer Authority for Cupps Road Service Area dated April 3, 1995; and </w:t>
      </w:r>
    </w:p>
    <w:p w14:paraId="3DCD028D" w14:textId="77777777" w:rsidR="004C46C8" w:rsidRDefault="004C46C8" w:rsidP="004C46C8">
      <w:pPr>
        <w:spacing w:line="265" w:lineRule="auto"/>
        <w:jc w:val="both"/>
      </w:pPr>
    </w:p>
    <w:p w14:paraId="0DE01F75" w14:textId="05754A0A" w:rsidR="003523B3" w:rsidRPr="003523B3" w:rsidRDefault="00DA0DD8" w:rsidP="003523B3">
      <w:pPr>
        <w:numPr>
          <w:ilvl w:val="0"/>
          <w:numId w:val="7"/>
        </w:numPr>
        <w:spacing w:line="265" w:lineRule="auto"/>
        <w:ind w:left="1440" w:firstLine="1440"/>
        <w:jc w:val="both"/>
      </w:pPr>
      <w:r>
        <w:t xml:space="preserve">Service Agreement between the Township of </w:t>
      </w:r>
      <w:proofErr w:type="spellStart"/>
      <w:r>
        <w:t>Connoquenessing</w:t>
      </w:r>
      <w:proofErr w:type="spellEnd"/>
      <w:r>
        <w:t xml:space="preserve"> and Butler Area Sewer Authority for </w:t>
      </w:r>
      <w:proofErr w:type="spellStart"/>
      <w:r>
        <w:t>Winterwood</w:t>
      </w:r>
      <w:proofErr w:type="spellEnd"/>
      <w:r>
        <w:t xml:space="preserve"> Drive Service Area dated December 14, 2005. </w:t>
      </w:r>
    </w:p>
    <w:p w14:paraId="6D9D626F" w14:textId="77777777" w:rsidR="003523B3" w:rsidRDefault="003523B3" w:rsidP="000F10F6">
      <w:pPr>
        <w:pStyle w:val="Heading1"/>
        <w:tabs>
          <w:tab w:val="center" w:pos="810"/>
          <w:tab w:val="center" w:pos="2610"/>
        </w:tabs>
        <w:spacing w:after="0"/>
        <w:ind w:left="0" w:firstLine="0"/>
        <w:rPr>
          <w:rFonts w:ascii="Calibri" w:eastAsia="Calibri" w:hAnsi="Calibri" w:cs="Calibri"/>
          <w:b w:val="0"/>
          <w:sz w:val="22"/>
        </w:rPr>
      </w:pPr>
    </w:p>
    <w:p w14:paraId="36A6E937" w14:textId="77777777" w:rsidR="003523B3" w:rsidRDefault="003523B3" w:rsidP="000F10F6">
      <w:pPr>
        <w:pStyle w:val="Heading1"/>
        <w:tabs>
          <w:tab w:val="center" w:pos="810"/>
          <w:tab w:val="center" w:pos="2610"/>
        </w:tabs>
        <w:spacing w:after="0"/>
        <w:ind w:left="0" w:firstLine="0"/>
        <w:rPr>
          <w:rFonts w:ascii="Calibri" w:eastAsia="Calibri" w:hAnsi="Calibri" w:cs="Calibri"/>
          <w:b w:val="0"/>
          <w:sz w:val="22"/>
        </w:rPr>
      </w:pPr>
    </w:p>
    <w:p w14:paraId="6ABB46A4" w14:textId="3F3DCD0D" w:rsidR="000F10F6" w:rsidRDefault="00DA0DD8" w:rsidP="003523B3">
      <w:pPr>
        <w:pStyle w:val="Heading1"/>
        <w:tabs>
          <w:tab w:val="center" w:pos="810"/>
          <w:tab w:val="center" w:pos="2610"/>
        </w:tabs>
        <w:spacing w:after="0"/>
        <w:ind w:left="0" w:firstLine="0"/>
      </w:pPr>
      <w:r>
        <w:rPr>
          <w:rFonts w:ascii="Calibri" w:eastAsia="Calibri" w:hAnsi="Calibri" w:cs="Calibri"/>
          <w:b w:val="0"/>
          <w:sz w:val="22"/>
        </w:rPr>
        <w:tab/>
      </w:r>
      <w:r>
        <w:t xml:space="preserve">J. </w:t>
      </w:r>
      <w:r>
        <w:tab/>
        <w:t xml:space="preserve">Cost of Service Studies </w:t>
      </w:r>
    </w:p>
    <w:p w14:paraId="5B30E7ED" w14:textId="77777777" w:rsidR="003523B3" w:rsidRPr="003523B3" w:rsidRDefault="003523B3" w:rsidP="003523B3"/>
    <w:p w14:paraId="71FDC281" w14:textId="77777777" w:rsidR="00DA0DD8" w:rsidRDefault="00DA0DD8" w:rsidP="001B40EE">
      <w:pPr>
        <w:numPr>
          <w:ilvl w:val="0"/>
          <w:numId w:val="8"/>
        </w:numPr>
        <w:spacing w:after="39"/>
        <w:ind w:firstLine="1440"/>
        <w:jc w:val="both"/>
      </w:pPr>
      <w:r>
        <w:t xml:space="preserve">In the first base rate case that includes the System’s assets, PAWC will submit a cost of service study that removes all costs and revenues associated with the operation of the System. </w:t>
      </w:r>
    </w:p>
    <w:p w14:paraId="6F79797F" w14:textId="77777777" w:rsidR="000F10F6" w:rsidRDefault="000F10F6" w:rsidP="001B40EE">
      <w:pPr>
        <w:spacing w:after="39"/>
        <w:ind w:left="720"/>
        <w:jc w:val="both"/>
      </w:pPr>
    </w:p>
    <w:p w14:paraId="2F1BCE05" w14:textId="3A1FC5BB" w:rsidR="00DA0DD8" w:rsidRDefault="00DA0DD8" w:rsidP="001B40EE">
      <w:pPr>
        <w:numPr>
          <w:ilvl w:val="0"/>
          <w:numId w:val="8"/>
        </w:numPr>
        <w:ind w:firstLine="1440"/>
        <w:jc w:val="both"/>
      </w:pPr>
      <w:r>
        <w:lastRenderedPageBreak/>
        <w:t xml:space="preserve">In the first base rate case that includes the System’s assets, PAWC will also provide a separate cost of service study for the System consistent with typically filed ratemaking exhibits including, but not limited to, the following:  Rate Base (Measures of Value), Statement of Operating Income, Proof of Revenue, and Rate of Return, which correspond to the applicable test year, future test year, and fully projected future test year measurement periods. In the first PAWC base rate case that includes the BASA system, when PAWC provides customer notice, it shall provide notice to customers in the BASA system consistent with the rates agreed to be proposed in Paragraph 19(e), above.  </w:t>
      </w:r>
    </w:p>
    <w:p w14:paraId="1A162969" w14:textId="77777777" w:rsidR="000F10F6" w:rsidRDefault="000F10F6" w:rsidP="001B40EE">
      <w:pPr>
        <w:jc w:val="both"/>
      </w:pPr>
    </w:p>
    <w:p w14:paraId="58BB52BB" w14:textId="77777777" w:rsidR="00DA0DD8" w:rsidRDefault="00DA0DD8" w:rsidP="001B40EE">
      <w:pPr>
        <w:pStyle w:val="Heading1"/>
        <w:tabs>
          <w:tab w:val="center" w:pos="844"/>
          <w:tab w:val="center" w:pos="4157"/>
        </w:tabs>
        <w:spacing w:after="0" w:line="360" w:lineRule="auto"/>
        <w:ind w:left="0" w:firstLine="0"/>
      </w:pPr>
      <w:r>
        <w:rPr>
          <w:rFonts w:ascii="Calibri" w:eastAsia="Calibri" w:hAnsi="Calibri" w:cs="Calibri"/>
          <w:b w:val="0"/>
          <w:sz w:val="22"/>
        </w:rPr>
        <w:tab/>
      </w:r>
      <w:r>
        <w:t xml:space="preserve">K. </w:t>
      </w:r>
      <w:r>
        <w:tab/>
        <w:t xml:space="preserve">Low Income Program Outreach and Welcome Letter </w:t>
      </w:r>
    </w:p>
    <w:p w14:paraId="11C293E8" w14:textId="77777777" w:rsidR="000F10F6" w:rsidRPr="000F10F6" w:rsidRDefault="000F10F6" w:rsidP="001B40EE"/>
    <w:p w14:paraId="2561C3A0" w14:textId="77777777" w:rsidR="00DA0DD8" w:rsidRDefault="00DA0DD8" w:rsidP="003523B3">
      <w:pPr>
        <w:numPr>
          <w:ilvl w:val="0"/>
          <w:numId w:val="9"/>
        </w:numPr>
        <w:spacing w:after="3"/>
        <w:ind w:firstLine="1440"/>
        <w:jc w:val="both"/>
      </w:pPr>
      <w:r>
        <w:t xml:space="preserve">Within the first billing cycle following Closing, PAWC shall include a bill insert to System customers regarding its low income programs and shall include such information in a welcome letter to System customers.  The bill insert and welcome letter shall include, at a minimum, a description of the available low income programs, eligibility requirements for participation in the programs, and PAWC’s contact information.  PAWC also agrees to automatically enroll any BASA wastewater customers, who are PAWC water customers enrolled in PAWC’s water low income programs, in PAWC’s wastewater low-income programs following Closing.  </w:t>
      </w:r>
    </w:p>
    <w:p w14:paraId="159998BC" w14:textId="77777777" w:rsidR="000F10F6" w:rsidRDefault="000F10F6" w:rsidP="001B40EE">
      <w:pPr>
        <w:spacing w:after="3"/>
        <w:ind w:left="720"/>
        <w:jc w:val="both"/>
      </w:pPr>
    </w:p>
    <w:p w14:paraId="329A95FC" w14:textId="77777777" w:rsidR="00DA0DD8" w:rsidRDefault="00DA0DD8" w:rsidP="003523B3">
      <w:pPr>
        <w:numPr>
          <w:ilvl w:val="0"/>
          <w:numId w:val="9"/>
        </w:numPr>
        <w:spacing w:after="3"/>
        <w:ind w:firstLine="1440"/>
        <w:jc w:val="both"/>
      </w:pPr>
      <w:r>
        <w:t xml:space="preserve">The welcome letter will be sent within the first 30 days of Closing and will also include information about payment options (including low-income programs, eligibility requirements, PAWC contact information), free places to pay, and in-person bill payment locations reasonably proximate to the areas served by the BASA system. </w:t>
      </w:r>
    </w:p>
    <w:p w14:paraId="4F327E7A" w14:textId="77777777" w:rsidR="000F10F6" w:rsidRDefault="000F10F6" w:rsidP="003523B3">
      <w:pPr>
        <w:spacing w:after="3"/>
        <w:ind w:firstLine="1440"/>
        <w:jc w:val="both"/>
      </w:pPr>
    </w:p>
    <w:p w14:paraId="6F78BB9C" w14:textId="77777777" w:rsidR="00DA0DD8" w:rsidRDefault="00DA0DD8" w:rsidP="003523B3">
      <w:pPr>
        <w:numPr>
          <w:ilvl w:val="0"/>
          <w:numId w:val="9"/>
        </w:numPr>
        <w:spacing w:after="3"/>
        <w:ind w:firstLine="1440"/>
        <w:jc w:val="both"/>
      </w:pPr>
      <w:r>
        <w:t xml:space="preserve">PAWC will work with community-based organizations with offices local to the areas served by the System for purposes of providing information and enrolling customers in PAWC’s customer-assistance programs.  PAWC will include this information in the welcome letter referenced in the previous paragraph. </w:t>
      </w:r>
    </w:p>
    <w:p w14:paraId="5B12590B" w14:textId="77777777" w:rsidR="003523B3" w:rsidRDefault="003523B3" w:rsidP="003523B3">
      <w:pPr>
        <w:spacing w:after="3"/>
        <w:ind w:left="1440"/>
        <w:jc w:val="both"/>
      </w:pPr>
    </w:p>
    <w:p w14:paraId="003751E3" w14:textId="402E8B28" w:rsidR="000F10F6" w:rsidRPr="000F10F6" w:rsidRDefault="00DA0DD8" w:rsidP="001B40EE">
      <w:pPr>
        <w:pStyle w:val="Heading1"/>
        <w:tabs>
          <w:tab w:val="center" w:pos="830"/>
          <w:tab w:val="center" w:pos="2231"/>
        </w:tabs>
        <w:spacing w:line="360" w:lineRule="auto"/>
        <w:ind w:left="0" w:firstLine="0"/>
      </w:pPr>
      <w:r>
        <w:rPr>
          <w:rFonts w:ascii="Calibri" w:eastAsia="Calibri" w:hAnsi="Calibri" w:cs="Calibri"/>
          <w:b w:val="0"/>
          <w:sz w:val="22"/>
        </w:rPr>
        <w:lastRenderedPageBreak/>
        <w:tab/>
      </w:r>
      <w:r>
        <w:t xml:space="preserve">L. </w:t>
      </w:r>
      <w:r>
        <w:tab/>
        <w:t xml:space="preserve">Hardship Fund </w:t>
      </w:r>
    </w:p>
    <w:p w14:paraId="5C60D9C8" w14:textId="4A62F793" w:rsidR="000F10F6" w:rsidRDefault="00DA0DD8" w:rsidP="003523B3">
      <w:pPr>
        <w:numPr>
          <w:ilvl w:val="0"/>
          <w:numId w:val="10"/>
        </w:numPr>
        <w:spacing w:after="34"/>
        <w:ind w:firstLine="1440"/>
        <w:jc w:val="both"/>
      </w:pPr>
      <w:r>
        <w:t xml:space="preserve">Effective on and after Closing, PAWC will increase eligibility for hardship grants to all PAWC customers including existing customers and newly acquired customers from the BASA System from 200% to 250% of Federal Poverty Income Guidelines (“FPIG”).  All parties reserve the right to re-evaluate the appropriate eligibility for hardship grants in a future base rate case filed after five (5) years following Closing. </w:t>
      </w:r>
    </w:p>
    <w:p w14:paraId="64F78B0A" w14:textId="77777777" w:rsidR="003523B3" w:rsidRDefault="003523B3" w:rsidP="003523B3">
      <w:pPr>
        <w:spacing w:after="34"/>
        <w:ind w:left="1440"/>
        <w:jc w:val="both"/>
      </w:pPr>
    </w:p>
    <w:p w14:paraId="52C38F65" w14:textId="77777777" w:rsidR="00DA0DD8" w:rsidRDefault="00DA0DD8" w:rsidP="003523B3">
      <w:pPr>
        <w:numPr>
          <w:ilvl w:val="0"/>
          <w:numId w:val="10"/>
        </w:numPr>
        <w:spacing w:after="3"/>
        <w:ind w:firstLine="1440"/>
        <w:jc w:val="both"/>
      </w:pPr>
      <w:r>
        <w:t xml:space="preserve">In addition to existing commitments and any commitments made in a future base rate case, PAWC will contribute $700,000 annually to the Company’s hardship grant program for the five (5) years following Closing ($3,500,000 total).  These contributions shall not be recovered in rates.  All unspent funds at the end of the program year will be rolled over and added to the budget for the hardship grant program in the following year(s).  </w:t>
      </w:r>
    </w:p>
    <w:p w14:paraId="47190247" w14:textId="77777777" w:rsidR="000F10F6" w:rsidRDefault="000F10F6" w:rsidP="001B40EE">
      <w:pPr>
        <w:spacing w:after="3"/>
        <w:ind w:left="720"/>
        <w:jc w:val="both"/>
      </w:pPr>
    </w:p>
    <w:p w14:paraId="381B5F38" w14:textId="5AB5AC4D" w:rsidR="000F10F6" w:rsidRPr="000F10F6" w:rsidRDefault="00DA0DD8" w:rsidP="001B40EE">
      <w:pPr>
        <w:pStyle w:val="Heading1"/>
        <w:tabs>
          <w:tab w:val="center" w:pos="863"/>
          <w:tab w:val="center" w:pos="1987"/>
        </w:tabs>
        <w:spacing w:line="360" w:lineRule="auto"/>
        <w:ind w:left="0" w:firstLine="0"/>
      </w:pPr>
      <w:r>
        <w:rPr>
          <w:rFonts w:ascii="Calibri" w:eastAsia="Calibri" w:hAnsi="Calibri" w:cs="Calibri"/>
          <w:b w:val="0"/>
          <w:sz w:val="22"/>
        </w:rPr>
        <w:tab/>
      </w:r>
      <w:r>
        <w:t xml:space="preserve">M. </w:t>
      </w:r>
      <w:r>
        <w:tab/>
        <w:t xml:space="preserve">Easements </w:t>
      </w:r>
    </w:p>
    <w:p w14:paraId="746301CA" w14:textId="428746D8" w:rsidR="000F10F6" w:rsidRDefault="00DA0DD8" w:rsidP="001B40EE">
      <w:pPr>
        <w:numPr>
          <w:ilvl w:val="0"/>
          <w:numId w:val="11"/>
        </w:numPr>
        <w:spacing w:after="252"/>
        <w:ind w:left="0" w:firstLine="1440"/>
        <w:jc w:val="both"/>
      </w:pPr>
      <w:r>
        <w:t xml:space="preserve">PAWC and BASA should be required to (1) identify all missing easements including public rights-of-way and other property rights; (2) take any and all necessary actions to obtain the missing easements and other property rights so that they may be conveyed to PAWC at Closing; and (3) BASA shall bear all costs and expenses for obtaining and conveying the missing easements and other property rights. </w:t>
      </w:r>
    </w:p>
    <w:p w14:paraId="76D759EB" w14:textId="77777777" w:rsidR="00DA0DD8" w:rsidRDefault="00DA0DD8" w:rsidP="001B40EE">
      <w:pPr>
        <w:numPr>
          <w:ilvl w:val="0"/>
          <w:numId w:val="11"/>
        </w:numPr>
        <w:ind w:left="0" w:firstLine="1440"/>
        <w:jc w:val="both"/>
      </w:pPr>
      <w:r>
        <w:t xml:space="preserve">Additionally, if for any circumstances beyond BASA’s control where it is unable to transfer all missing easements including public rights-of-way and other property rights before or at the Closing, PAWC and BASA may at their discretion close the transaction without the transfer of missing easements and other property rights, provided that an escrow account be established as set forth in the APA in which BASA will fund an easement escrow fund in the amount of $2,000 for each missing easement. </w:t>
      </w:r>
    </w:p>
    <w:p w14:paraId="2D8855C9" w14:textId="77777777" w:rsidR="00B44682" w:rsidRDefault="00B44682" w:rsidP="001B40EE">
      <w:pPr>
        <w:pStyle w:val="Heading1"/>
        <w:tabs>
          <w:tab w:val="center" w:pos="836"/>
          <w:tab w:val="center" w:pos="3862"/>
        </w:tabs>
        <w:spacing w:after="0" w:line="360" w:lineRule="auto"/>
        <w:ind w:left="0" w:firstLine="0"/>
        <w:rPr>
          <w:rFonts w:ascii="Calibri" w:eastAsia="Calibri" w:hAnsi="Calibri" w:cs="Calibri"/>
          <w:b w:val="0"/>
          <w:sz w:val="22"/>
        </w:rPr>
      </w:pPr>
    </w:p>
    <w:p w14:paraId="5F2F21C3" w14:textId="77777777" w:rsidR="00AE0477" w:rsidRDefault="00AE0477" w:rsidP="00AE0477">
      <w:pPr>
        <w:rPr>
          <w:rFonts w:eastAsia="Calibri"/>
        </w:rPr>
      </w:pPr>
    </w:p>
    <w:p w14:paraId="60F1BB6E" w14:textId="77777777" w:rsidR="00AE0477" w:rsidRPr="00AE0477" w:rsidRDefault="00AE0477" w:rsidP="00AE0477">
      <w:pPr>
        <w:rPr>
          <w:rFonts w:eastAsia="Calibri"/>
        </w:rPr>
      </w:pPr>
    </w:p>
    <w:p w14:paraId="3EA17D4A" w14:textId="261C7A30" w:rsidR="00DA0DD8" w:rsidRDefault="00DA0DD8" w:rsidP="001B40EE">
      <w:pPr>
        <w:pStyle w:val="Heading1"/>
        <w:tabs>
          <w:tab w:val="center" w:pos="836"/>
          <w:tab w:val="center" w:pos="3862"/>
        </w:tabs>
        <w:spacing w:after="0" w:line="360" w:lineRule="auto"/>
        <w:ind w:left="0" w:firstLine="0"/>
      </w:pPr>
      <w:r>
        <w:rPr>
          <w:rFonts w:ascii="Calibri" w:eastAsia="Calibri" w:hAnsi="Calibri" w:cs="Calibri"/>
          <w:b w:val="0"/>
          <w:sz w:val="22"/>
        </w:rPr>
        <w:lastRenderedPageBreak/>
        <w:tab/>
      </w:r>
      <w:r>
        <w:t xml:space="preserve">N. </w:t>
      </w:r>
      <w:r>
        <w:tab/>
        <w:t xml:space="preserve">Commercial Customer Payment Arrangements </w:t>
      </w:r>
    </w:p>
    <w:p w14:paraId="7DB407A6" w14:textId="77777777" w:rsidR="000F10F6" w:rsidRPr="000F10F6" w:rsidRDefault="000F10F6" w:rsidP="001B40EE"/>
    <w:p w14:paraId="54504F88" w14:textId="2FEF008F" w:rsidR="00DA0DD8" w:rsidRDefault="00DA0DD8" w:rsidP="001B40EE">
      <w:pPr>
        <w:pStyle w:val="ListParagraph"/>
        <w:numPr>
          <w:ilvl w:val="0"/>
          <w:numId w:val="11"/>
        </w:numPr>
        <w:ind w:left="0" w:firstLine="1440"/>
      </w:pPr>
      <w:r>
        <w:t xml:space="preserve">At Closing, PAWC will implement a formal program for payment arrangements for commercial customers, including eligibility and payment terms. </w:t>
      </w:r>
    </w:p>
    <w:p w14:paraId="4498AB43" w14:textId="77777777" w:rsidR="000F10F6" w:rsidRDefault="000F10F6" w:rsidP="001B40EE">
      <w:pPr>
        <w:pStyle w:val="ListParagraph"/>
        <w:ind w:left="352"/>
      </w:pPr>
    </w:p>
    <w:p w14:paraId="4D69818D" w14:textId="0822DD95" w:rsidR="000F10F6" w:rsidRPr="000F10F6" w:rsidRDefault="00DA0DD8" w:rsidP="001B40EE">
      <w:pPr>
        <w:pStyle w:val="Heading1"/>
        <w:tabs>
          <w:tab w:val="center" w:pos="844"/>
          <w:tab w:val="center" w:pos="2853"/>
        </w:tabs>
        <w:spacing w:line="360" w:lineRule="auto"/>
        <w:ind w:left="0" w:firstLine="0"/>
      </w:pPr>
      <w:r>
        <w:rPr>
          <w:rFonts w:ascii="Calibri" w:eastAsia="Calibri" w:hAnsi="Calibri" w:cs="Calibri"/>
          <w:b w:val="0"/>
          <w:sz w:val="22"/>
        </w:rPr>
        <w:tab/>
      </w:r>
      <w:r>
        <w:t xml:space="preserve">O. </w:t>
      </w:r>
      <w:r>
        <w:tab/>
        <w:t xml:space="preserve">Other Necessary Approvals </w:t>
      </w:r>
    </w:p>
    <w:p w14:paraId="20C7E8A4" w14:textId="7697FBBF" w:rsidR="00DA0DD8" w:rsidRDefault="00DA0DD8" w:rsidP="001B40EE">
      <w:pPr>
        <w:pStyle w:val="ListParagraph"/>
        <w:numPr>
          <w:ilvl w:val="0"/>
          <w:numId w:val="11"/>
        </w:numPr>
        <w:ind w:left="0" w:firstLine="1440"/>
      </w:pPr>
      <w:r>
        <w:t xml:space="preserve">The Commission shall issue any other approvals or certificates appropriate, customary, or necessary under the Code to carry out the transactions contemplated in the Application in a lawful manner. </w:t>
      </w:r>
    </w:p>
    <w:p w14:paraId="317BD49B" w14:textId="77777777" w:rsidR="000F10F6" w:rsidRDefault="000F10F6" w:rsidP="001B40EE">
      <w:pPr>
        <w:pStyle w:val="ListParagraph"/>
        <w:ind w:left="352"/>
      </w:pPr>
    </w:p>
    <w:p w14:paraId="3798CEA3" w14:textId="52B5163C" w:rsidR="000F10F6" w:rsidRPr="000F10F6" w:rsidRDefault="00DA0DD8" w:rsidP="001B40EE">
      <w:pPr>
        <w:pStyle w:val="Heading1"/>
        <w:tabs>
          <w:tab w:val="center" w:pos="823"/>
          <w:tab w:val="center" w:pos="3088"/>
        </w:tabs>
        <w:spacing w:after="315" w:line="360" w:lineRule="auto"/>
        <w:ind w:left="0" w:firstLine="0"/>
      </w:pPr>
      <w:r>
        <w:rPr>
          <w:rFonts w:ascii="Calibri" w:eastAsia="Calibri" w:hAnsi="Calibri" w:cs="Calibri"/>
          <w:b w:val="0"/>
          <w:sz w:val="22"/>
        </w:rPr>
        <w:tab/>
      </w:r>
      <w:r>
        <w:t xml:space="preserve">P. </w:t>
      </w:r>
      <w:r>
        <w:tab/>
        <w:t xml:space="preserve">Standard Settlement Conditions </w:t>
      </w:r>
    </w:p>
    <w:p w14:paraId="6C0D55FF" w14:textId="77777777" w:rsidR="00DA0DD8" w:rsidRDefault="00DA0DD8" w:rsidP="001B40EE">
      <w:pPr>
        <w:numPr>
          <w:ilvl w:val="0"/>
          <w:numId w:val="12"/>
        </w:numPr>
        <w:spacing w:after="3"/>
        <w:ind w:firstLine="1440"/>
        <w:jc w:val="both"/>
      </w:pPr>
      <w:r>
        <w:t xml:space="preserve">The Settlement is conditioned upon the Commission’s approval of the terms and conditions contained in the Settlement without modification.  If the Commission modifies the Settlement, any Petitioner may elect to withdraw from the Settlement and may proceed with litigation and, in such event, the Settlement shall be void and of no effect.  Such election to withdraw must be made in writing, filed with the Secretary of the Commission and served upon all Joint Petitioners within five (5) business days after the entry of an Order modifying the Settlement.  The Joint Petitioners acknowledge and agree that the Settlement, if approved, shall have the same force and effect as if the Joint Petitioners had fully litigated this proceeding. </w:t>
      </w:r>
    </w:p>
    <w:p w14:paraId="7261C077" w14:textId="3E4704EC" w:rsidR="000F10F6" w:rsidRDefault="000F10F6" w:rsidP="001B40EE">
      <w:pPr>
        <w:spacing w:after="3"/>
        <w:ind w:left="1440"/>
        <w:jc w:val="both"/>
      </w:pPr>
    </w:p>
    <w:p w14:paraId="56A9064E" w14:textId="77777777" w:rsidR="00DA0DD8" w:rsidRDefault="00DA0DD8" w:rsidP="001B40EE">
      <w:pPr>
        <w:numPr>
          <w:ilvl w:val="0"/>
          <w:numId w:val="12"/>
        </w:numPr>
        <w:spacing w:after="3"/>
        <w:ind w:firstLine="1440"/>
        <w:jc w:val="both"/>
      </w:pPr>
      <w:r>
        <w:t xml:space="preserve">This Settlement is proposed by the Joint Petitioners to settle all issues in the instant proceedings.  If the Commission does not approve the Settlement and the proceedings continue, the Joint Petitioners reserve their respective procedural rights, including the right to present additional testimony and to conduct full cross-examination, briefing and argument.  The </w:t>
      </w:r>
    </w:p>
    <w:p w14:paraId="2D63C31E" w14:textId="77777777" w:rsidR="00DA0DD8" w:rsidRDefault="00DA0DD8" w:rsidP="001B40EE">
      <w:pPr>
        <w:ind w:left="-5"/>
      </w:pPr>
      <w:r>
        <w:t xml:space="preserve">Settlement is made without any admission against, or prejudice to, any position which any Petitioner may adopt in the event of any subsequent litigation of these proceedings, or in any other proceeding. </w:t>
      </w:r>
    </w:p>
    <w:p w14:paraId="7DA3FC6C" w14:textId="77777777" w:rsidR="000F10F6" w:rsidRDefault="000F10F6" w:rsidP="001B40EE">
      <w:pPr>
        <w:ind w:left="-5"/>
      </w:pPr>
    </w:p>
    <w:p w14:paraId="67411523" w14:textId="77777777" w:rsidR="00DA0DD8" w:rsidRDefault="00DA0DD8" w:rsidP="003523B3">
      <w:pPr>
        <w:numPr>
          <w:ilvl w:val="0"/>
          <w:numId w:val="12"/>
        </w:numPr>
        <w:spacing w:after="3"/>
        <w:ind w:firstLine="1440"/>
        <w:jc w:val="both"/>
      </w:pPr>
      <w:r>
        <w:lastRenderedPageBreak/>
        <w:t xml:space="preserve">The Joint Petitioners acknowledge that the Settlement reflects a compromise of competing positions and does not necessarily reflect any Petitioner’s position with respect to any issues raised in these proceedings.  This Settlement may not be cited as precedent in any future proceeding, except to the extent required to implement this Settlement. </w:t>
      </w:r>
    </w:p>
    <w:p w14:paraId="036A95DB" w14:textId="77777777" w:rsidR="000F10F6" w:rsidRDefault="000F10F6" w:rsidP="003523B3">
      <w:pPr>
        <w:spacing w:after="3"/>
        <w:ind w:left="720" w:firstLine="1440"/>
        <w:jc w:val="both"/>
      </w:pPr>
    </w:p>
    <w:p w14:paraId="430BBB36" w14:textId="7ACAA5B8" w:rsidR="000F10F6" w:rsidRDefault="00DA0DD8" w:rsidP="00326414">
      <w:pPr>
        <w:numPr>
          <w:ilvl w:val="0"/>
          <w:numId w:val="12"/>
        </w:numPr>
        <w:spacing w:after="255"/>
        <w:ind w:firstLine="1440"/>
        <w:jc w:val="both"/>
      </w:pPr>
      <w:r>
        <w:t xml:space="preserve">The Joint Petitioners have prepared Proposed Findings of Fact, Proposed Conclusions of Law, and Proposed Ordering Paragraphs.  The Joint Petitioners further agree that the facts agreed to in the Proposed Findings of Fact are sufficient to find that the Settlement is in the public interest. </w:t>
      </w:r>
    </w:p>
    <w:p w14:paraId="69B29A4F" w14:textId="77777777" w:rsidR="00DA0DD8" w:rsidRDefault="00DA0DD8" w:rsidP="003523B3">
      <w:pPr>
        <w:numPr>
          <w:ilvl w:val="0"/>
          <w:numId w:val="12"/>
        </w:numPr>
        <w:spacing w:after="3"/>
        <w:ind w:firstLine="1440"/>
        <w:jc w:val="both"/>
      </w:pPr>
      <w:r>
        <w:t xml:space="preserve">Each Petitioner shall prepare a Statement in Support of Settlement setting forth the bases upon which the Petitioner believes the Settlement to be in the public interest. </w:t>
      </w:r>
    </w:p>
    <w:p w14:paraId="62627C0B" w14:textId="77777777" w:rsidR="000F10F6" w:rsidRDefault="000F10F6" w:rsidP="003523B3">
      <w:pPr>
        <w:spacing w:after="3"/>
        <w:ind w:left="720" w:firstLine="1440"/>
        <w:jc w:val="both"/>
      </w:pPr>
    </w:p>
    <w:p w14:paraId="5D6E0B0F" w14:textId="0BE119BB" w:rsidR="00DA0DD8" w:rsidRDefault="00DA0DD8" w:rsidP="003523B3">
      <w:pPr>
        <w:numPr>
          <w:ilvl w:val="0"/>
          <w:numId w:val="12"/>
        </w:numPr>
        <w:spacing w:after="255"/>
        <w:ind w:firstLine="1440"/>
        <w:jc w:val="both"/>
      </w:pPr>
      <w:r>
        <w:t xml:space="preserve">If the ALJ recommends approval of the Settlement without modification, the Joint Petitioners will waive their rights to file Exceptions.  </w:t>
      </w:r>
    </w:p>
    <w:p w14:paraId="61AB34C2" w14:textId="77777777" w:rsidR="00DA0DD8" w:rsidRDefault="00DA0DD8" w:rsidP="001B40EE">
      <w:pPr>
        <w:ind w:left="720"/>
      </w:pPr>
      <w:r>
        <w:t xml:space="preserve"> </w:t>
      </w:r>
    </w:p>
    <w:p w14:paraId="511002FE" w14:textId="45B69AA0" w:rsidR="000F10F6" w:rsidRPr="000F10F6" w:rsidRDefault="00DA0DD8" w:rsidP="001B40EE">
      <w:pPr>
        <w:pStyle w:val="Heading1"/>
        <w:tabs>
          <w:tab w:val="center" w:pos="2054"/>
        </w:tabs>
        <w:spacing w:line="360" w:lineRule="auto"/>
        <w:ind w:left="0" w:firstLine="0"/>
      </w:pPr>
      <w:r>
        <w:t xml:space="preserve">IV. </w:t>
      </w:r>
      <w:r>
        <w:tab/>
        <w:t xml:space="preserve">REQUEST FOR RELIEF </w:t>
      </w:r>
    </w:p>
    <w:p w14:paraId="00D358A6" w14:textId="0956CE82" w:rsidR="000F10F6" w:rsidRDefault="00DA0DD8" w:rsidP="001B40EE">
      <w:pPr>
        <w:spacing w:after="255"/>
        <w:ind w:right="-3" w:firstLine="1440"/>
      </w:pPr>
      <w:r>
        <w:t xml:space="preserve">WHEREFORE, Pennsylvania-American Water Company, the Office of Consumer Advocate, the Pennsylvania Public Utility Commission’s Bureau of Investigation and Enforcement, the Office of Small Business Advocate, the Butler Area Sewer Authority, the Township of Butler, and the City of Butler, by their respective counsel, respectfully request that: </w:t>
      </w:r>
    </w:p>
    <w:p w14:paraId="28C8A6FD" w14:textId="77777777" w:rsidR="00DA0DD8" w:rsidRDefault="00DA0DD8" w:rsidP="004C46C8">
      <w:pPr>
        <w:numPr>
          <w:ilvl w:val="0"/>
          <w:numId w:val="13"/>
        </w:numPr>
        <w:spacing w:after="3" w:line="240" w:lineRule="auto"/>
        <w:ind w:left="1440" w:right="-3" w:firstLine="1440"/>
      </w:pPr>
      <w:r>
        <w:t xml:space="preserve">The Honorable Administrative Law Judge Marta Guhl recommend approval of, and the Commission approve, this Joint Petition for Unanimous Settlement of All Issues as submitted, including all terms and conditions thereof, without modification. </w:t>
      </w:r>
    </w:p>
    <w:p w14:paraId="6FA39EE0" w14:textId="77777777" w:rsidR="000F10F6" w:rsidRDefault="000F10F6" w:rsidP="004C46C8">
      <w:pPr>
        <w:spacing w:after="3" w:line="240" w:lineRule="auto"/>
        <w:ind w:left="2880" w:right="-3"/>
      </w:pPr>
    </w:p>
    <w:p w14:paraId="15E4B3EE" w14:textId="77777777" w:rsidR="000F10F6" w:rsidRDefault="00DA0DD8" w:rsidP="004C46C8">
      <w:pPr>
        <w:numPr>
          <w:ilvl w:val="0"/>
          <w:numId w:val="13"/>
        </w:numPr>
        <w:spacing w:after="3" w:line="240" w:lineRule="auto"/>
        <w:ind w:left="1440" w:right="-3" w:firstLine="1440"/>
      </w:pPr>
      <w:r>
        <w:t xml:space="preserve">The Application filed by PAWC in this matter on February 14, 2023, as amended, and as further amended by the Settlement, be approved. </w:t>
      </w:r>
    </w:p>
    <w:p w14:paraId="01D7780C" w14:textId="77777777" w:rsidR="000F10F6" w:rsidRDefault="000F10F6" w:rsidP="004C46C8">
      <w:pPr>
        <w:pStyle w:val="ListParagraph"/>
        <w:spacing w:line="240" w:lineRule="auto"/>
      </w:pPr>
    </w:p>
    <w:p w14:paraId="713F2EBC" w14:textId="4CD181D8" w:rsidR="00DA0DD8" w:rsidRDefault="00DA0DD8" w:rsidP="004C46C8">
      <w:pPr>
        <w:numPr>
          <w:ilvl w:val="0"/>
          <w:numId w:val="13"/>
        </w:numPr>
        <w:spacing w:line="240" w:lineRule="auto"/>
        <w:ind w:left="1440" w:right="-3" w:firstLine="1440"/>
      </w:pPr>
      <w:r>
        <w:t xml:space="preserve">The Commission issue Certificates of Public Convenience under 66 Pa. C.S. § 1102(a) and 1103(a) evidencing Commission </w:t>
      </w:r>
      <w:r>
        <w:lastRenderedPageBreak/>
        <w:t>approval of (</w:t>
      </w:r>
      <w:proofErr w:type="spellStart"/>
      <w:r>
        <w:t>i</w:t>
      </w:r>
      <w:proofErr w:type="spellEnd"/>
      <w:r>
        <w:t xml:space="preserve">) the transfer, by sale, of substantially all of the assets, properties and rights related to the wastewater collection and treatment system (the “System”) owned by BASA to PAWC, and (ii) the right of PAWC to begin to offer, render, furnish and supply wastewater service in the areas served by the wastewater collection and treatment system owned by BASA. </w:t>
      </w:r>
    </w:p>
    <w:p w14:paraId="6FFB220E" w14:textId="77777777" w:rsidR="000F10F6" w:rsidRDefault="000F10F6" w:rsidP="004C46C8">
      <w:pPr>
        <w:spacing w:line="240" w:lineRule="auto"/>
        <w:ind w:right="-3"/>
      </w:pPr>
    </w:p>
    <w:p w14:paraId="752B9151" w14:textId="30DA4128" w:rsidR="00DA0DD8" w:rsidRDefault="00DA0DD8" w:rsidP="004C46C8">
      <w:pPr>
        <w:numPr>
          <w:ilvl w:val="0"/>
          <w:numId w:val="13"/>
        </w:numPr>
        <w:spacing w:line="240" w:lineRule="auto"/>
        <w:ind w:left="1440" w:right="-3" w:firstLine="1440"/>
      </w:pPr>
      <w:r>
        <w:t xml:space="preserve">The Commission permit PAWC to issue compliance tariff supplements, consistent with the </w:t>
      </w:r>
      <w:r w:rsidRPr="000F10F6">
        <w:rPr>
          <w:i/>
        </w:rPr>
        <w:t>pro forma</w:t>
      </w:r>
      <w:r>
        <w:t xml:space="preserve"> tariff supplement attached to this Settlement, including all rates, rules and regulations regarding conditions of PAWC’s wastewater service as revised herein, to become effective immediately upon Closing.  The attached </w:t>
      </w:r>
      <w:r w:rsidRPr="000F10F6">
        <w:rPr>
          <w:i/>
        </w:rPr>
        <w:t>pro forma</w:t>
      </w:r>
      <w:r>
        <w:t xml:space="preserve"> tariff supplement incorporates BASA industrial customers into PAWC’s existing IPP tariff and does not exempt any BASA industrial customers from IPP fees.  IPP tariffed fees will be adjusted in the context of future PAWC base rate proceedings. </w:t>
      </w:r>
    </w:p>
    <w:p w14:paraId="09E82007" w14:textId="77777777" w:rsidR="000F10F6" w:rsidRDefault="000F10F6" w:rsidP="004C46C8">
      <w:pPr>
        <w:spacing w:line="240" w:lineRule="auto"/>
        <w:ind w:right="-3"/>
      </w:pPr>
    </w:p>
    <w:p w14:paraId="07F993F5" w14:textId="6C5CA2FB" w:rsidR="00DA0DD8" w:rsidRDefault="00DA0DD8" w:rsidP="004C46C8">
      <w:pPr>
        <w:numPr>
          <w:ilvl w:val="0"/>
          <w:numId w:val="13"/>
        </w:numPr>
        <w:spacing w:line="240" w:lineRule="auto"/>
        <w:ind w:left="1440" w:right="-3" w:firstLine="1440"/>
      </w:pPr>
      <w:r>
        <w:t xml:space="preserve">The Commission direct PAWC, in the first base rate proceeding that includes the BASA System assets, to charge cost-of-service based rates for wastewater service to all entities it serves in the System, including but not limited to the Veterans Administration Hospital, as limited by Paragraph (f)(5) below. </w:t>
      </w:r>
    </w:p>
    <w:p w14:paraId="7C7004FB" w14:textId="77777777" w:rsidR="000F10F6" w:rsidRDefault="000F10F6" w:rsidP="004C46C8">
      <w:pPr>
        <w:spacing w:line="240" w:lineRule="auto"/>
        <w:ind w:left="-5"/>
      </w:pPr>
    </w:p>
    <w:p w14:paraId="61B467FC" w14:textId="49C7DE0F" w:rsidR="0045463B" w:rsidRDefault="00DA0DD8" w:rsidP="004C46C8">
      <w:pPr>
        <w:numPr>
          <w:ilvl w:val="0"/>
          <w:numId w:val="13"/>
        </w:numPr>
        <w:spacing w:after="3" w:line="240" w:lineRule="auto"/>
        <w:ind w:left="1440" w:right="-3" w:firstLine="1440"/>
      </w:pPr>
      <w:r>
        <w:t xml:space="preserve">The Commission direct that, in the first base rate proceeding that includes the BASA System assets: </w:t>
      </w:r>
    </w:p>
    <w:p w14:paraId="4CC1242F" w14:textId="77777777" w:rsidR="004C46C8" w:rsidRDefault="004C46C8" w:rsidP="004C46C8">
      <w:pPr>
        <w:spacing w:after="3" w:line="240" w:lineRule="auto"/>
        <w:ind w:right="-3"/>
      </w:pPr>
    </w:p>
    <w:p w14:paraId="25F76B81" w14:textId="34F018D9" w:rsidR="00DA0DD8" w:rsidRDefault="00DA0DD8" w:rsidP="004C46C8">
      <w:pPr>
        <w:numPr>
          <w:ilvl w:val="1"/>
          <w:numId w:val="13"/>
        </w:numPr>
        <w:spacing w:line="240" w:lineRule="auto"/>
        <w:ind w:left="2160" w:right="-1" w:firstLine="1440"/>
      </w:pPr>
      <w:r>
        <w:t xml:space="preserve">PAWC will submit a cost of service study that removes all costs and revenues associated with the operation of BASA’s System, in accordance with Paragraph (m), below. </w:t>
      </w:r>
    </w:p>
    <w:p w14:paraId="0BD63856" w14:textId="77777777" w:rsidR="004C46C8" w:rsidRDefault="004C46C8" w:rsidP="004C46C8">
      <w:pPr>
        <w:spacing w:line="240" w:lineRule="auto"/>
        <w:ind w:left="3600" w:right="-1"/>
      </w:pPr>
    </w:p>
    <w:p w14:paraId="09FD0EEE" w14:textId="7214EECA" w:rsidR="00DA0DD8" w:rsidRDefault="00DA0DD8" w:rsidP="004C46C8">
      <w:pPr>
        <w:numPr>
          <w:ilvl w:val="1"/>
          <w:numId w:val="13"/>
        </w:numPr>
        <w:spacing w:line="240" w:lineRule="auto"/>
        <w:ind w:left="2160" w:right="-1" w:firstLine="1440"/>
      </w:pPr>
      <w:r>
        <w:t xml:space="preserve">PAWC will provide a separate cost of service study for the BASA System, in accordance with Paragraph (n), below. </w:t>
      </w:r>
    </w:p>
    <w:p w14:paraId="7A056BDD" w14:textId="77777777" w:rsidR="004C46C8" w:rsidRDefault="004C46C8" w:rsidP="004C46C8">
      <w:pPr>
        <w:spacing w:line="240" w:lineRule="auto"/>
        <w:ind w:left="3600" w:right="-1"/>
      </w:pPr>
    </w:p>
    <w:p w14:paraId="46A7CF15" w14:textId="43DFC149" w:rsidR="00DA0DD8" w:rsidRDefault="00DA0DD8" w:rsidP="004C46C8">
      <w:pPr>
        <w:numPr>
          <w:ilvl w:val="1"/>
          <w:numId w:val="13"/>
        </w:numPr>
        <w:spacing w:line="259" w:lineRule="auto"/>
        <w:ind w:left="2160" w:right="-1" w:firstLine="1440"/>
      </w:pPr>
      <w:r>
        <w:t>PAWC will not propose an increase in BASA’s rates if the rates would become effective before the later of: (</w:t>
      </w:r>
      <w:proofErr w:type="spellStart"/>
      <w:r>
        <w:t>i</w:t>
      </w:r>
      <w:proofErr w:type="spellEnd"/>
      <w:r>
        <w:t xml:space="preserve">) the first anniversary of Closing or (ii) January 1, 2025.  </w:t>
      </w:r>
    </w:p>
    <w:p w14:paraId="6B57669B" w14:textId="77777777" w:rsidR="00AE0477" w:rsidRDefault="00AE0477" w:rsidP="00AE0477">
      <w:pPr>
        <w:spacing w:line="259" w:lineRule="auto"/>
        <w:ind w:right="-1"/>
      </w:pPr>
    </w:p>
    <w:p w14:paraId="7803AB63" w14:textId="07989315" w:rsidR="0045463B" w:rsidRDefault="00DA0DD8" w:rsidP="004C46C8">
      <w:pPr>
        <w:numPr>
          <w:ilvl w:val="1"/>
          <w:numId w:val="13"/>
        </w:numPr>
        <w:spacing w:line="265" w:lineRule="auto"/>
        <w:ind w:left="2160" w:right="-1" w:firstLine="1440"/>
      </w:pPr>
      <w:r>
        <w:t>In PAWC’s first base rate case that includes the BASA system</w:t>
      </w:r>
      <w:r w:rsidR="0045463B">
        <w:t xml:space="preserve"> </w:t>
      </w:r>
      <w:r>
        <w:t xml:space="preserve">assets, if PAWC proposes a different effective date for new rates for BASA customers beyond the effective date of new rates for other customers, PAWC will calculate its proof of revenue as if the BASA customers were paying proposed rates without any delay to the effective date.  The Joint Petitioners reserve all rights with respect to the issue of delayed effective dates of rates in subsequent proceedings.  This term should not be construed to limit the Joint Petitioners’ ability to make recommendations in any future PAWC base rate case to bring </w:t>
      </w:r>
      <w:r>
        <w:lastRenderedPageBreak/>
        <w:t xml:space="preserve">customers in systems with delayed effective dates to an appropriate cost of service as though they have paid the tariffed rates without any delay. </w:t>
      </w:r>
    </w:p>
    <w:p w14:paraId="14BC8211" w14:textId="77777777" w:rsidR="004C46C8" w:rsidRDefault="004C46C8" w:rsidP="004C46C8">
      <w:pPr>
        <w:spacing w:line="265" w:lineRule="auto"/>
        <w:ind w:left="3600" w:right="-1"/>
      </w:pPr>
    </w:p>
    <w:p w14:paraId="5638CDA2" w14:textId="756896BE" w:rsidR="00DA0DD8" w:rsidRDefault="00DA0DD8" w:rsidP="004C46C8">
      <w:pPr>
        <w:numPr>
          <w:ilvl w:val="1"/>
          <w:numId w:val="13"/>
        </w:numPr>
        <w:spacing w:line="265" w:lineRule="auto"/>
        <w:ind w:left="2160" w:right="-1" w:firstLine="1440"/>
      </w:pPr>
      <w:r>
        <w:t xml:space="preserve">PAWC will propose to move the System to 1.4x the current System rate or PAWC’s proposed Rate Zone 1 system-average wastewater rates, whichever is lower, upon the later of (a) the first anniversary of Closing or (b) January 1, 2025. </w:t>
      </w:r>
    </w:p>
    <w:p w14:paraId="6D2F8979" w14:textId="77777777" w:rsidR="004C46C8" w:rsidRDefault="004C46C8" w:rsidP="004C46C8">
      <w:pPr>
        <w:spacing w:line="265" w:lineRule="auto"/>
        <w:ind w:right="-1"/>
      </w:pPr>
    </w:p>
    <w:p w14:paraId="0E13FB76" w14:textId="4AB294E2" w:rsidR="00DA0DD8" w:rsidRDefault="00DA0DD8" w:rsidP="004C46C8">
      <w:pPr>
        <w:numPr>
          <w:ilvl w:val="1"/>
          <w:numId w:val="13"/>
        </w:numPr>
        <w:spacing w:line="265" w:lineRule="auto"/>
        <w:ind w:left="2160" w:right="-1" w:firstLine="1440"/>
      </w:pPr>
      <w:r>
        <w:t xml:space="preserve">PAWC may agree to rates other than those proposed for System customers in the context of a settlement of the base rate case. </w:t>
      </w:r>
    </w:p>
    <w:p w14:paraId="56A1FDA2" w14:textId="77777777" w:rsidR="004C46C8" w:rsidRDefault="004C46C8" w:rsidP="004C46C8">
      <w:pPr>
        <w:spacing w:line="265" w:lineRule="auto"/>
        <w:ind w:right="-1"/>
      </w:pPr>
    </w:p>
    <w:p w14:paraId="0ACB6D5A" w14:textId="4EE75609" w:rsidR="00DA0DD8" w:rsidRDefault="00DA0DD8" w:rsidP="004C46C8">
      <w:pPr>
        <w:numPr>
          <w:ilvl w:val="1"/>
          <w:numId w:val="13"/>
        </w:numPr>
        <w:spacing w:line="265" w:lineRule="auto"/>
        <w:ind w:left="2160" w:right="-1" w:firstLine="1440"/>
      </w:pPr>
      <w:r>
        <w:t xml:space="preserve">OCA, I&amp;E, and OSBA reserve their rights to address PAWC’s rate proposals fully, and to make other rate proposals.  The Joint Petitioners expressly recognize the Commission’s ultimate ratemaking authority to set just and reasonable rates and, notwithstanding anything to the contrary contained in this Paragraph (f), may enter into a settlement of the base rate case, whether full or partial and whether unanimous or non-unanimous, on reasonable terms and conditions. </w:t>
      </w:r>
    </w:p>
    <w:p w14:paraId="7B04E6E7" w14:textId="77777777" w:rsidR="004C46C8" w:rsidRDefault="004C46C8" w:rsidP="004C46C8">
      <w:pPr>
        <w:spacing w:line="265" w:lineRule="auto"/>
        <w:ind w:right="-1"/>
      </w:pPr>
    </w:p>
    <w:p w14:paraId="5269F459" w14:textId="29A3373E" w:rsidR="00DA0DD8" w:rsidRDefault="00DA0DD8" w:rsidP="004C46C8">
      <w:pPr>
        <w:numPr>
          <w:ilvl w:val="1"/>
          <w:numId w:val="13"/>
        </w:numPr>
        <w:spacing w:line="265" w:lineRule="auto"/>
        <w:ind w:left="2160" w:right="-1" w:firstLine="1440"/>
      </w:pPr>
      <w:r>
        <w:t xml:space="preserve">The rate at closing for System residential wastewater customers with an average usage of 3,212 gallons per month is approximately $45.50. </w:t>
      </w:r>
    </w:p>
    <w:p w14:paraId="403F3B0F" w14:textId="77777777" w:rsidR="004C46C8" w:rsidRDefault="004C46C8" w:rsidP="004C46C8">
      <w:pPr>
        <w:spacing w:line="265" w:lineRule="auto"/>
        <w:ind w:right="-1"/>
      </w:pPr>
    </w:p>
    <w:p w14:paraId="4F67C08A" w14:textId="1F0FD280" w:rsidR="00DA0DD8" w:rsidRDefault="00DA0DD8" w:rsidP="004C46C8">
      <w:pPr>
        <w:numPr>
          <w:ilvl w:val="1"/>
          <w:numId w:val="13"/>
        </w:numPr>
        <w:spacing w:line="259" w:lineRule="auto"/>
        <w:ind w:left="2160" w:right="-1" w:firstLine="1440"/>
      </w:pPr>
      <w:r>
        <w:t xml:space="preserve">The current rate for PAWC residential Rate Zone 1 wastewater customers with an average usage of 3,212 gallons per month is approximately $106.00. </w:t>
      </w:r>
    </w:p>
    <w:p w14:paraId="1D8BA0B2" w14:textId="77777777" w:rsidR="004C46C8" w:rsidRDefault="004C46C8" w:rsidP="004C46C8">
      <w:pPr>
        <w:spacing w:line="259" w:lineRule="auto"/>
        <w:ind w:right="-1"/>
      </w:pPr>
    </w:p>
    <w:p w14:paraId="1FBD02DC" w14:textId="495BC20E" w:rsidR="00DA0DD8" w:rsidRDefault="00DA0DD8" w:rsidP="004C46C8">
      <w:pPr>
        <w:numPr>
          <w:ilvl w:val="0"/>
          <w:numId w:val="13"/>
        </w:numPr>
        <w:spacing w:after="255" w:line="259" w:lineRule="auto"/>
        <w:ind w:left="1440" w:right="-3" w:firstLine="1440"/>
      </w:pPr>
      <w:r>
        <w:t xml:space="preserve">The Commission permit PAWC to use $228,000,000 for ratemaking rate base purposes for the acquired System, pursuant to 66 Pa. C.S. § 1329(c). </w:t>
      </w:r>
    </w:p>
    <w:p w14:paraId="36298966" w14:textId="4B79B58A" w:rsidR="00DA0DD8" w:rsidRDefault="00DA0DD8" w:rsidP="004C46C8">
      <w:pPr>
        <w:numPr>
          <w:ilvl w:val="0"/>
          <w:numId w:val="13"/>
        </w:numPr>
        <w:spacing w:line="259" w:lineRule="auto"/>
        <w:ind w:left="1440" w:right="-3" w:firstLine="1440"/>
      </w:pPr>
      <w:r>
        <w:t xml:space="preserve">The Commission permit PAWC to record the acquisition at the net value of the assets ($228,000,000), pursuant to 66 Pa. C.S. § 1702 . </w:t>
      </w:r>
    </w:p>
    <w:p w14:paraId="63E30BF4" w14:textId="77777777" w:rsidR="004C46C8" w:rsidRDefault="004C46C8" w:rsidP="004C46C8">
      <w:pPr>
        <w:spacing w:line="259" w:lineRule="auto"/>
        <w:ind w:left="2880" w:right="-3"/>
      </w:pPr>
    </w:p>
    <w:p w14:paraId="09858A3F" w14:textId="482888CC" w:rsidR="00DA0DD8" w:rsidRDefault="00DA0DD8" w:rsidP="004C46C8">
      <w:pPr>
        <w:numPr>
          <w:ilvl w:val="0"/>
          <w:numId w:val="13"/>
        </w:numPr>
        <w:spacing w:line="259" w:lineRule="auto"/>
        <w:ind w:left="1440" w:right="-3" w:firstLine="1440"/>
      </w:pPr>
      <w:r>
        <w:t>The Commission not permit PAWC to include System-related investments in its distribution system improvement charge (“DSIC”) until PAWC collects a DSIC from System customers.  PAWC shall be permitted to collect a DSIC from System customers upon (</w:t>
      </w:r>
      <w:proofErr w:type="spellStart"/>
      <w:r>
        <w:t>i</w:t>
      </w:r>
      <w:proofErr w:type="spellEnd"/>
      <w:r>
        <w:t xml:space="preserve">) PAWC’s filing of an amended wastewater Long-Term Infrastructure Improvement Plan (“Amended LTIIP”) including the System, which does not re-prioritize other </w:t>
      </w:r>
      <w:r>
        <w:lastRenderedPageBreak/>
        <w:t xml:space="preserve">existing commitments in other service areas, (ii) the Commission’s approval of the Amended LTIIP, as may be modified in the discretion of the Commission, and (iii) PAWC’s filing of a compliance tariff supplement which incorporates the System and all other systems included in the amended LTIIP into PAWC’s DSIC tariff, including all customer safeguards applicable thereto, no later than the next quarterly DSIC filing after Commission approval of the Amended LTIIP. </w:t>
      </w:r>
    </w:p>
    <w:p w14:paraId="6BC9BFA5" w14:textId="77777777" w:rsidR="004C46C8" w:rsidRDefault="004C46C8" w:rsidP="004C46C8">
      <w:pPr>
        <w:spacing w:line="259" w:lineRule="auto"/>
        <w:ind w:right="-3"/>
      </w:pPr>
    </w:p>
    <w:p w14:paraId="4222307E" w14:textId="244BC4E0" w:rsidR="00DA0DD8" w:rsidRDefault="00DA0DD8" w:rsidP="004C46C8">
      <w:pPr>
        <w:numPr>
          <w:ilvl w:val="0"/>
          <w:numId w:val="13"/>
        </w:numPr>
        <w:spacing w:line="259" w:lineRule="auto"/>
        <w:ind w:left="1440" w:right="-3" w:firstLine="1440"/>
      </w:pPr>
      <w:r>
        <w:t>The Commission permit PAWC to:  (</w:t>
      </w:r>
      <w:proofErr w:type="spellStart"/>
      <w:r>
        <w:t>i</w:t>
      </w:r>
      <w:proofErr w:type="spellEnd"/>
      <w:r>
        <w:t xml:space="preserve">) accrue Allowance for Funds Used During Construction (“AFUDC”) for post-acquisition improvements not recovered through the DSIC for book and ratemaking purposes and (ii) defer depreciation related to post acquisition improvements not recovered through the DSIC for book and ratemaking purposes.  Any claims for AFUDC and deferred depreciation related to post-acquisition improvements not recovered through the DSIC for book and ratemaking purposes will be addressed in PAWC’s first base rate case which includes System assets.  The Joint Petitioners reserve their rights to litigate their positions fully in future rate cases when these issues are ripe for review.  The Joint Petitioners’ assent to this term should not be construed to operate as their preapproval of PAWC’s requests. </w:t>
      </w:r>
    </w:p>
    <w:p w14:paraId="697FDC8B" w14:textId="77777777" w:rsidR="004C46C8" w:rsidRDefault="004C46C8" w:rsidP="004C46C8">
      <w:pPr>
        <w:spacing w:line="259" w:lineRule="auto"/>
        <w:ind w:right="-3"/>
      </w:pPr>
    </w:p>
    <w:p w14:paraId="24D4C1CC" w14:textId="2FB08893" w:rsidR="00DA0DD8" w:rsidRDefault="00DA0DD8" w:rsidP="004C46C8">
      <w:pPr>
        <w:numPr>
          <w:ilvl w:val="0"/>
          <w:numId w:val="13"/>
        </w:numPr>
        <w:spacing w:line="259" w:lineRule="auto"/>
        <w:ind w:left="1440" w:right="-3" w:firstLine="1440"/>
      </w:pPr>
      <w:r>
        <w:t xml:space="preserve">The Commission permit PAWC to claim transaction and closing costs associated with the acquisition of the System in its first base rate case that includes the System assets.  The Joint Petitioners reserve their rights to litigate their positions fully in future rate cases when this issue is ripe for review.  The Joint Petitioners’ assent to this term should not be construed to operate as their preapproval of PAWC’s request.   </w:t>
      </w:r>
    </w:p>
    <w:p w14:paraId="5B467D8D" w14:textId="77777777" w:rsidR="004C46C8" w:rsidRDefault="004C46C8" w:rsidP="004C46C8">
      <w:pPr>
        <w:spacing w:line="259" w:lineRule="auto"/>
        <w:ind w:right="-3"/>
      </w:pPr>
    </w:p>
    <w:p w14:paraId="64BE4DD9" w14:textId="541A5F93" w:rsidR="00DA0DD8" w:rsidRDefault="00DA0DD8" w:rsidP="004C46C8">
      <w:pPr>
        <w:numPr>
          <w:ilvl w:val="1"/>
          <w:numId w:val="13"/>
        </w:numPr>
        <w:spacing w:line="259" w:lineRule="auto"/>
        <w:ind w:left="2160" w:right="-1" w:firstLine="1440"/>
      </w:pPr>
      <w:r>
        <w:t xml:space="preserve">The inclusion of outside legal fees, if any, in PAWC’s transaction and closing costs under the Asset Purchase Agreement shall be separately identified in PAWC’s next base rate case, and OCA, I&amp;E and OSBA reserve the right to challenge the reasonableness, prudency, and basis for such fees.   </w:t>
      </w:r>
    </w:p>
    <w:p w14:paraId="46683EA6" w14:textId="736F9378" w:rsidR="00DA0DD8" w:rsidRDefault="00DA0DD8" w:rsidP="004C46C8">
      <w:pPr>
        <w:numPr>
          <w:ilvl w:val="1"/>
          <w:numId w:val="13"/>
        </w:numPr>
        <w:spacing w:line="259" w:lineRule="auto"/>
        <w:ind w:left="2160" w:right="-1" w:firstLine="1440"/>
      </w:pPr>
      <w:r>
        <w:t xml:space="preserve">Any claim by PAWC to recover transaction and closing costs associated with the Transaction will not include costs incurred by BASA.  </w:t>
      </w:r>
    </w:p>
    <w:p w14:paraId="3733AA45" w14:textId="77777777" w:rsidR="004C46C8" w:rsidRDefault="004C46C8" w:rsidP="004C46C8">
      <w:pPr>
        <w:spacing w:line="259" w:lineRule="auto"/>
        <w:ind w:left="3600" w:right="-1"/>
      </w:pPr>
    </w:p>
    <w:p w14:paraId="13298449" w14:textId="4760D062" w:rsidR="00DA0DD8" w:rsidRDefault="00DA0DD8" w:rsidP="004C46C8">
      <w:pPr>
        <w:numPr>
          <w:ilvl w:val="0"/>
          <w:numId w:val="13"/>
        </w:numPr>
        <w:spacing w:line="259" w:lineRule="auto"/>
        <w:ind w:left="1440" w:right="-3" w:firstLine="1440"/>
      </w:pPr>
      <w:r>
        <w:t xml:space="preserve">The Commission, pursuant to 66 Pa. C.S. § 507, issue a Certificate of Filing or approvals for the following agreements between PAWC and a municipal corporation: </w:t>
      </w:r>
    </w:p>
    <w:p w14:paraId="04730942" w14:textId="77777777" w:rsidR="004C46C8" w:rsidRDefault="004C46C8" w:rsidP="004C46C8">
      <w:pPr>
        <w:spacing w:line="259" w:lineRule="auto"/>
        <w:ind w:left="2880" w:right="-3"/>
      </w:pPr>
    </w:p>
    <w:p w14:paraId="3AC4A5EF" w14:textId="77777777" w:rsidR="00DA0DD8" w:rsidRDefault="00DA0DD8" w:rsidP="004C46C8">
      <w:pPr>
        <w:numPr>
          <w:ilvl w:val="1"/>
          <w:numId w:val="13"/>
        </w:numPr>
        <w:spacing w:line="240" w:lineRule="auto"/>
        <w:ind w:left="2160" w:right="-1" w:firstLine="1440"/>
      </w:pPr>
      <w:r>
        <w:t xml:space="preserve">The Asset Purchase Agreement By and Among Butler Area Sewer Authority, as Seller, and Pennsylvania-American </w:t>
      </w:r>
      <w:r>
        <w:lastRenderedPageBreak/>
        <w:t xml:space="preserve">Water Company, as Buyer, Dated as of October 11, 2022, and the First Amendment thereto;  </w:t>
      </w:r>
    </w:p>
    <w:p w14:paraId="12DB8A61" w14:textId="77777777" w:rsidR="004C46C8" w:rsidRDefault="004C46C8" w:rsidP="004C46C8">
      <w:pPr>
        <w:spacing w:line="240" w:lineRule="auto"/>
        <w:ind w:left="3600" w:right="-1"/>
      </w:pPr>
    </w:p>
    <w:p w14:paraId="3362B14C" w14:textId="497620E1" w:rsidR="00DA0DD8" w:rsidRDefault="00DA0DD8" w:rsidP="004C46C8">
      <w:pPr>
        <w:numPr>
          <w:ilvl w:val="1"/>
          <w:numId w:val="13"/>
        </w:numPr>
        <w:spacing w:line="259" w:lineRule="auto"/>
        <w:ind w:left="2160" w:right="-1" w:firstLine="1440"/>
      </w:pPr>
      <w:r>
        <w:t xml:space="preserve">The Water Pollution Control Agreement for Central Butler County between City of Butler, Township of Butler, Township of Center, Township of Summit, Borough of East Butler, Deshon Area Sanitary Disposal and Sewer Authority, East Butler Borough Sewer Authority, East Butler Borough Sewer Authority, Meridian Water and Sewer Authority, Municipal Water and Sewer Authority of Center Township and Butler Area Sewer Authority dated as of February 20, 1974;    </w:t>
      </w:r>
    </w:p>
    <w:p w14:paraId="5ABF4851" w14:textId="77777777" w:rsidR="004C46C8" w:rsidRDefault="004C46C8" w:rsidP="004C46C8">
      <w:pPr>
        <w:spacing w:line="259" w:lineRule="auto"/>
        <w:ind w:right="-1"/>
      </w:pPr>
    </w:p>
    <w:p w14:paraId="4D9A8CAD" w14:textId="5593F9B7" w:rsidR="00DA0DD8" w:rsidRDefault="00DA0DD8" w:rsidP="004C46C8">
      <w:pPr>
        <w:numPr>
          <w:ilvl w:val="1"/>
          <w:numId w:val="13"/>
        </w:numPr>
        <w:spacing w:line="259" w:lineRule="auto"/>
        <w:ind w:left="2160" w:right="-1" w:firstLine="1440"/>
      </w:pPr>
      <w:r>
        <w:t xml:space="preserve">The Service Agreement between the Township of Oakland and Butler Area Sewer Authority for the Service Area along Route 38 dated March 7, 1994; and </w:t>
      </w:r>
    </w:p>
    <w:p w14:paraId="270E5FA2" w14:textId="77777777" w:rsidR="004C46C8" w:rsidRDefault="004C46C8" w:rsidP="004C46C8">
      <w:pPr>
        <w:spacing w:line="259" w:lineRule="auto"/>
        <w:ind w:right="-1"/>
      </w:pPr>
    </w:p>
    <w:p w14:paraId="36DBFA06" w14:textId="4B65CC5A" w:rsidR="00DA0DD8" w:rsidRDefault="00DA0DD8" w:rsidP="00962560">
      <w:pPr>
        <w:numPr>
          <w:ilvl w:val="1"/>
          <w:numId w:val="13"/>
        </w:numPr>
        <w:spacing w:line="259" w:lineRule="auto"/>
        <w:ind w:left="2160" w:right="-1" w:firstLine="1440"/>
      </w:pPr>
      <w:r>
        <w:t xml:space="preserve">The Service Agreement between the Township of </w:t>
      </w:r>
      <w:proofErr w:type="spellStart"/>
      <w:r>
        <w:t>Connoquenessing</w:t>
      </w:r>
      <w:proofErr w:type="spellEnd"/>
      <w:r>
        <w:t xml:space="preserve"> and Butler Area Sewer Authority for Cupps Road Service Area dated April 3, 1995.    </w:t>
      </w:r>
    </w:p>
    <w:p w14:paraId="57F9DD28" w14:textId="77777777" w:rsidR="00962560" w:rsidRDefault="00962560" w:rsidP="00962560">
      <w:pPr>
        <w:spacing w:line="259" w:lineRule="auto"/>
        <w:ind w:right="-1"/>
      </w:pPr>
    </w:p>
    <w:p w14:paraId="7643849C" w14:textId="309C74A7" w:rsidR="00DA0DD8" w:rsidRDefault="00DA0DD8" w:rsidP="00962560">
      <w:pPr>
        <w:numPr>
          <w:ilvl w:val="1"/>
          <w:numId w:val="13"/>
        </w:numPr>
        <w:spacing w:line="265" w:lineRule="auto"/>
        <w:ind w:left="2160" w:right="-1" w:firstLine="1440"/>
      </w:pPr>
      <w:r>
        <w:t xml:space="preserve">Service Agreement between the Township of </w:t>
      </w:r>
      <w:proofErr w:type="spellStart"/>
      <w:r>
        <w:t>Connoquenessing</w:t>
      </w:r>
      <w:proofErr w:type="spellEnd"/>
      <w:r>
        <w:t xml:space="preserve"> and Butler Area Sewer Authority for </w:t>
      </w:r>
      <w:proofErr w:type="spellStart"/>
      <w:r>
        <w:t>Winterwood</w:t>
      </w:r>
      <w:proofErr w:type="spellEnd"/>
      <w:r>
        <w:t xml:space="preserve"> Drive Service Area dated December 14, 2005. </w:t>
      </w:r>
    </w:p>
    <w:p w14:paraId="2DCEE67A" w14:textId="77777777" w:rsidR="00962560" w:rsidRDefault="00962560" w:rsidP="00962560">
      <w:pPr>
        <w:spacing w:line="265" w:lineRule="auto"/>
        <w:ind w:right="-1"/>
      </w:pPr>
    </w:p>
    <w:p w14:paraId="17435A92" w14:textId="77777777" w:rsidR="00DA0DD8" w:rsidRDefault="00DA0DD8" w:rsidP="00962560">
      <w:pPr>
        <w:numPr>
          <w:ilvl w:val="0"/>
          <w:numId w:val="13"/>
        </w:numPr>
        <w:spacing w:line="240" w:lineRule="auto"/>
        <w:ind w:left="1440" w:right="-3" w:firstLine="1440"/>
      </w:pPr>
      <w:r>
        <w:t xml:space="preserve">The Commission direct PAWC, in the first base rate case that includes the System’s assets, to submit a cost of service study that removes all costs and revenues associated with the operation of the System. </w:t>
      </w:r>
    </w:p>
    <w:p w14:paraId="4F3F4DCF" w14:textId="77777777" w:rsidR="00962560" w:rsidRDefault="00962560" w:rsidP="00962560">
      <w:pPr>
        <w:spacing w:line="240" w:lineRule="auto"/>
        <w:ind w:left="2880" w:right="-3"/>
      </w:pPr>
    </w:p>
    <w:p w14:paraId="3F65E04F" w14:textId="3830FC4B" w:rsidR="00DA0DD8" w:rsidRDefault="00DA0DD8" w:rsidP="00962560">
      <w:pPr>
        <w:numPr>
          <w:ilvl w:val="0"/>
          <w:numId w:val="13"/>
        </w:numPr>
        <w:spacing w:line="259" w:lineRule="auto"/>
        <w:ind w:left="1530" w:right="-3" w:firstLine="1350"/>
      </w:pPr>
      <w:r>
        <w:t xml:space="preserve">The Commission also direct PAWC, in the first base rate case that includes the System’s assets, to provide a separate cost of service study for the System consistent with typically filed ratemaking exhibits including, but not limited to, the following:  Rate Base (Measures of Value), Statement of Operating Income, Proof of Revenue, and Rate of Return, which correspond to the applicable test year, future test year, and fully projected future test year measurement periods.   </w:t>
      </w:r>
    </w:p>
    <w:p w14:paraId="15F643D6" w14:textId="77777777" w:rsidR="00962560" w:rsidRDefault="00962560" w:rsidP="00962560">
      <w:pPr>
        <w:spacing w:line="259" w:lineRule="auto"/>
        <w:ind w:right="-3"/>
      </w:pPr>
    </w:p>
    <w:p w14:paraId="195E1476" w14:textId="77777777" w:rsidR="00962560" w:rsidRDefault="00DA0DD8" w:rsidP="00962560">
      <w:pPr>
        <w:numPr>
          <w:ilvl w:val="0"/>
          <w:numId w:val="13"/>
        </w:numPr>
        <w:spacing w:line="240" w:lineRule="auto"/>
        <w:ind w:left="1440" w:right="-3" w:firstLine="1440"/>
      </w:pPr>
      <w:r>
        <w:t>The Commission direct that, when PAWC provides customer notice in its first base rate case that includes the BASA system, PAWC shall provide notice to customers in the BASA system consistent with the rates agreed to be proposed in Ordering Paragraph (f)(5), above.</w:t>
      </w:r>
    </w:p>
    <w:p w14:paraId="4943A30C" w14:textId="77777777" w:rsidR="00962560" w:rsidRDefault="00962560" w:rsidP="00962560">
      <w:pPr>
        <w:pStyle w:val="ListParagraph"/>
        <w:spacing w:line="240" w:lineRule="auto"/>
      </w:pPr>
    </w:p>
    <w:p w14:paraId="114BA0C5" w14:textId="2FDBABE4" w:rsidR="00DA0DD8" w:rsidRDefault="00DA0DD8" w:rsidP="00962560">
      <w:pPr>
        <w:numPr>
          <w:ilvl w:val="0"/>
          <w:numId w:val="13"/>
        </w:numPr>
        <w:spacing w:line="259" w:lineRule="auto"/>
        <w:ind w:left="1440" w:right="-3" w:firstLine="1440"/>
      </w:pPr>
      <w:r>
        <w:t xml:space="preserve">The Commission direct PAWC, within the first billing cycle following Closing, to include a bill insert to System customers regarding its low income programs and include such information in a welcome letter to </w:t>
      </w:r>
      <w:r>
        <w:lastRenderedPageBreak/>
        <w:t xml:space="preserve">System customers.  The bill insert and welcome letter shall include, at a minimum, a description of the available low income programs, eligibility requirements for participation in the programs, and PAWC’s contact information.  PAWC will also automatically enroll any BASA wastewater customers, who are PAWC water customers enrolled in PAWC’s water low income programs, in PAWC’s wastewater low-income programs following Closing.  </w:t>
      </w:r>
    </w:p>
    <w:p w14:paraId="22C81818" w14:textId="77777777" w:rsidR="00962560" w:rsidRDefault="00962560" w:rsidP="00962560">
      <w:pPr>
        <w:spacing w:line="259" w:lineRule="auto"/>
        <w:ind w:right="-3"/>
      </w:pPr>
    </w:p>
    <w:p w14:paraId="1D635A3E" w14:textId="77777777" w:rsidR="00DA0DD8" w:rsidRDefault="00DA0DD8" w:rsidP="00962560">
      <w:pPr>
        <w:numPr>
          <w:ilvl w:val="0"/>
          <w:numId w:val="14"/>
        </w:numPr>
        <w:spacing w:line="240" w:lineRule="auto"/>
        <w:ind w:firstLine="1440"/>
      </w:pPr>
      <w:r>
        <w:t xml:space="preserve">The Commission direct PAWC to send the welcome letter within the first 30 days of closing and to also include information about payment options (including low-income programs, eligibility requirements, and PAWC contact information), free places to pay, and </w:t>
      </w:r>
      <w:proofErr w:type="spellStart"/>
      <w:r>
        <w:t>inperson</w:t>
      </w:r>
      <w:proofErr w:type="spellEnd"/>
      <w:r>
        <w:t xml:space="preserve"> bill payment locations reasonably proximate to the areas served by the BASA system. </w:t>
      </w:r>
    </w:p>
    <w:p w14:paraId="06348C8D" w14:textId="77777777" w:rsidR="00962560" w:rsidRDefault="00962560" w:rsidP="00962560">
      <w:pPr>
        <w:spacing w:line="240" w:lineRule="auto"/>
        <w:ind w:left="2880"/>
      </w:pPr>
    </w:p>
    <w:p w14:paraId="23849410" w14:textId="1906915D" w:rsidR="00DA0DD8" w:rsidRDefault="00DA0DD8" w:rsidP="004C46C8">
      <w:pPr>
        <w:numPr>
          <w:ilvl w:val="0"/>
          <w:numId w:val="14"/>
        </w:numPr>
        <w:spacing w:line="259" w:lineRule="auto"/>
        <w:ind w:firstLine="1440"/>
      </w:pPr>
      <w:r>
        <w:t xml:space="preserve">The Commission direct PAWC to work with community-based organizations with offices local to the areas served by the System for purposes of providing information and enrolling customers in PAWC’s customer-assistance programs.  PAWC will include this information in the welcome letter referenced in the previous paragraph. </w:t>
      </w:r>
    </w:p>
    <w:p w14:paraId="1A6DB5DE" w14:textId="77777777" w:rsidR="00962560" w:rsidRDefault="00962560" w:rsidP="00962560">
      <w:pPr>
        <w:spacing w:line="259" w:lineRule="auto"/>
      </w:pPr>
    </w:p>
    <w:p w14:paraId="5E97A6B1" w14:textId="0B63B38C" w:rsidR="00DA0DD8" w:rsidRDefault="00DA0DD8" w:rsidP="004C46C8">
      <w:pPr>
        <w:numPr>
          <w:ilvl w:val="0"/>
          <w:numId w:val="14"/>
        </w:numPr>
        <w:spacing w:line="259" w:lineRule="auto"/>
        <w:ind w:firstLine="1440"/>
      </w:pPr>
      <w:r>
        <w:t xml:space="preserve">Effective on and after closing, PAWC will increase eligibility for hardship grants from 200% to 250% of Federal Poverty Income Guidelines (“FPIG”) for all existing PAWC customers and all newly acquired customers from the BASA System.  All parties reserve the right to re-evaluate the appropriate eligibility for hardship grants in a future base rate case filed after five (5) years following Closing. </w:t>
      </w:r>
    </w:p>
    <w:p w14:paraId="5D350396" w14:textId="77777777" w:rsidR="00962560" w:rsidRDefault="00962560" w:rsidP="00962560">
      <w:pPr>
        <w:spacing w:line="259" w:lineRule="auto"/>
      </w:pPr>
    </w:p>
    <w:p w14:paraId="650BAF13" w14:textId="77DE7F1C" w:rsidR="00DA0DD8" w:rsidRDefault="00DA0DD8" w:rsidP="004C46C8">
      <w:pPr>
        <w:numPr>
          <w:ilvl w:val="0"/>
          <w:numId w:val="14"/>
        </w:numPr>
        <w:spacing w:line="265" w:lineRule="auto"/>
        <w:ind w:firstLine="1440"/>
      </w:pPr>
      <w:r>
        <w:t xml:space="preserve">The Commission direct PAWC to contribute $700,000 annually to the Company’s hardship grant program for the five (5) years following Closing ($3,500,000 total), in addition to existing commitments and any commitments made in a future base rate case.  These contributions shall not be recovered in rates.  All unspent funds at the end of the program year will be rolled over and added to the budget for the hardship grant program in the following year(s).  </w:t>
      </w:r>
    </w:p>
    <w:p w14:paraId="51C524FC" w14:textId="77777777" w:rsidR="00962560" w:rsidRDefault="00962560" w:rsidP="00962560">
      <w:pPr>
        <w:spacing w:line="265" w:lineRule="auto"/>
      </w:pPr>
    </w:p>
    <w:p w14:paraId="50F51EA7" w14:textId="56AA3647" w:rsidR="00DA0DD8" w:rsidRDefault="00DA0DD8" w:rsidP="004C46C8">
      <w:pPr>
        <w:numPr>
          <w:ilvl w:val="0"/>
          <w:numId w:val="14"/>
        </w:numPr>
        <w:spacing w:line="265" w:lineRule="auto"/>
        <w:ind w:firstLine="1440"/>
      </w:pPr>
      <w:r>
        <w:t xml:space="preserve">The Commission require PAWC and BASA to: (1) identify all missing easements including public rights-of-way and other property rights; (2) take any and all necessary actions to obtain the missing easements and other property rights so that they may be conveyed to PAWC at closing; and (3) BASA shall bear all costs and expenses for obtaining and conveying the missing easements and other property rights. </w:t>
      </w:r>
    </w:p>
    <w:p w14:paraId="4F344C5A" w14:textId="77777777" w:rsidR="00962560" w:rsidRDefault="00962560" w:rsidP="00962560">
      <w:pPr>
        <w:spacing w:line="265" w:lineRule="auto"/>
      </w:pPr>
    </w:p>
    <w:p w14:paraId="0260E805" w14:textId="5FBE7F9E" w:rsidR="00DA0DD8" w:rsidRDefault="00DA0DD8" w:rsidP="004C46C8">
      <w:pPr>
        <w:numPr>
          <w:ilvl w:val="0"/>
          <w:numId w:val="14"/>
        </w:numPr>
        <w:spacing w:line="265" w:lineRule="auto"/>
        <w:ind w:firstLine="1440"/>
      </w:pPr>
      <w:r>
        <w:lastRenderedPageBreak/>
        <w:t>The Commission permit PAWC and BASA, at their discretion, to close the transaction without the transfer of missing easements and other property rights, if for any circumstances beyond BASA’s control, it is unable to transfer all missing easements (including public rights-of-way and other property rights) before or at the closing of the transaction, provided that an escrow account be established as set forth in the APA in which BASA will fund an easement escrow fund in the amount of $2,000 for each missing easement.</w:t>
      </w:r>
    </w:p>
    <w:p w14:paraId="760FC870" w14:textId="77777777" w:rsidR="00962560" w:rsidRDefault="00962560" w:rsidP="00962560">
      <w:pPr>
        <w:spacing w:line="265" w:lineRule="auto"/>
      </w:pPr>
    </w:p>
    <w:p w14:paraId="712B69BE" w14:textId="5805099A" w:rsidR="00DA0DD8" w:rsidRDefault="00DA0DD8" w:rsidP="004C46C8">
      <w:pPr>
        <w:numPr>
          <w:ilvl w:val="0"/>
          <w:numId w:val="14"/>
        </w:numPr>
        <w:spacing w:line="265" w:lineRule="auto"/>
        <w:ind w:firstLine="1440"/>
      </w:pPr>
      <w:r>
        <w:t xml:space="preserve">The Commission direct PAWC, at Closing, to implement a formal program for payment arrangements for commercial customers, including eligibility and payment terms. </w:t>
      </w:r>
    </w:p>
    <w:p w14:paraId="2913F269" w14:textId="77777777" w:rsidR="00962560" w:rsidRDefault="00962560" w:rsidP="00962560">
      <w:pPr>
        <w:spacing w:line="265" w:lineRule="auto"/>
      </w:pPr>
    </w:p>
    <w:p w14:paraId="281E4780" w14:textId="62E09E6D" w:rsidR="003626CB" w:rsidRDefault="00DA0DD8" w:rsidP="004C46C8">
      <w:pPr>
        <w:numPr>
          <w:ilvl w:val="0"/>
          <w:numId w:val="14"/>
        </w:numPr>
        <w:spacing w:line="265" w:lineRule="auto"/>
        <w:ind w:firstLine="1440"/>
      </w:pPr>
      <w:r>
        <w:t xml:space="preserve">The Commission issue any other approvals or certificates appropriate, customary, or necessary under the Pennsylvania Public Utility Code to carry out the transactions contemplated in the Application in a lawful manner. </w:t>
      </w:r>
    </w:p>
    <w:p w14:paraId="0D1D9DEE" w14:textId="6B854A24" w:rsidR="00DA0DD8" w:rsidRDefault="00DA0DD8" w:rsidP="004C46C8">
      <w:pPr>
        <w:tabs>
          <w:tab w:val="center" w:pos="4678"/>
          <w:tab w:val="center" w:pos="9170"/>
        </w:tabs>
        <w:spacing w:line="259" w:lineRule="auto"/>
      </w:pPr>
      <w:r>
        <w:rPr>
          <w:rFonts w:ascii="Calibri" w:eastAsia="Calibri" w:hAnsi="Calibri" w:cs="Calibri"/>
          <w:sz w:val="22"/>
        </w:rPr>
        <w:tab/>
      </w:r>
    </w:p>
    <w:p w14:paraId="6F7BB477" w14:textId="77777777" w:rsidR="003626CB" w:rsidRDefault="003626CB" w:rsidP="003626CB">
      <w:pPr>
        <w:spacing w:line="259" w:lineRule="auto"/>
      </w:pPr>
      <w:r>
        <w:br w:type="page"/>
      </w:r>
    </w:p>
    <w:p w14:paraId="77C73349" w14:textId="77777777" w:rsidR="003626CB" w:rsidRDefault="003626CB" w:rsidP="003626CB">
      <w:pPr>
        <w:spacing w:line="259" w:lineRule="auto"/>
        <w:sectPr w:rsidR="003626CB" w:rsidSect="00D62A3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642" w:bottom="1440" w:left="1457" w:header="720" w:footer="720" w:gutter="0"/>
          <w:cols w:space="346"/>
        </w:sectPr>
      </w:pPr>
    </w:p>
    <w:p w14:paraId="49766090" w14:textId="77777777" w:rsidR="006F27EB" w:rsidRPr="006F27EB" w:rsidRDefault="006F27EB" w:rsidP="006F27EB">
      <w:pPr>
        <w:autoSpaceDE w:val="0"/>
        <w:autoSpaceDN w:val="0"/>
        <w:adjustRightInd w:val="0"/>
        <w:spacing w:line="240" w:lineRule="auto"/>
        <w:rPr>
          <w:b/>
          <w:u w:val="single"/>
        </w:rPr>
      </w:pPr>
      <w:r w:rsidRPr="006F27EB">
        <w:rPr>
          <w:rFonts w:eastAsia="Microsoft Sans Serif"/>
          <w:b/>
          <w:u w:val="single"/>
        </w:rPr>
        <w:lastRenderedPageBreak/>
        <w:t xml:space="preserve">A-2022-3037047 - </w:t>
      </w:r>
      <w:r w:rsidRPr="006F27EB">
        <w:rPr>
          <w:b/>
          <w:u w:val="single"/>
        </w:rPr>
        <w:t>APPLICATION OF PENNSYLVANIA-AMERICAN  WATER COMPANY’S - WASTEWATER SECTION 1329 OF THE PENNSYLVANIA PUBLIC UTILITY CODE, 66 PA. C.S.§ 1329, FOR THE ACQUISITION OF BUTLER AREA SEWER AUTHORITY'S WASTEWATER SYSTEM ASSETS.</w:t>
      </w:r>
    </w:p>
    <w:p w14:paraId="5D633F04" w14:textId="77777777" w:rsidR="006F27EB" w:rsidRPr="006F27EB" w:rsidRDefault="006F27EB" w:rsidP="006F27EB">
      <w:pPr>
        <w:autoSpaceDE w:val="0"/>
        <w:autoSpaceDN w:val="0"/>
        <w:adjustRightInd w:val="0"/>
        <w:spacing w:line="240" w:lineRule="auto"/>
        <w:rPr>
          <w:b/>
          <w:u w:val="single"/>
        </w:rPr>
      </w:pPr>
    </w:p>
    <w:p w14:paraId="437559F7" w14:textId="77777777" w:rsidR="006F27EB" w:rsidRPr="006F27EB" w:rsidRDefault="006F27EB" w:rsidP="006F27EB">
      <w:pPr>
        <w:autoSpaceDE w:val="0"/>
        <w:autoSpaceDN w:val="0"/>
        <w:adjustRightInd w:val="0"/>
        <w:spacing w:line="240" w:lineRule="auto"/>
        <w:rPr>
          <w:bCs/>
        </w:rPr>
      </w:pPr>
    </w:p>
    <w:p w14:paraId="08092696" w14:textId="77777777" w:rsidR="006F27EB" w:rsidRPr="006F27EB" w:rsidRDefault="006F27EB" w:rsidP="006F27EB">
      <w:pPr>
        <w:spacing w:line="240" w:lineRule="auto"/>
        <w:rPr>
          <w:rFonts w:eastAsia="Microsoft Sans Serif"/>
        </w:rPr>
        <w:sectPr w:rsidR="006F27EB" w:rsidRPr="006F27EB" w:rsidSect="000E659A">
          <w:pgSz w:w="12240" w:h="15840"/>
          <w:pgMar w:top="540" w:right="1440" w:bottom="1440" w:left="1440" w:header="720" w:footer="720" w:gutter="0"/>
          <w:cols w:space="720"/>
          <w:docGrid w:linePitch="360"/>
        </w:sectPr>
      </w:pPr>
    </w:p>
    <w:p w14:paraId="6219F167" w14:textId="77777777" w:rsidR="006F27EB" w:rsidRPr="006F27EB" w:rsidRDefault="006F27EB" w:rsidP="006F27EB">
      <w:pPr>
        <w:spacing w:line="240" w:lineRule="auto"/>
        <w:rPr>
          <w:rFonts w:eastAsia="Microsoft Sans Serif"/>
        </w:rPr>
      </w:pPr>
      <w:r w:rsidRPr="006F27EB">
        <w:rPr>
          <w:rFonts w:eastAsia="Microsoft Sans Serif"/>
        </w:rPr>
        <w:t>ELIZABETH ROSE TRISCARI ESQUIRE</w:t>
      </w:r>
      <w:r w:rsidRPr="006F27EB">
        <w:rPr>
          <w:rFonts w:eastAsia="Microsoft Sans Serif"/>
        </w:rPr>
        <w:br/>
        <w:t>ERIN K FURE ESQUIRE</w:t>
      </w:r>
      <w:r w:rsidRPr="006F27EB">
        <w:rPr>
          <w:rFonts w:eastAsia="Microsoft Sans Serif"/>
        </w:rPr>
        <w:cr/>
        <w:t>PENNSYVANIA-AMERICAN WATER CO</w:t>
      </w:r>
      <w:r w:rsidRPr="006F27EB">
        <w:rPr>
          <w:rFonts w:eastAsia="Microsoft Sans Serif"/>
        </w:rPr>
        <w:cr/>
        <w:t>852 WESLEY DRIVE</w:t>
      </w:r>
      <w:r w:rsidRPr="006F27EB">
        <w:rPr>
          <w:rFonts w:eastAsia="Microsoft Sans Serif"/>
        </w:rPr>
        <w:cr/>
        <w:t>MECHANICSBURG PA  17055</w:t>
      </w:r>
      <w:r w:rsidRPr="006F27EB">
        <w:rPr>
          <w:rFonts w:eastAsia="Microsoft Sans Serif"/>
        </w:rPr>
        <w:cr/>
      </w:r>
      <w:r w:rsidRPr="006F27EB">
        <w:rPr>
          <w:rFonts w:eastAsia="Microsoft Sans Serif"/>
          <w:b/>
          <w:bCs/>
        </w:rPr>
        <w:t>717.550.1574</w:t>
      </w:r>
      <w:r w:rsidRPr="006F27EB">
        <w:rPr>
          <w:rFonts w:eastAsia="Microsoft Sans Serif"/>
          <w:b/>
          <w:bCs/>
        </w:rPr>
        <w:br/>
      </w:r>
      <w:hyperlink r:id="rId15" w:history="1">
        <w:r w:rsidRPr="006F27EB">
          <w:rPr>
            <w:rFonts w:eastAsia="Microsoft Sans Serif"/>
            <w:color w:val="0563C1"/>
            <w:u w:val="single"/>
          </w:rPr>
          <w:t>Elizabeth.Triscari@amwater.com</w:t>
        </w:r>
      </w:hyperlink>
    </w:p>
    <w:p w14:paraId="184EDD01" w14:textId="77777777" w:rsidR="006F27EB" w:rsidRPr="006F27EB" w:rsidRDefault="00000000" w:rsidP="006F27EB">
      <w:pPr>
        <w:spacing w:line="240" w:lineRule="auto"/>
        <w:rPr>
          <w:rFonts w:eastAsia="Microsoft Sans Serif"/>
        </w:rPr>
      </w:pPr>
      <w:hyperlink r:id="rId16" w:history="1">
        <w:r w:rsidR="006F27EB" w:rsidRPr="006F27EB">
          <w:rPr>
            <w:rFonts w:eastAsia="Microsoft Sans Serif"/>
            <w:color w:val="0563C1"/>
            <w:u w:val="single"/>
          </w:rPr>
          <w:t>erin.fure@amwater.com</w:t>
        </w:r>
      </w:hyperlink>
    </w:p>
    <w:p w14:paraId="24812803" w14:textId="784D7339" w:rsidR="006F27EB" w:rsidRPr="006F27EB" w:rsidRDefault="006F27EB" w:rsidP="006F27EB">
      <w:pPr>
        <w:spacing w:line="240" w:lineRule="auto"/>
        <w:rPr>
          <w:rFonts w:eastAsia="Microsoft Sans Serif"/>
        </w:rPr>
      </w:pPr>
      <w:r w:rsidRPr="006F27EB">
        <w:rPr>
          <w:rFonts w:eastAsia="Microsoft Sans Serif"/>
        </w:rPr>
        <w:t>Accepts eService</w:t>
      </w:r>
      <w:r w:rsidRPr="006F27EB">
        <w:rPr>
          <w:rFonts w:eastAsia="Microsoft Sans Serif"/>
        </w:rPr>
        <w:br/>
      </w:r>
      <w:r w:rsidRPr="006F27EB">
        <w:rPr>
          <w:rFonts w:eastAsia="Microsoft Sans Serif"/>
          <w:i/>
          <w:iCs/>
        </w:rPr>
        <w:t xml:space="preserve">(Counsel for Pennsylvania-American Water Company - Wastewater) </w:t>
      </w:r>
      <w:r w:rsidRPr="006F27EB">
        <w:rPr>
          <w:rFonts w:eastAsia="Microsoft Sans Serif"/>
          <w:i/>
          <w:iCs/>
        </w:rPr>
        <w:cr/>
      </w:r>
      <w:r w:rsidRPr="006F27EB">
        <w:rPr>
          <w:rFonts w:eastAsia="Microsoft Sans Serif"/>
        </w:rPr>
        <w:br/>
        <w:t>DAVID P ZAMBITO ESQUIRE</w:t>
      </w:r>
      <w:r w:rsidRPr="006F27EB">
        <w:rPr>
          <w:rFonts w:eastAsia="Microsoft Sans Serif"/>
        </w:rPr>
        <w:br/>
        <w:t>JONATHAN NASE ESQUIRE</w:t>
      </w:r>
      <w:r w:rsidRPr="006F27EB">
        <w:rPr>
          <w:rFonts w:eastAsia="Microsoft Sans Serif"/>
        </w:rPr>
        <w:cr/>
        <w:t>COZEN O'CONNOR</w:t>
      </w:r>
      <w:r w:rsidRPr="006F27EB">
        <w:rPr>
          <w:rFonts w:eastAsia="Microsoft Sans Serif"/>
        </w:rPr>
        <w:cr/>
        <w:t>17 NORTH SECOND ST SUITE 1410</w:t>
      </w:r>
      <w:r w:rsidRPr="006F27EB">
        <w:rPr>
          <w:rFonts w:eastAsia="Microsoft Sans Serif"/>
        </w:rPr>
        <w:cr/>
        <w:t>HARRISBURG PA  17101</w:t>
      </w:r>
      <w:r w:rsidRPr="006F27EB">
        <w:rPr>
          <w:rFonts w:eastAsia="Microsoft Sans Serif"/>
        </w:rPr>
        <w:cr/>
      </w:r>
      <w:r w:rsidRPr="006F27EB">
        <w:rPr>
          <w:rFonts w:eastAsia="Microsoft Sans Serif"/>
          <w:b/>
          <w:bCs/>
        </w:rPr>
        <w:t>717.703.5892</w:t>
      </w:r>
      <w:r w:rsidRPr="006F27EB">
        <w:rPr>
          <w:rFonts w:eastAsia="Microsoft Sans Serif"/>
          <w:b/>
          <w:bCs/>
        </w:rPr>
        <w:cr/>
      </w:r>
      <w:hyperlink r:id="rId17" w:history="1">
        <w:r w:rsidRPr="006F27EB">
          <w:rPr>
            <w:rFonts w:eastAsia="Microsoft Sans Serif"/>
            <w:color w:val="0563C1"/>
            <w:u w:val="single"/>
          </w:rPr>
          <w:t>dzambito@cozen.com</w:t>
        </w:r>
      </w:hyperlink>
    </w:p>
    <w:p w14:paraId="09E8BADC" w14:textId="77777777" w:rsidR="006F27EB" w:rsidRPr="006F27EB" w:rsidRDefault="00000000" w:rsidP="006F27EB">
      <w:pPr>
        <w:spacing w:line="240" w:lineRule="auto"/>
        <w:rPr>
          <w:rFonts w:eastAsia="Microsoft Sans Serif"/>
        </w:rPr>
      </w:pPr>
      <w:hyperlink r:id="rId18" w:history="1">
        <w:r w:rsidR="006F27EB" w:rsidRPr="006F27EB">
          <w:rPr>
            <w:rFonts w:eastAsia="Microsoft Sans Serif"/>
            <w:color w:val="0563C1"/>
            <w:u w:val="single"/>
          </w:rPr>
          <w:t>jnase@cozen.com</w:t>
        </w:r>
      </w:hyperlink>
    </w:p>
    <w:p w14:paraId="40552D23" w14:textId="77777777" w:rsidR="006F27EB" w:rsidRPr="006F27EB" w:rsidRDefault="006F27EB" w:rsidP="006F27EB">
      <w:pPr>
        <w:spacing w:line="240" w:lineRule="auto"/>
        <w:rPr>
          <w:rFonts w:eastAsia="Microsoft Sans Serif"/>
          <w:i/>
          <w:iCs/>
        </w:rPr>
      </w:pPr>
      <w:r w:rsidRPr="006F27EB">
        <w:rPr>
          <w:rFonts w:eastAsia="Microsoft Sans Serif"/>
        </w:rPr>
        <w:t>Accepts eService</w:t>
      </w:r>
      <w:r w:rsidRPr="006F27EB">
        <w:rPr>
          <w:rFonts w:eastAsia="Microsoft Sans Serif"/>
        </w:rPr>
        <w:br/>
      </w:r>
      <w:r w:rsidRPr="006F27EB">
        <w:rPr>
          <w:rFonts w:eastAsia="Microsoft Sans Serif"/>
          <w:i/>
          <w:iCs/>
        </w:rPr>
        <w:t>(Representing Pennsylvania-American Water Company – Wastewater)</w:t>
      </w:r>
    </w:p>
    <w:p w14:paraId="1EB17FCB" w14:textId="77777777" w:rsidR="006F27EB" w:rsidRPr="006F27EB" w:rsidRDefault="006F27EB" w:rsidP="006F27EB">
      <w:pPr>
        <w:spacing w:line="240" w:lineRule="auto"/>
        <w:rPr>
          <w:rFonts w:eastAsia="Microsoft Sans Serif"/>
        </w:rPr>
      </w:pPr>
    </w:p>
    <w:p w14:paraId="1A804DB0" w14:textId="77777777" w:rsidR="006F27EB" w:rsidRPr="006F27EB" w:rsidRDefault="006F27EB" w:rsidP="006F27EB">
      <w:pPr>
        <w:spacing w:line="240" w:lineRule="auto"/>
        <w:rPr>
          <w:rFonts w:eastAsia="Microsoft Sans Serif"/>
        </w:rPr>
      </w:pPr>
      <w:r w:rsidRPr="006F27EB">
        <w:rPr>
          <w:rFonts w:eastAsia="Microsoft Sans Serif"/>
        </w:rPr>
        <w:t>CARRIE B WRIGHT ESQUIRE</w:t>
      </w:r>
      <w:r w:rsidRPr="006F27EB">
        <w:rPr>
          <w:rFonts w:eastAsia="Microsoft Sans Serif"/>
        </w:rPr>
        <w:cr/>
        <w:t>PA PUC BUREAU OF INVESTIGATION</w:t>
      </w:r>
      <w:r w:rsidRPr="006F27EB">
        <w:rPr>
          <w:rFonts w:eastAsia="Microsoft Sans Serif"/>
        </w:rPr>
        <w:br/>
        <w:t>&amp; ENFORCEMENT</w:t>
      </w:r>
      <w:r w:rsidRPr="006F27EB">
        <w:rPr>
          <w:rFonts w:eastAsia="Microsoft Sans Serif"/>
        </w:rPr>
        <w:cr/>
        <w:t>400 NORTH ST SECOND FL WEST HARRISBURG PA  17120</w:t>
      </w:r>
      <w:r w:rsidRPr="006F27EB">
        <w:rPr>
          <w:rFonts w:eastAsia="Microsoft Sans Serif"/>
        </w:rPr>
        <w:cr/>
      </w:r>
      <w:r w:rsidRPr="006F27EB">
        <w:rPr>
          <w:rFonts w:eastAsia="Microsoft Sans Serif"/>
          <w:b/>
          <w:bCs/>
        </w:rPr>
        <w:t>717.783.6156</w:t>
      </w:r>
      <w:r w:rsidRPr="006F27EB">
        <w:rPr>
          <w:rFonts w:eastAsia="Microsoft Sans Serif"/>
        </w:rPr>
        <w:cr/>
      </w:r>
      <w:hyperlink r:id="rId19" w:history="1">
        <w:r w:rsidRPr="006F27EB">
          <w:rPr>
            <w:rFonts w:eastAsia="Microsoft Sans Serif"/>
            <w:color w:val="0563C1"/>
            <w:u w:val="single"/>
          </w:rPr>
          <w:t>carwright@pa.gov</w:t>
        </w:r>
      </w:hyperlink>
    </w:p>
    <w:p w14:paraId="47312298" w14:textId="77777777" w:rsidR="006F27EB" w:rsidRPr="006F27EB" w:rsidRDefault="006F27EB" w:rsidP="006F27EB">
      <w:pPr>
        <w:spacing w:line="240" w:lineRule="auto"/>
        <w:rPr>
          <w:rFonts w:eastAsia="Microsoft Sans Serif"/>
        </w:rPr>
      </w:pPr>
      <w:r w:rsidRPr="006F27EB">
        <w:rPr>
          <w:rFonts w:eastAsia="Microsoft Sans Serif"/>
        </w:rPr>
        <w:t>Accepts eService</w:t>
      </w:r>
      <w:r w:rsidRPr="006F27EB">
        <w:rPr>
          <w:rFonts w:eastAsia="Microsoft Sans Serif"/>
        </w:rPr>
        <w:br/>
      </w:r>
    </w:p>
    <w:p w14:paraId="4308E9E6" w14:textId="77777777" w:rsidR="006F27EB" w:rsidRPr="006F27EB" w:rsidRDefault="006F27EB" w:rsidP="006F27EB">
      <w:pPr>
        <w:spacing w:line="240" w:lineRule="auto"/>
        <w:rPr>
          <w:rFonts w:eastAsia="Microsoft Sans Serif"/>
        </w:rPr>
      </w:pPr>
    </w:p>
    <w:p w14:paraId="336D923E" w14:textId="77777777" w:rsidR="003038ED" w:rsidRDefault="003038ED" w:rsidP="006F27EB">
      <w:pPr>
        <w:spacing w:line="240" w:lineRule="auto"/>
        <w:rPr>
          <w:rFonts w:eastAsia="Microsoft Sans Serif"/>
        </w:rPr>
      </w:pPr>
    </w:p>
    <w:p w14:paraId="6E2764C6" w14:textId="77777777" w:rsidR="003038ED" w:rsidRDefault="003038ED" w:rsidP="006F27EB">
      <w:pPr>
        <w:spacing w:line="240" w:lineRule="auto"/>
        <w:rPr>
          <w:rFonts w:eastAsia="Microsoft Sans Serif"/>
        </w:rPr>
      </w:pPr>
    </w:p>
    <w:p w14:paraId="7D2986AE" w14:textId="77777777" w:rsidR="003038ED" w:rsidRDefault="003038ED" w:rsidP="006F27EB">
      <w:pPr>
        <w:spacing w:line="240" w:lineRule="auto"/>
        <w:rPr>
          <w:rFonts w:eastAsia="Microsoft Sans Serif"/>
        </w:rPr>
      </w:pPr>
    </w:p>
    <w:p w14:paraId="2983F578" w14:textId="77777777" w:rsidR="003038ED" w:rsidRDefault="003038ED" w:rsidP="006F27EB">
      <w:pPr>
        <w:spacing w:line="240" w:lineRule="auto"/>
        <w:rPr>
          <w:rFonts w:eastAsia="Microsoft Sans Serif"/>
        </w:rPr>
      </w:pPr>
    </w:p>
    <w:p w14:paraId="541883C9" w14:textId="77777777" w:rsidR="003038ED" w:rsidRDefault="003038ED" w:rsidP="006F27EB">
      <w:pPr>
        <w:spacing w:line="240" w:lineRule="auto"/>
        <w:rPr>
          <w:rFonts w:eastAsia="Microsoft Sans Serif"/>
        </w:rPr>
      </w:pPr>
    </w:p>
    <w:p w14:paraId="398C85B4" w14:textId="77777777" w:rsidR="003038ED" w:rsidRDefault="003038ED" w:rsidP="006F27EB">
      <w:pPr>
        <w:spacing w:line="240" w:lineRule="auto"/>
        <w:rPr>
          <w:rFonts w:eastAsia="Microsoft Sans Serif"/>
        </w:rPr>
      </w:pPr>
    </w:p>
    <w:p w14:paraId="4801FDBD" w14:textId="4B849D1F" w:rsidR="006F27EB" w:rsidRDefault="006F27EB" w:rsidP="006F27EB">
      <w:pPr>
        <w:spacing w:line="240" w:lineRule="auto"/>
        <w:rPr>
          <w:rFonts w:eastAsia="Microsoft Sans Serif"/>
          <w:color w:val="0563C1"/>
          <w:u w:val="single"/>
        </w:rPr>
      </w:pPr>
      <w:r w:rsidRPr="006F27EB">
        <w:rPr>
          <w:rFonts w:eastAsia="Microsoft Sans Serif"/>
        </w:rPr>
        <w:t>STEVEN C GRAY ESQUIRE</w:t>
      </w:r>
      <w:r w:rsidRPr="006F27EB">
        <w:rPr>
          <w:rFonts w:eastAsia="Microsoft Sans Serif"/>
        </w:rPr>
        <w:br/>
        <w:t>OFFICE OF SMALL BUSINESS ADVOCATE</w:t>
      </w:r>
      <w:r w:rsidRPr="006F27EB">
        <w:rPr>
          <w:rFonts w:eastAsia="Microsoft Sans Serif"/>
        </w:rPr>
        <w:cr/>
        <w:t>FORUM PLACE</w:t>
      </w:r>
      <w:r w:rsidRPr="006F27EB">
        <w:rPr>
          <w:rFonts w:eastAsia="Microsoft Sans Serif"/>
        </w:rPr>
        <w:cr/>
        <w:t>555 WALNUT STREET 1ST FLOOR</w:t>
      </w:r>
      <w:r w:rsidRPr="006F27EB">
        <w:rPr>
          <w:rFonts w:eastAsia="Microsoft Sans Serif"/>
        </w:rPr>
        <w:cr/>
        <w:t>HARRISBURG PA  17101</w:t>
      </w:r>
      <w:r w:rsidRPr="006F27EB">
        <w:rPr>
          <w:rFonts w:eastAsia="Microsoft Sans Serif"/>
        </w:rPr>
        <w:cr/>
      </w:r>
      <w:r w:rsidRPr="006F27EB">
        <w:rPr>
          <w:rFonts w:eastAsia="Microsoft Sans Serif"/>
          <w:b/>
          <w:bCs/>
        </w:rPr>
        <w:t>717.783.2525</w:t>
      </w:r>
      <w:r w:rsidRPr="006F27EB">
        <w:rPr>
          <w:rFonts w:eastAsia="Microsoft Sans Serif"/>
          <w:b/>
          <w:bCs/>
        </w:rPr>
        <w:cr/>
      </w:r>
      <w:hyperlink r:id="rId20" w:history="1">
        <w:r w:rsidRPr="006F27EB">
          <w:rPr>
            <w:rFonts w:eastAsia="Microsoft Sans Serif"/>
            <w:color w:val="0563C1"/>
            <w:u w:val="single"/>
          </w:rPr>
          <w:t>sgray@pa.gov</w:t>
        </w:r>
      </w:hyperlink>
    </w:p>
    <w:p w14:paraId="0A3F5ECA" w14:textId="77777777" w:rsidR="003038ED" w:rsidRPr="006F27EB" w:rsidRDefault="003038ED" w:rsidP="006F27EB">
      <w:pPr>
        <w:spacing w:line="240" w:lineRule="auto"/>
        <w:rPr>
          <w:rFonts w:eastAsia="Microsoft Sans Serif"/>
        </w:rPr>
      </w:pPr>
    </w:p>
    <w:p w14:paraId="0F7005B1" w14:textId="47942058" w:rsidR="006F27EB" w:rsidRPr="006F27EB" w:rsidRDefault="006F27EB" w:rsidP="006F27EB">
      <w:pPr>
        <w:spacing w:line="240" w:lineRule="auto"/>
        <w:rPr>
          <w:rFonts w:eastAsia="Microsoft Sans Serif"/>
        </w:rPr>
      </w:pPr>
      <w:r w:rsidRPr="006F27EB">
        <w:rPr>
          <w:rFonts w:eastAsia="Microsoft Sans Serif"/>
        </w:rPr>
        <w:t>PATRICK M CICERO ESQUIRE</w:t>
      </w:r>
      <w:r w:rsidRPr="006F27EB">
        <w:rPr>
          <w:rFonts w:eastAsia="Microsoft Sans Serif"/>
        </w:rPr>
        <w:cr/>
        <w:t>HARRISON W BREITMAN ESQUIRE</w:t>
      </w:r>
      <w:r w:rsidRPr="006F27EB">
        <w:rPr>
          <w:rFonts w:eastAsia="Microsoft Sans Serif"/>
        </w:rPr>
        <w:br/>
        <w:t xml:space="preserve">ERIN L GANNON ESQUIRE </w:t>
      </w:r>
      <w:r w:rsidRPr="006F27EB">
        <w:rPr>
          <w:rFonts w:eastAsia="Microsoft Sans Serif"/>
        </w:rPr>
        <w:br/>
        <w:t>OFFICE OF CONSUMER ADVOCATE</w:t>
      </w:r>
      <w:r w:rsidRPr="006F27EB">
        <w:rPr>
          <w:rFonts w:eastAsia="Microsoft Sans Serif"/>
        </w:rPr>
        <w:cr/>
        <w:t>555 WALNUT STREET</w:t>
      </w:r>
      <w:r w:rsidRPr="006F27EB">
        <w:rPr>
          <w:rFonts w:eastAsia="Microsoft Sans Serif"/>
        </w:rPr>
        <w:cr/>
        <w:t>5TH FLOOR FORUM PLACE</w:t>
      </w:r>
      <w:r w:rsidRPr="006F27EB">
        <w:rPr>
          <w:rFonts w:eastAsia="Microsoft Sans Serif"/>
        </w:rPr>
        <w:cr/>
        <w:t>HARRISBURG PA  17101</w:t>
      </w:r>
      <w:r w:rsidRPr="006F27EB">
        <w:rPr>
          <w:rFonts w:eastAsia="Microsoft Sans Serif"/>
        </w:rPr>
        <w:br/>
      </w:r>
      <w:r w:rsidRPr="006F27EB">
        <w:rPr>
          <w:rFonts w:eastAsia="Microsoft Sans Serif"/>
          <w:b/>
          <w:bCs/>
        </w:rPr>
        <w:t>717.783.5048</w:t>
      </w:r>
      <w:r w:rsidRPr="006F27EB">
        <w:rPr>
          <w:rFonts w:eastAsia="Microsoft Sans Serif"/>
          <w:b/>
          <w:bCs/>
        </w:rPr>
        <w:br/>
      </w:r>
      <w:hyperlink r:id="rId21" w:history="1">
        <w:r w:rsidRPr="006F27EB">
          <w:rPr>
            <w:rFonts w:eastAsia="Microsoft Sans Serif"/>
            <w:color w:val="0563C1"/>
            <w:u w:val="single"/>
          </w:rPr>
          <w:t>pcicero@paoca.org</w:t>
        </w:r>
      </w:hyperlink>
    </w:p>
    <w:p w14:paraId="57971C75" w14:textId="77777777" w:rsidR="006F27EB" w:rsidRPr="006F27EB" w:rsidRDefault="00000000" w:rsidP="006F27EB">
      <w:pPr>
        <w:spacing w:line="240" w:lineRule="auto"/>
        <w:rPr>
          <w:rFonts w:eastAsia="Microsoft Sans Serif"/>
        </w:rPr>
      </w:pPr>
      <w:hyperlink r:id="rId22" w:history="1">
        <w:r w:rsidR="006F27EB" w:rsidRPr="006F27EB">
          <w:rPr>
            <w:rFonts w:eastAsia="Microsoft Sans Serif"/>
            <w:color w:val="0563C1"/>
            <w:u w:val="single"/>
          </w:rPr>
          <w:t>hbreitman@paoca.org</w:t>
        </w:r>
      </w:hyperlink>
    </w:p>
    <w:p w14:paraId="5B2BA771" w14:textId="77777777" w:rsidR="006F27EB" w:rsidRPr="006F27EB" w:rsidRDefault="00000000" w:rsidP="006F27EB">
      <w:pPr>
        <w:spacing w:line="240" w:lineRule="auto"/>
        <w:rPr>
          <w:rFonts w:eastAsia="Microsoft Sans Serif"/>
        </w:rPr>
      </w:pPr>
      <w:hyperlink r:id="rId23" w:history="1">
        <w:r w:rsidR="006F27EB" w:rsidRPr="006F27EB">
          <w:rPr>
            <w:rFonts w:eastAsia="Microsoft Sans Serif"/>
            <w:color w:val="0563C1"/>
            <w:u w:val="single"/>
          </w:rPr>
          <w:t>egannon@paoca.org</w:t>
        </w:r>
      </w:hyperlink>
    </w:p>
    <w:p w14:paraId="4CEAD957" w14:textId="77777777" w:rsidR="006F27EB" w:rsidRPr="006F27EB" w:rsidRDefault="006F27EB" w:rsidP="006F27EB">
      <w:pPr>
        <w:spacing w:line="240" w:lineRule="auto"/>
        <w:rPr>
          <w:rFonts w:eastAsia="Microsoft Sans Serif"/>
        </w:rPr>
      </w:pPr>
      <w:r w:rsidRPr="006F27EB">
        <w:rPr>
          <w:rFonts w:eastAsia="Microsoft Sans Serif"/>
        </w:rPr>
        <w:t xml:space="preserve">Accepts </w:t>
      </w:r>
      <w:proofErr w:type="gramStart"/>
      <w:r w:rsidRPr="006F27EB">
        <w:rPr>
          <w:rFonts w:eastAsia="Microsoft Sans Serif"/>
        </w:rPr>
        <w:t>eService</w:t>
      </w:r>
      <w:proofErr w:type="gramEnd"/>
      <w:r w:rsidRPr="006F27EB">
        <w:rPr>
          <w:rFonts w:eastAsia="Microsoft Sans Serif"/>
        </w:rPr>
        <w:t xml:space="preserve"> </w:t>
      </w:r>
      <w:r w:rsidRPr="006F27EB">
        <w:rPr>
          <w:rFonts w:eastAsia="Microsoft Sans Serif"/>
        </w:rPr>
        <w:cr/>
      </w:r>
    </w:p>
    <w:p w14:paraId="68A0B73E" w14:textId="77777777" w:rsidR="006F27EB" w:rsidRPr="006F27EB" w:rsidRDefault="006F27EB" w:rsidP="006F27EB">
      <w:pPr>
        <w:spacing w:line="240" w:lineRule="auto"/>
        <w:rPr>
          <w:rFonts w:eastAsia="Microsoft Sans Serif"/>
        </w:rPr>
      </w:pPr>
    </w:p>
    <w:p w14:paraId="78A2C127" w14:textId="77777777" w:rsidR="006F27EB" w:rsidRPr="006F27EB" w:rsidRDefault="006F27EB" w:rsidP="006F27EB">
      <w:pPr>
        <w:spacing w:line="240" w:lineRule="auto"/>
        <w:rPr>
          <w:rFonts w:eastAsia="Microsoft Sans Serif"/>
        </w:rPr>
      </w:pPr>
      <w:r w:rsidRPr="006F27EB">
        <w:rPr>
          <w:rFonts w:eastAsia="Microsoft Sans Serif"/>
        </w:rPr>
        <w:t>MATTHEW OLESH ESQUIRE</w:t>
      </w:r>
      <w:r w:rsidRPr="006F27EB">
        <w:rPr>
          <w:rFonts w:eastAsia="Microsoft Sans Serif"/>
        </w:rPr>
        <w:br/>
        <w:t>SYDNEY MELILLO ESQUIRE</w:t>
      </w:r>
      <w:r w:rsidRPr="006F27EB">
        <w:rPr>
          <w:rFonts w:eastAsia="Microsoft Sans Serif"/>
        </w:rPr>
        <w:br/>
        <w:t>THOMAS WYATT ESQUIRE</w:t>
      </w:r>
      <w:r w:rsidRPr="006F27EB">
        <w:rPr>
          <w:rFonts w:eastAsia="Microsoft Sans Serif"/>
        </w:rPr>
        <w:cr/>
        <w:t>OBERMAYER REBMANN MAXWELL &amp; HIPPEL LLP</w:t>
      </w:r>
      <w:r w:rsidRPr="006F27EB">
        <w:rPr>
          <w:rFonts w:eastAsia="Microsoft Sans Serif"/>
        </w:rPr>
        <w:cr/>
        <w:t>1500 MARKET STREET SUITE 3400</w:t>
      </w:r>
      <w:r w:rsidRPr="006F27EB">
        <w:rPr>
          <w:rFonts w:eastAsia="Microsoft Sans Serif"/>
        </w:rPr>
        <w:cr/>
        <w:t>CENTRE SQUARE WEST OBERMAYER</w:t>
      </w:r>
      <w:r w:rsidRPr="006F27EB">
        <w:rPr>
          <w:rFonts w:eastAsia="Microsoft Sans Serif"/>
        </w:rPr>
        <w:cr/>
        <w:t>PHILADELPHIA PA  19102</w:t>
      </w:r>
      <w:r w:rsidRPr="006F27EB">
        <w:rPr>
          <w:rFonts w:eastAsia="Microsoft Sans Serif"/>
        </w:rPr>
        <w:cr/>
      </w:r>
      <w:r w:rsidRPr="006F27EB">
        <w:rPr>
          <w:rFonts w:eastAsia="Microsoft Sans Serif"/>
          <w:b/>
          <w:bCs/>
        </w:rPr>
        <w:t>215.665.3043</w:t>
      </w:r>
      <w:r w:rsidRPr="006F27EB">
        <w:rPr>
          <w:rFonts w:eastAsia="Microsoft Sans Serif"/>
        </w:rPr>
        <w:cr/>
      </w:r>
      <w:hyperlink r:id="rId24" w:history="1">
        <w:r w:rsidRPr="006F27EB">
          <w:rPr>
            <w:rFonts w:eastAsia="Microsoft Sans Serif"/>
            <w:color w:val="0563C1"/>
            <w:u w:val="single"/>
          </w:rPr>
          <w:t>matthew.olesh@obermayer.com</w:t>
        </w:r>
      </w:hyperlink>
      <w:r w:rsidRPr="006F27EB">
        <w:rPr>
          <w:rFonts w:eastAsia="Microsoft Sans Serif"/>
        </w:rPr>
        <w:br/>
      </w:r>
      <w:hyperlink r:id="rId25" w:history="1">
        <w:r w:rsidRPr="006F27EB">
          <w:rPr>
            <w:rFonts w:eastAsia="Microsoft Sans Serif"/>
            <w:color w:val="0563C1"/>
            <w:u w:val="single"/>
          </w:rPr>
          <w:t>sydney.melillo@obermayer.com</w:t>
        </w:r>
      </w:hyperlink>
      <w:r w:rsidRPr="006F27EB">
        <w:rPr>
          <w:rFonts w:eastAsia="Microsoft Sans Serif"/>
        </w:rPr>
        <w:br/>
      </w:r>
      <w:hyperlink r:id="rId26" w:history="1">
        <w:r w:rsidRPr="006F27EB">
          <w:rPr>
            <w:rFonts w:eastAsia="Microsoft Sans Serif"/>
            <w:color w:val="0563C1"/>
            <w:u w:val="single"/>
          </w:rPr>
          <w:t>thomas.wyatt@obermayer.com</w:t>
        </w:r>
      </w:hyperlink>
    </w:p>
    <w:p w14:paraId="16D8EA22" w14:textId="77777777" w:rsidR="006F27EB" w:rsidRPr="006F27EB" w:rsidRDefault="006F27EB" w:rsidP="006F27EB">
      <w:pPr>
        <w:spacing w:line="240" w:lineRule="auto"/>
        <w:rPr>
          <w:rFonts w:eastAsia="Microsoft Sans Serif"/>
        </w:rPr>
      </w:pPr>
      <w:r w:rsidRPr="006F27EB">
        <w:rPr>
          <w:rFonts w:eastAsia="Microsoft Sans Serif"/>
        </w:rPr>
        <w:t>Accepts eService</w:t>
      </w:r>
      <w:r w:rsidRPr="006F27EB">
        <w:rPr>
          <w:rFonts w:eastAsia="Microsoft Sans Serif"/>
        </w:rPr>
        <w:br/>
      </w:r>
      <w:r w:rsidRPr="006F27EB">
        <w:rPr>
          <w:rFonts w:eastAsia="Microsoft Sans Serif"/>
          <w:i/>
          <w:iCs/>
        </w:rPr>
        <w:t>(Representing Butler Area Sewer Authority)</w:t>
      </w:r>
      <w:r w:rsidRPr="006F27EB">
        <w:rPr>
          <w:rFonts w:eastAsia="Microsoft Sans Serif"/>
        </w:rPr>
        <w:cr/>
      </w:r>
    </w:p>
    <w:p w14:paraId="1A9AE2A9" w14:textId="77777777" w:rsidR="006F27EB" w:rsidRPr="006F27EB" w:rsidRDefault="006F27EB" w:rsidP="006F27EB">
      <w:pPr>
        <w:spacing w:line="240" w:lineRule="auto"/>
        <w:rPr>
          <w:rFonts w:eastAsia="Microsoft Sans Serif"/>
        </w:rPr>
      </w:pPr>
    </w:p>
    <w:p w14:paraId="4117CE09" w14:textId="77777777" w:rsidR="00A434FE" w:rsidRDefault="00A434FE" w:rsidP="006F27EB">
      <w:pPr>
        <w:spacing w:line="240" w:lineRule="auto"/>
        <w:rPr>
          <w:rFonts w:eastAsia="Microsoft Sans Serif"/>
        </w:rPr>
      </w:pPr>
    </w:p>
    <w:p w14:paraId="78F8A9EE" w14:textId="0F818EBC" w:rsidR="006F27EB" w:rsidRPr="006F27EB" w:rsidRDefault="006F27EB" w:rsidP="006F27EB">
      <w:pPr>
        <w:spacing w:line="240" w:lineRule="auto"/>
        <w:rPr>
          <w:rFonts w:eastAsia="Microsoft Sans Serif"/>
        </w:rPr>
      </w:pPr>
      <w:r w:rsidRPr="006F27EB">
        <w:rPr>
          <w:rFonts w:eastAsia="Microsoft Sans Serif"/>
        </w:rPr>
        <w:lastRenderedPageBreak/>
        <w:t>JOHN DOLAN</w:t>
      </w:r>
      <w:r w:rsidRPr="006F27EB">
        <w:rPr>
          <w:rFonts w:eastAsia="Microsoft Sans Serif"/>
        </w:rPr>
        <w:cr/>
        <w:t>145 N 7TH STREET</w:t>
      </w:r>
      <w:r w:rsidRPr="006F27EB">
        <w:rPr>
          <w:rFonts w:eastAsia="Microsoft Sans Serif"/>
        </w:rPr>
        <w:cr/>
        <w:t>INDIANA PA  15701</w:t>
      </w:r>
      <w:r w:rsidRPr="006F27EB">
        <w:rPr>
          <w:rFonts w:eastAsia="Microsoft Sans Serif"/>
        </w:rPr>
        <w:cr/>
        <w:t xml:space="preserve">Served via </w:t>
      </w:r>
      <w:r w:rsidR="00A434FE">
        <w:rPr>
          <w:rFonts w:eastAsia="Microsoft Sans Serif"/>
        </w:rPr>
        <w:t>U.S.P.S</w:t>
      </w:r>
      <w:r w:rsidRPr="006F27EB">
        <w:rPr>
          <w:rFonts w:eastAsia="Microsoft Sans Serif"/>
        </w:rPr>
        <w:t xml:space="preserve">. </w:t>
      </w:r>
      <w:proofErr w:type="gramStart"/>
      <w:r w:rsidRPr="006F27EB">
        <w:rPr>
          <w:rFonts w:eastAsia="Microsoft Sans Serif"/>
        </w:rPr>
        <w:t>mail</w:t>
      </w:r>
      <w:proofErr w:type="gramEnd"/>
    </w:p>
    <w:p w14:paraId="769BF91B" w14:textId="77777777" w:rsidR="006F27EB" w:rsidRPr="006F27EB" w:rsidRDefault="006F27EB" w:rsidP="006F27EB">
      <w:pPr>
        <w:spacing w:line="240" w:lineRule="auto"/>
        <w:rPr>
          <w:rFonts w:eastAsia="Microsoft Sans Serif"/>
        </w:rPr>
      </w:pPr>
    </w:p>
    <w:p w14:paraId="0926FE69" w14:textId="2E8FDC80" w:rsidR="006F27EB" w:rsidRPr="006F27EB" w:rsidRDefault="006F27EB" w:rsidP="006F27EB">
      <w:pPr>
        <w:spacing w:line="240" w:lineRule="auto"/>
        <w:rPr>
          <w:rFonts w:eastAsia="Microsoft Sans Serif"/>
        </w:rPr>
      </w:pPr>
      <w:r w:rsidRPr="006F27EB">
        <w:rPr>
          <w:rFonts w:eastAsia="Microsoft Sans Serif"/>
        </w:rPr>
        <w:t>CYNTHIA SPIGELMYER</w:t>
      </w:r>
      <w:r w:rsidRPr="006F27EB">
        <w:rPr>
          <w:rFonts w:eastAsia="Microsoft Sans Serif"/>
        </w:rPr>
        <w:cr/>
        <w:t>100 LEO COURT</w:t>
      </w:r>
      <w:r w:rsidRPr="006F27EB">
        <w:rPr>
          <w:rFonts w:eastAsia="Microsoft Sans Serif"/>
        </w:rPr>
        <w:cr/>
        <w:t>LEWISBERRY PA  17339</w:t>
      </w:r>
      <w:r w:rsidRPr="006F27EB">
        <w:rPr>
          <w:rFonts w:eastAsia="Microsoft Sans Serif"/>
        </w:rPr>
        <w:br/>
        <w:t xml:space="preserve">Served via </w:t>
      </w:r>
      <w:r w:rsidRPr="00A434FE">
        <w:rPr>
          <w:rFonts w:eastAsia="Microsoft Sans Serif"/>
          <w:caps/>
        </w:rPr>
        <w:t>u.s.p.s.</w:t>
      </w:r>
      <w:r w:rsidRPr="006F27EB">
        <w:rPr>
          <w:rFonts w:eastAsia="Microsoft Sans Serif"/>
        </w:rPr>
        <w:t xml:space="preserve"> </w:t>
      </w:r>
      <w:proofErr w:type="gramStart"/>
      <w:r w:rsidRPr="006F27EB">
        <w:rPr>
          <w:rFonts w:eastAsia="Microsoft Sans Serif"/>
        </w:rPr>
        <w:t>mail</w:t>
      </w:r>
      <w:proofErr w:type="gramEnd"/>
      <w:r w:rsidRPr="006F27EB">
        <w:rPr>
          <w:rFonts w:eastAsia="Microsoft Sans Serif"/>
        </w:rPr>
        <w:cr/>
      </w:r>
      <w:r w:rsidRPr="006F27EB">
        <w:rPr>
          <w:rFonts w:eastAsia="Microsoft Sans Serif"/>
        </w:rPr>
        <w:cr/>
        <w:t>WILLIAM H RISSMILLER</w:t>
      </w:r>
      <w:r w:rsidRPr="006F27EB">
        <w:rPr>
          <w:rFonts w:eastAsia="Microsoft Sans Serif"/>
        </w:rPr>
        <w:cr/>
        <w:t>1006 Hickory Lane</w:t>
      </w:r>
      <w:r w:rsidRPr="006F27EB">
        <w:rPr>
          <w:rFonts w:eastAsia="Microsoft Sans Serif"/>
        </w:rPr>
        <w:cr/>
        <w:t>READING PA  19606</w:t>
      </w:r>
      <w:r w:rsidRPr="006F27EB">
        <w:rPr>
          <w:rFonts w:eastAsia="Microsoft Sans Serif"/>
        </w:rPr>
        <w:cr/>
      </w:r>
      <w:r w:rsidRPr="006F27EB">
        <w:rPr>
          <w:rFonts w:eastAsia="Microsoft Sans Serif"/>
          <w:b/>
          <w:bCs/>
        </w:rPr>
        <w:t>610.779.5811</w:t>
      </w:r>
      <w:r w:rsidRPr="006F27EB">
        <w:rPr>
          <w:rFonts w:eastAsia="Microsoft Sans Serif"/>
          <w:b/>
          <w:bCs/>
        </w:rPr>
        <w:cr/>
      </w:r>
      <w:hyperlink r:id="rId27" w:history="1">
        <w:r w:rsidRPr="006F27EB">
          <w:rPr>
            <w:rFonts w:eastAsia="Microsoft Sans Serif"/>
            <w:color w:val="0563C1"/>
            <w:u w:val="single"/>
          </w:rPr>
          <w:t>whr19606@ptd.net</w:t>
        </w:r>
      </w:hyperlink>
    </w:p>
    <w:p w14:paraId="37FAC79B" w14:textId="77777777" w:rsidR="006F27EB" w:rsidRPr="006F27EB" w:rsidRDefault="006F27EB" w:rsidP="006F27EB">
      <w:pPr>
        <w:spacing w:line="240" w:lineRule="auto"/>
        <w:rPr>
          <w:rFonts w:eastAsia="Microsoft Sans Serif"/>
        </w:rPr>
      </w:pPr>
      <w:r w:rsidRPr="006F27EB">
        <w:rPr>
          <w:rFonts w:eastAsia="Microsoft Sans Serif"/>
        </w:rPr>
        <w:t xml:space="preserve">Served electronically and via </w:t>
      </w:r>
      <w:r w:rsidRPr="00A434FE">
        <w:rPr>
          <w:rFonts w:eastAsia="Microsoft Sans Serif"/>
          <w:caps/>
        </w:rPr>
        <w:t>u.s.p.s.</w:t>
      </w:r>
      <w:r w:rsidRPr="006F27EB">
        <w:rPr>
          <w:rFonts w:eastAsia="Microsoft Sans Serif"/>
        </w:rPr>
        <w:t xml:space="preserve"> </w:t>
      </w:r>
      <w:proofErr w:type="gramStart"/>
      <w:r w:rsidRPr="006F27EB">
        <w:rPr>
          <w:rFonts w:eastAsia="Microsoft Sans Serif"/>
        </w:rPr>
        <w:t>mail</w:t>
      </w:r>
      <w:proofErr w:type="gramEnd"/>
    </w:p>
    <w:p w14:paraId="2AC84766" w14:textId="600AED72" w:rsidR="006F27EB" w:rsidRPr="006F27EB" w:rsidRDefault="006F27EB" w:rsidP="006F27EB">
      <w:pPr>
        <w:spacing w:line="240" w:lineRule="auto"/>
        <w:rPr>
          <w:rFonts w:eastAsia="Microsoft Sans Serif"/>
        </w:rPr>
      </w:pPr>
      <w:r w:rsidRPr="006F27EB">
        <w:rPr>
          <w:rFonts w:eastAsia="Microsoft Sans Serif"/>
        </w:rPr>
        <w:cr/>
        <w:t>KURT BOEHM ESQUIRE</w:t>
      </w:r>
      <w:r w:rsidRPr="006F27EB">
        <w:rPr>
          <w:rFonts w:eastAsia="Microsoft Sans Serif"/>
        </w:rPr>
        <w:br/>
        <w:t>JODY KYLER COHN ESQUIRE</w:t>
      </w:r>
      <w:r w:rsidRPr="006F27EB">
        <w:rPr>
          <w:rFonts w:eastAsia="Microsoft Sans Serif"/>
        </w:rPr>
        <w:cr/>
        <w:t>BEHM KURTZ &amp; LOWRY</w:t>
      </w:r>
      <w:r w:rsidRPr="006F27EB">
        <w:rPr>
          <w:rFonts w:eastAsia="Microsoft Sans Serif"/>
        </w:rPr>
        <w:cr/>
        <w:t>36 E SEVENTH ST SUITE 1510</w:t>
      </w:r>
      <w:r w:rsidRPr="006F27EB">
        <w:rPr>
          <w:rFonts w:eastAsia="Microsoft Sans Serif"/>
        </w:rPr>
        <w:cr/>
        <w:t>CINCINNATI OH  45202</w:t>
      </w:r>
      <w:r w:rsidRPr="006F27EB">
        <w:rPr>
          <w:rFonts w:eastAsia="Microsoft Sans Serif"/>
        </w:rPr>
        <w:cr/>
      </w:r>
      <w:r w:rsidRPr="006F27EB">
        <w:rPr>
          <w:rFonts w:eastAsia="Microsoft Sans Serif"/>
          <w:b/>
          <w:bCs/>
        </w:rPr>
        <w:t>513.421.2255</w:t>
      </w:r>
      <w:r w:rsidRPr="006F27EB">
        <w:rPr>
          <w:rFonts w:eastAsia="Microsoft Sans Serif"/>
        </w:rPr>
        <w:cr/>
      </w:r>
      <w:hyperlink r:id="rId28" w:history="1">
        <w:r w:rsidRPr="006F27EB">
          <w:rPr>
            <w:rFonts w:eastAsia="Microsoft Sans Serif"/>
            <w:color w:val="0563C1"/>
            <w:u w:val="single"/>
          </w:rPr>
          <w:t>kboehm@bkllawfirm.com</w:t>
        </w:r>
      </w:hyperlink>
      <w:r w:rsidRPr="006F27EB">
        <w:rPr>
          <w:rFonts w:eastAsia="Microsoft Sans Serif"/>
        </w:rPr>
        <w:br/>
      </w:r>
      <w:hyperlink r:id="rId29" w:history="1">
        <w:r w:rsidRPr="006F27EB">
          <w:rPr>
            <w:rFonts w:eastAsia="Microsoft Sans Serif"/>
            <w:color w:val="0563C1"/>
            <w:u w:val="single"/>
          </w:rPr>
          <w:t>jkylercohn@BKLlawfirm.com</w:t>
        </w:r>
      </w:hyperlink>
    </w:p>
    <w:p w14:paraId="6067CF79" w14:textId="77777777" w:rsidR="006F27EB" w:rsidRPr="006F27EB" w:rsidRDefault="006F27EB" w:rsidP="006F27EB">
      <w:pPr>
        <w:spacing w:line="240" w:lineRule="auto"/>
        <w:rPr>
          <w:rFonts w:eastAsia="Microsoft Sans Serif"/>
        </w:rPr>
      </w:pPr>
      <w:r w:rsidRPr="006F27EB">
        <w:rPr>
          <w:rFonts w:eastAsia="Microsoft Sans Serif"/>
        </w:rPr>
        <w:t>Accepts eService</w:t>
      </w:r>
      <w:r w:rsidRPr="006F27EB">
        <w:rPr>
          <w:rFonts w:eastAsia="Microsoft Sans Serif"/>
        </w:rPr>
        <w:br/>
      </w:r>
      <w:r w:rsidRPr="006F27EB">
        <w:rPr>
          <w:rFonts w:eastAsia="Microsoft Sans Serif"/>
          <w:i/>
          <w:iCs/>
        </w:rPr>
        <w:t>(Representing Cleveland-Cliffs Steel)</w:t>
      </w:r>
      <w:r w:rsidRPr="006F27EB">
        <w:rPr>
          <w:rFonts w:eastAsia="Microsoft Sans Serif"/>
          <w:i/>
          <w:iCs/>
        </w:rPr>
        <w:cr/>
      </w:r>
      <w:r w:rsidRPr="006F27EB">
        <w:rPr>
          <w:rFonts w:eastAsia="Microsoft Sans Serif"/>
        </w:rPr>
        <w:cr/>
      </w:r>
    </w:p>
    <w:p w14:paraId="098F3060" w14:textId="77777777" w:rsidR="006F27EB" w:rsidRPr="006F27EB" w:rsidRDefault="006F27EB" w:rsidP="006F27EB">
      <w:pPr>
        <w:spacing w:line="240" w:lineRule="auto"/>
        <w:rPr>
          <w:rFonts w:eastAsia="Microsoft Sans Serif"/>
          <w:i/>
          <w:iCs/>
        </w:rPr>
      </w:pPr>
      <w:r w:rsidRPr="006F27EB">
        <w:rPr>
          <w:rFonts w:eastAsia="Microsoft Sans Serif"/>
        </w:rPr>
        <w:t>SEAN M GALLAGHER ESQUIRE</w:t>
      </w:r>
      <w:r w:rsidRPr="006F27EB">
        <w:rPr>
          <w:rFonts w:eastAsia="Microsoft Sans Serif"/>
        </w:rPr>
        <w:br/>
        <w:t>MICHAEL GALLAGHER ESQUIRE GALLAGHER LAW GROUP</w:t>
      </w:r>
      <w:r w:rsidRPr="006F27EB">
        <w:rPr>
          <w:rFonts w:eastAsia="Microsoft Sans Serif"/>
        </w:rPr>
        <w:cr/>
        <w:t>110 E DIAMOND STREET</w:t>
      </w:r>
      <w:r w:rsidRPr="006F27EB">
        <w:rPr>
          <w:rFonts w:eastAsia="Microsoft Sans Serif"/>
        </w:rPr>
        <w:cr/>
        <w:t>BUTLER PA  16001</w:t>
      </w:r>
      <w:r w:rsidRPr="006F27EB">
        <w:rPr>
          <w:rFonts w:eastAsia="Microsoft Sans Serif"/>
        </w:rPr>
        <w:cr/>
      </w:r>
      <w:r w:rsidRPr="006F27EB">
        <w:rPr>
          <w:rFonts w:eastAsia="Microsoft Sans Serif"/>
          <w:b/>
          <w:bCs/>
        </w:rPr>
        <w:t>724.282.3141</w:t>
      </w:r>
      <w:r w:rsidRPr="006F27EB">
        <w:rPr>
          <w:rFonts w:eastAsia="Microsoft Sans Serif"/>
        </w:rPr>
        <w:cr/>
      </w:r>
      <w:hyperlink r:id="rId30" w:history="1">
        <w:r w:rsidRPr="006F27EB">
          <w:rPr>
            <w:rFonts w:eastAsia="Microsoft Sans Serif"/>
            <w:color w:val="0563C1"/>
            <w:u w:val="single"/>
          </w:rPr>
          <w:t>smgallagher@gallagher.legal</w:t>
        </w:r>
      </w:hyperlink>
      <w:r w:rsidRPr="006F27EB">
        <w:rPr>
          <w:rFonts w:eastAsia="Microsoft Sans Serif"/>
        </w:rPr>
        <w:br/>
      </w:r>
      <w:hyperlink r:id="rId31" w:history="1">
        <w:r w:rsidRPr="006F27EB">
          <w:rPr>
            <w:rFonts w:eastAsia="Microsoft Sans Serif"/>
            <w:color w:val="0563C1"/>
            <w:u w:val="single"/>
          </w:rPr>
          <w:t>attys@gallagher.legal</w:t>
        </w:r>
      </w:hyperlink>
      <w:r w:rsidRPr="006F27EB">
        <w:rPr>
          <w:rFonts w:eastAsia="Microsoft Sans Serif"/>
        </w:rPr>
        <w:br/>
        <w:t>Accepts eService</w:t>
      </w:r>
      <w:r w:rsidRPr="006F27EB">
        <w:rPr>
          <w:rFonts w:eastAsia="Microsoft Sans Serif"/>
        </w:rPr>
        <w:br/>
      </w:r>
      <w:r w:rsidRPr="006F27EB">
        <w:rPr>
          <w:rFonts w:eastAsia="Microsoft Sans Serif"/>
          <w:i/>
          <w:iCs/>
        </w:rPr>
        <w:t>(Representing Summit Township, Center Township, Butler County, et al. )</w:t>
      </w:r>
      <w:r w:rsidRPr="006F27EB">
        <w:rPr>
          <w:rFonts w:eastAsia="Microsoft Sans Serif"/>
          <w:i/>
          <w:iCs/>
        </w:rPr>
        <w:cr/>
      </w:r>
    </w:p>
    <w:p w14:paraId="553F7710" w14:textId="3842E6B8" w:rsidR="006F27EB" w:rsidRPr="006F27EB" w:rsidRDefault="006F27EB" w:rsidP="006F27EB">
      <w:pPr>
        <w:spacing w:line="240" w:lineRule="auto"/>
      </w:pPr>
      <w:r w:rsidRPr="006F27EB">
        <w:t>RONALD FILIPP</w:t>
      </w:r>
      <w:r w:rsidR="0031464D">
        <w:t>N</w:t>
      </w:r>
      <w:r w:rsidRPr="006F27EB">
        <w:t>I</w:t>
      </w:r>
    </w:p>
    <w:p w14:paraId="7EC796BF" w14:textId="77777777" w:rsidR="006F27EB" w:rsidRPr="006F27EB" w:rsidRDefault="006F27EB" w:rsidP="006F27EB">
      <w:pPr>
        <w:spacing w:line="240" w:lineRule="auto"/>
      </w:pPr>
      <w:r w:rsidRPr="006F27EB">
        <w:t>28 PERKINS STREET</w:t>
      </w:r>
    </w:p>
    <w:p w14:paraId="49EF19D8" w14:textId="0DB3176C" w:rsidR="006F27EB" w:rsidRPr="006F27EB" w:rsidRDefault="006F27EB" w:rsidP="006F27EB">
      <w:pPr>
        <w:spacing w:line="240" w:lineRule="auto"/>
      </w:pPr>
      <w:r w:rsidRPr="006F27EB">
        <w:t xml:space="preserve">PLAINS PA  </w:t>
      </w:r>
      <w:r w:rsidRPr="006F27EB">
        <w:rPr>
          <w:rFonts w:eastAsia="Microsoft Sans Serif"/>
        </w:rPr>
        <w:t>18705</w:t>
      </w:r>
      <w:r w:rsidRPr="006F27EB">
        <w:rPr>
          <w:rFonts w:eastAsia="Microsoft Sans Serif"/>
        </w:rPr>
        <w:br/>
      </w:r>
      <w:r w:rsidR="003038ED">
        <w:t xml:space="preserve">served via </w:t>
      </w:r>
      <w:r w:rsidR="003038ED" w:rsidRPr="00A434FE">
        <w:rPr>
          <w:caps/>
        </w:rPr>
        <w:t>u.s.p.s.</w:t>
      </w:r>
      <w:r w:rsidR="003038ED">
        <w:t xml:space="preserve"> </w:t>
      </w:r>
      <w:proofErr w:type="gramStart"/>
      <w:r w:rsidR="003038ED">
        <w:t>mail</w:t>
      </w:r>
      <w:proofErr w:type="gramEnd"/>
    </w:p>
    <w:p w14:paraId="68AF5DDE" w14:textId="2D7B3AA3" w:rsidR="00DA0DD8" w:rsidRPr="006F27EB" w:rsidRDefault="00DA0DD8" w:rsidP="00B81594">
      <w:pPr>
        <w:contextualSpacing/>
      </w:pPr>
    </w:p>
    <w:sectPr w:rsidR="00DA0DD8" w:rsidRPr="006F27EB" w:rsidSect="00497D7A">
      <w:type w:val="continuous"/>
      <w:pgSz w:w="12240" w:h="15840"/>
      <w:pgMar w:top="630" w:right="1170" w:bottom="10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0BE10" w14:textId="77777777" w:rsidR="00FC0B8D" w:rsidRDefault="00FC0B8D" w:rsidP="00DA0DD8">
      <w:pPr>
        <w:spacing w:line="240" w:lineRule="auto"/>
      </w:pPr>
      <w:r>
        <w:separator/>
      </w:r>
    </w:p>
  </w:endnote>
  <w:endnote w:type="continuationSeparator" w:id="0">
    <w:p w14:paraId="08CBA7FE" w14:textId="77777777" w:rsidR="00FC0B8D" w:rsidRDefault="00FC0B8D" w:rsidP="00DA0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airwater Script">
    <w:charset w:val="00"/>
    <w:family w:val="auto"/>
    <w:pitch w:val="variable"/>
    <w:sig w:usb0="A000002F" w:usb1="1000004B"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D950" w14:textId="77777777" w:rsidR="00DA0DD8" w:rsidRDefault="00DA0DD8">
    <w:pPr>
      <w:tabs>
        <w:tab w:val="center" w:pos="720"/>
        <w:tab w:val="center" w:pos="4681"/>
      </w:tabs>
      <w:spacing w:after="258" w:line="259" w:lineRule="auto"/>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r>
      <w:t xml:space="preserve"> </w:t>
    </w:r>
  </w:p>
  <w:p w14:paraId="187FBB1D" w14:textId="77777777" w:rsidR="00DA0DD8" w:rsidRDefault="00DA0DD8">
    <w:pPr>
      <w:spacing w:line="259" w:lineRule="auto"/>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C7CB" w14:textId="77777777" w:rsidR="00DA0DD8" w:rsidRDefault="00DA0DD8">
    <w:pPr>
      <w:tabs>
        <w:tab w:val="center" w:pos="720"/>
        <w:tab w:val="center" w:pos="4681"/>
      </w:tabs>
      <w:spacing w:after="258" w:line="259" w:lineRule="auto"/>
    </w:pPr>
    <w:r>
      <w:rPr>
        <w:rFonts w:ascii="Calibri" w:eastAsia="Calibri" w:hAnsi="Calibri" w:cs="Calibri"/>
        <w:sz w:val="22"/>
      </w:rPr>
      <w:tab/>
    </w:r>
    <w:r>
      <w:t xml:space="preserve"> </w:t>
    </w:r>
    <w:r>
      <w:tab/>
    </w:r>
    <w:r w:rsidRPr="00962560">
      <w:rPr>
        <w:sz w:val="22"/>
        <w:szCs w:val="22"/>
      </w:rPr>
      <w:fldChar w:fldCharType="begin"/>
    </w:r>
    <w:r w:rsidRPr="00962560">
      <w:rPr>
        <w:sz w:val="22"/>
        <w:szCs w:val="22"/>
      </w:rPr>
      <w:instrText xml:space="preserve"> PAGE   \* MERGEFORMAT </w:instrText>
    </w:r>
    <w:r w:rsidRPr="00962560">
      <w:rPr>
        <w:sz w:val="22"/>
        <w:szCs w:val="22"/>
      </w:rPr>
      <w:fldChar w:fldCharType="separate"/>
    </w:r>
    <w:r w:rsidRPr="00962560">
      <w:rPr>
        <w:sz w:val="22"/>
        <w:szCs w:val="22"/>
      </w:rPr>
      <w:t>2</w:t>
    </w:r>
    <w:r w:rsidRPr="00962560">
      <w:rPr>
        <w:sz w:val="22"/>
        <w:szCs w:val="22"/>
      </w:rPr>
      <w:fldChar w:fldCharType="end"/>
    </w:r>
    <w:r w:rsidRPr="00962560">
      <w:rPr>
        <w:sz w:val="22"/>
        <w:szCs w:val="22"/>
      </w:rPr>
      <w:t xml:space="preserve"> </w:t>
    </w:r>
  </w:p>
  <w:p w14:paraId="0C6D7C35" w14:textId="77777777" w:rsidR="00DA0DD8" w:rsidRDefault="00DA0DD8">
    <w:pPr>
      <w:spacing w:line="259" w:lineRule="auto"/>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DECB" w14:textId="77777777" w:rsidR="00DA0DD8" w:rsidRDefault="00DA0DD8">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C46AB" w14:textId="77777777" w:rsidR="00FC0B8D" w:rsidRDefault="00FC0B8D" w:rsidP="00DA0DD8">
      <w:pPr>
        <w:spacing w:line="240" w:lineRule="auto"/>
      </w:pPr>
      <w:r>
        <w:separator/>
      </w:r>
    </w:p>
  </w:footnote>
  <w:footnote w:type="continuationSeparator" w:id="0">
    <w:p w14:paraId="6C9E3EE1" w14:textId="77777777" w:rsidR="00FC0B8D" w:rsidRDefault="00FC0B8D" w:rsidP="00DA0DD8">
      <w:pPr>
        <w:spacing w:line="240" w:lineRule="auto"/>
      </w:pPr>
      <w:r>
        <w:continuationSeparator/>
      </w:r>
    </w:p>
  </w:footnote>
  <w:footnote w:id="1">
    <w:p w14:paraId="67B696BA" w14:textId="77777777" w:rsidR="00DA0DD8" w:rsidRDefault="00DA0DD8">
      <w:pPr>
        <w:pStyle w:val="footnotedescription"/>
        <w:spacing w:line="267" w:lineRule="auto"/>
        <w:jc w:val="both"/>
      </w:pPr>
      <w:r>
        <w:rPr>
          <w:rStyle w:val="footnotemark"/>
        </w:rPr>
        <w:footnoteRef/>
      </w:r>
      <w:r>
        <w:t xml:space="preserve"> The only other active parties to this proceeding are Cleveland-Cliffs Steel (“Cleveland-Cliffs”), Center Township (“Center”) and Summit Township (“Summit”), which do not oppose the Settlement. </w:t>
      </w:r>
    </w:p>
  </w:footnote>
  <w:footnote w:id="2">
    <w:p w14:paraId="62C1535B" w14:textId="77777777" w:rsidR="00DA0DD8" w:rsidRDefault="00DA0DD8">
      <w:pPr>
        <w:pStyle w:val="footnotedescription"/>
        <w:spacing w:line="259" w:lineRule="auto"/>
      </w:pPr>
      <w:r>
        <w:rPr>
          <w:rStyle w:val="footnotemark"/>
        </w:rPr>
        <w:footnoteRef/>
      </w:r>
      <w:r>
        <w:t xml:space="preserve"> The OCA does not join in this paragraph but does not oppose PAWC’s request.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B894" w14:textId="77777777" w:rsidR="00DA0DD8" w:rsidRDefault="00DA0DD8">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3449" w14:textId="77777777" w:rsidR="00DA0DD8" w:rsidRDefault="00DA0DD8">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4E64" w14:textId="77777777" w:rsidR="00DA0DD8" w:rsidRDefault="00DA0DD8">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285"/>
    <w:multiLevelType w:val="hybridMultilevel"/>
    <w:tmpl w:val="0AB2BC02"/>
    <w:lvl w:ilvl="0" w:tplc="1A26743A">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E665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92BCD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A4B5A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44E1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A81D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8FD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08978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6CD1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901D1"/>
    <w:multiLevelType w:val="hybridMultilevel"/>
    <w:tmpl w:val="9B208736"/>
    <w:lvl w:ilvl="0" w:tplc="A9269D9C">
      <w:start w:val="37"/>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4961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2BE2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0877F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10DF1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820B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26A1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CD9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F0C0C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3767F7"/>
    <w:multiLevelType w:val="hybridMultilevel"/>
    <w:tmpl w:val="6E48604E"/>
    <w:lvl w:ilvl="0" w:tplc="F40C271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C35D0">
      <w:start w:val="1"/>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4CC83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2C06D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6DE0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EA19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C11B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A068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2790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C66997"/>
    <w:multiLevelType w:val="hybridMultilevel"/>
    <w:tmpl w:val="455A1C0C"/>
    <w:lvl w:ilvl="0" w:tplc="6E8690F4">
      <w:start w:val="1"/>
      <w:numFmt w:val="upperLetter"/>
      <w:lvlText w:val="%1."/>
      <w:lvlJc w:val="left"/>
      <w:pPr>
        <w:ind w:left="1452" w:hanging="720"/>
      </w:pPr>
      <w:rPr>
        <w:rFonts w:hint="default"/>
        <w:b/>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4" w15:restartNumberingAfterBreak="0">
    <w:nsid w:val="19643666"/>
    <w:multiLevelType w:val="hybridMultilevel"/>
    <w:tmpl w:val="5C0CD4CA"/>
    <w:lvl w:ilvl="0" w:tplc="C804EC1E">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C0C47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A152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7CF5E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8C2B3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A4F80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C4DD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0ED72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893D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FE4F17"/>
    <w:multiLevelType w:val="hybridMultilevel"/>
    <w:tmpl w:val="C7F485CA"/>
    <w:lvl w:ilvl="0" w:tplc="2006DCD0">
      <w:start w:val="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9207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568A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60D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4358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AEAE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403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D8B5F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1413C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D75A46"/>
    <w:multiLevelType w:val="hybridMultilevel"/>
    <w:tmpl w:val="D5800DF0"/>
    <w:lvl w:ilvl="0" w:tplc="FC667E36">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2E50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BEE2A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AA1F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A65E5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433E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473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4D4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8FD0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1A777F"/>
    <w:multiLevelType w:val="hybridMultilevel"/>
    <w:tmpl w:val="494415F4"/>
    <w:lvl w:ilvl="0" w:tplc="8982A502">
      <w:start w:val="17"/>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A08C9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EE1F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AB97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6854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ADBD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0037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824C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C3C4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A00A72"/>
    <w:multiLevelType w:val="hybridMultilevel"/>
    <w:tmpl w:val="E2D0C3F8"/>
    <w:lvl w:ilvl="0" w:tplc="BDA02620">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44A6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82B1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5AF41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0837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015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98C6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A6AA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0B6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A36922"/>
    <w:multiLevelType w:val="hybridMultilevel"/>
    <w:tmpl w:val="7834C55A"/>
    <w:lvl w:ilvl="0" w:tplc="D144C5B0">
      <w:start w:val="1"/>
      <w:numFmt w:val="upperRoman"/>
      <w:lvlText w:val="%1."/>
      <w:lvlJc w:val="left"/>
      <w:pPr>
        <w:ind w:left="1452" w:hanging="7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B4689F"/>
    <w:multiLevelType w:val="hybridMultilevel"/>
    <w:tmpl w:val="D4CE786A"/>
    <w:lvl w:ilvl="0" w:tplc="FCECB03C">
      <w:start w:val="3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DEDE0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85B1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22B7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E6F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CD0C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2EAA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3484E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C0E4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0C3536"/>
    <w:multiLevelType w:val="hybridMultilevel"/>
    <w:tmpl w:val="2E46C0C8"/>
    <w:lvl w:ilvl="0" w:tplc="30EEA3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3000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828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0A2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90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2D8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83E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864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263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DB5F35"/>
    <w:multiLevelType w:val="hybridMultilevel"/>
    <w:tmpl w:val="7826AE3C"/>
    <w:lvl w:ilvl="0" w:tplc="DD18909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7F0CBF"/>
    <w:multiLevelType w:val="hybridMultilevel"/>
    <w:tmpl w:val="39EC7870"/>
    <w:lvl w:ilvl="0" w:tplc="ED743B3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24E7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285F4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AEC8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2C1A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E581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92552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34645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581DB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5F0A0E"/>
    <w:multiLevelType w:val="hybridMultilevel"/>
    <w:tmpl w:val="C98212EA"/>
    <w:lvl w:ilvl="0" w:tplc="1C5664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060E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ED37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4ABA5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8F68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2E93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485FC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29FF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E7F6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3D3749"/>
    <w:multiLevelType w:val="hybridMultilevel"/>
    <w:tmpl w:val="5C28F730"/>
    <w:lvl w:ilvl="0" w:tplc="91B42438">
      <w:start w:val="18"/>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EDD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52313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ACCE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26FF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EF1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82EE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2BB1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476F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AF31747"/>
    <w:multiLevelType w:val="hybridMultilevel"/>
    <w:tmpl w:val="5DC6EFD8"/>
    <w:lvl w:ilvl="0" w:tplc="BE1AA5D6">
      <w:start w:val="4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C63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9E880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C85C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10EE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E1E5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8B99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8D61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80D2A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D1E3CF5"/>
    <w:multiLevelType w:val="hybridMultilevel"/>
    <w:tmpl w:val="81889C78"/>
    <w:lvl w:ilvl="0" w:tplc="52423C46">
      <w:start w:val="3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16EE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E0D2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20978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8AE66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D2EC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029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03FF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E36C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4327916">
    <w:abstractNumId w:val="14"/>
  </w:num>
  <w:num w:numId="2" w16cid:durableId="1199119821">
    <w:abstractNumId w:val="0"/>
  </w:num>
  <w:num w:numId="3" w16cid:durableId="77561560">
    <w:abstractNumId w:val="8"/>
  </w:num>
  <w:num w:numId="4" w16cid:durableId="131098960">
    <w:abstractNumId w:val="15"/>
  </w:num>
  <w:num w:numId="5" w16cid:durableId="1782607008">
    <w:abstractNumId w:val="4"/>
  </w:num>
  <w:num w:numId="6" w16cid:durableId="68964936">
    <w:abstractNumId w:val="5"/>
  </w:num>
  <w:num w:numId="7" w16cid:durableId="1736245530">
    <w:abstractNumId w:val="13"/>
  </w:num>
  <w:num w:numId="8" w16cid:durableId="1719235333">
    <w:abstractNumId w:val="6"/>
  </w:num>
  <w:num w:numId="9" w16cid:durableId="1758943312">
    <w:abstractNumId w:val="17"/>
  </w:num>
  <w:num w:numId="10" w16cid:durableId="1076511687">
    <w:abstractNumId w:val="10"/>
  </w:num>
  <w:num w:numId="11" w16cid:durableId="1753816493">
    <w:abstractNumId w:val="1"/>
  </w:num>
  <w:num w:numId="12" w16cid:durableId="832598477">
    <w:abstractNumId w:val="16"/>
  </w:num>
  <w:num w:numId="13" w16cid:durableId="209460117">
    <w:abstractNumId w:val="2"/>
  </w:num>
  <w:num w:numId="14" w16cid:durableId="1647977790">
    <w:abstractNumId w:val="7"/>
  </w:num>
  <w:num w:numId="15" w16cid:durableId="1718318756">
    <w:abstractNumId w:val="11"/>
  </w:num>
  <w:num w:numId="16" w16cid:durableId="1210532389">
    <w:abstractNumId w:val="3"/>
  </w:num>
  <w:num w:numId="17" w16cid:durableId="1379742852">
    <w:abstractNumId w:val="12"/>
  </w:num>
  <w:num w:numId="18" w16cid:durableId="1814640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6C"/>
    <w:rsid w:val="000E443B"/>
    <w:rsid w:val="000F10F6"/>
    <w:rsid w:val="001569E3"/>
    <w:rsid w:val="001B40EE"/>
    <w:rsid w:val="001C695B"/>
    <w:rsid w:val="00226428"/>
    <w:rsid w:val="002328CF"/>
    <w:rsid w:val="002547DB"/>
    <w:rsid w:val="002834E5"/>
    <w:rsid w:val="003038ED"/>
    <w:rsid w:val="0031464D"/>
    <w:rsid w:val="003170C3"/>
    <w:rsid w:val="00326414"/>
    <w:rsid w:val="003523B3"/>
    <w:rsid w:val="003626CB"/>
    <w:rsid w:val="003B5D11"/>
    <w:rsid w:val="003F36D6"/>
    <w:rsid w:val="0040456C"/>
    <w:rsid w:val="0045463B"/>
    <w:rsid w:val="004C46C8"/>
    <w:rsid w:val="004E65CC"/>
    <w:rsid w:val="00602A63"/>
    <w:rsid w:val="006F27EB"/>
    <w:rsid w:val="007B3637"/>
    <w:rsid w:val="008155A7"/>
    <w:rsid w:val="00822FD2"/>
    <w:rsid w:val="00864E5B"/>
    <w:rsid w:val="008845B2"/>
    <w:rsid w:val="00892FA8"/>
    <w:rsid w:val="008D6B52"/>
    <w:rsid w:val="00962560"/>
    <w:rsid w:val="00A434FE"/>
    <w:rsid w:val="00AC7B62"/>
    <w:rsid w:val="00AE0477"/>
    <w:rsid w:val="00B138E9"/>
    <w:rsid w:val="00B44682"/>
    <w:rsid w:val="00B81594"/>
    <w:rsid w:val="00BA1B04"/>
    <w:rsid w:val="00BD7CA9"/>
    <w:rsid w:val="00C55BD9"/>
    <w:rsid w:val="00CA1078"/>
    <w:rsid w:val="00CF4C18"/>
    <w:rsid w:val="00D05287"/>
    <w:rsid w:val="00D62A37"/>
    <w:rsid w:val="00DA0DD8"/>
    <w:rsid w:val="00EA470F"/>
    <w:rsid w:val="00F02763"/>
    <w:rsid w:val="00FC0B8D"/>
    <w:rsid w:val="00FC5685"/>
    <w:rsid w:val="00FE34DA"/>
    <w:rsid w:val="00FF2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5ADF32B"/>
  <w15:chartTrackingRefBased/>
  <w15:docId w15:val="{C4A7B77B-50B9-40F1-8C33-90DFE2AE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56C"/>
    <w:pPr>
      <w:spacing w:after="0" w:line="360" w:lineRule="auto"/>
    </w:pPr>
    <w:rPr>
      <w:rFonts w:ascii="Times New Roman" w:hAnsi="Times New Roman" w:cs="Times New Roman"/>
      <w:kern w:val="0"/>
      <w:sz w:val="24"/>
      <w:szCs w:val="24"/>
      <w14:ligatures w14:val="none"/>
    </w:rPr>
  </w:style>
  <w:style w:type="paragraph" w:styleId="Heading1">
    <w:name w:val="heading 1"/>
    <w:next w:val="Normal"/>
    <w:link w:val="Heading1Char"/>
    <w:uiPriority w:val="9"/>
    <w:qFormat/>
    <w:rsid w:val="00DA0DD8"/>
    <w:pPr>
      <w:keepNext/>
      <w:keepLines/>
      <w:spacing w:after="264" w:line="252" w:lineRule="auto"/>
      <w:ind w:left="725" w:hanging="10"/>
      <w:outlineLvl w:val="0"/>
    </w:pPr>
    <w:rPr>
      <w:rFonts w:ascii="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594"/>
    <w:pPr>
      <w:spacing w:after="0" w:line="240" w:lineRule="auto"/>
    </w:pPr>
    <w:rPr>
      <w:rFonts w:ascii="Times New Roman" w:eastAsia="Calibri" w:hAnsi="Times New Roman" w:cs="Times New Roman"/>
      <w:kern w:val="0"/>
      <w:sz w:val="24"/>
      <w14:ligatures w14:val="none"/>
    </w:rPr>
  </w:style>
  <w:style w:type="character" w:customStyle="1" w:styleId="Heading1Char">
    <w:name w:val="Heading 1 Char"/>
    <w:basedOn w:val="DefaultParagraphFont"/>
    <w:link w:val="Heading1"/>
    <w:uiPriority w:val="9"/>
    <w:rsid w:val="00DA0DD8"/>
    <w:rPr>
      <w:rFonts w:ascii="Times New Roman" w:hAnsi="Times New Roman" w:cs="Times New Roman"/>
      <w:b/>
      <w:color w:val="000000"/>
      <w:sz w:val="24"/>
    </w:rPr>
  </w:style>
  <w:style w:type="paragraph" w:customStyle="1" w:styleId="footnotedescription">
    <w:name w:val="footnote description"/>
    <w:next w:val="Normal"/>
    <w:link w:val="footnotedescriptionChar"/>
    <w:hidden/>
    <w:rsid w:val="00DA0DD8"/>
    <w:pPr>
      <w:spacing w:after="0" w:line="263" w:lineRule="auto"/>
    </w:pPr>
    <w:rPr>
      <w:rFonts w:ascii="Times New Roman" w:hAnsi="Times New Roman" w:cs="Times New Roman"/>
      <w:color w:val="000000"/>
      <w:sz w:val="20"/>
    </w:rPr>
  </w:style>
  <w:style w:type="character" w:customStyle="1" w:styleId="footnotedescriptionChar">
    <w:name w:val="footnote description Char"/>
    <w:link w:val="footnotedescription"/>
    <w:rsid w:val="00DA0DD8"/>
    <w:rPr>
      <w:rFonts w:ascii="Times New Roman" w:hAnsi="Times New Roman" w:cs="Times New Roman"/>
      <w:color w:val="000000"/>
      <w:sz w:val="20"/>
    </w:rPr>
  </w:style>
  <w:style w:type="character" w:customStyle="1" w:styleId="footnotemark">
    <w:name w:val="footnote mark"/>
    <w:hidden/>
    <w:rsid w:val="00DA0DD8"/>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DA0DD8"/>
    <w:pPr>
      <w:tabs>
        <w:tab w:val="center" w:pos="4680"/>
        <w:tab w:val="right" w:pos="9360"/>
      </w:tabs>
      <w:spacing w:line="240" w:lineRule="auto"/>
    </w:pPr>
  </w:style>
  <w:style w:type="character" w:customStyle="1" w:styleId="HeaderChar">
    <w:name w:val="Header Char"/>
    <w:basedOn w:val="DefaultParagraphFont"/>
    <w:link w:val="Header"/>
    <w:uiPriority w:val="99"/>
    <w:rsid w:val="00DA0DD8"/>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DA0DD8"/>
    <w:pPr>
      <w:tabs>
        <w:tab w:val="center" w:pos="4680"/>
        <w:tab w:val="right" w:pos="9360"/>
      </w:tabs>
      <w:spacing w:line="240" w:lineRule="auto"/>
    </w:pPr>
  </w:style>
  <w:style w:type="character" w:customStyle="1" w:styleId="FooterChar">
    <w:name w:val="Footer Char"/>
    <w:basedOn w:val="DefaultParagraphFont"/>
    <w:link w:val="Footer"/>
    <w:uiPriority w:val="99"/>
    <w:rsid w:val="00DA0DD8"/>
    <w:rPr>
      <w:rFonts w:ascii="Times New Roman" w:hAnsi="Times New Roman" w:cs="Times New Roman"/>
      <w:kern w:val="0"/>
      <w:sz w:val="24"/>
      <w:szCs w:val="24"/>
      <w14:ligatures w14:val="none"/>
    </w:rPr>
  </w:style>
  <w:style w:type="paragraph" w:styleId="ListParagraph">
    <w:name w:val="List Paragraph"/>
    <w:basedOn w:val="Normal"/>
    <w:uiPriority w:val="34"/>
    <w:qFormat/>
    <w:rsid w:val="00892FA8"/>
    <w:pPr>
      <w:ind w:left="720"/>
      <w:contextualSpacing/>
    </w:pPr>
  </w:style>
  <w:style w:type="character" w:styleId="CommentReference">
    <w:name w:val="annotation reference"/>
    <w:basedOn w:val="DefaultParagraphFont"/>
    <w:uiPriority w:val="99"/>
    <w:semiHidden/>
    <w:unhideWhenUsed/>
    <w:rsid w:val="0045463B"/>
    <w:rPr>
      <w:sz w:val="16"/>
      <w:szCs w:val="16"/>
    </w:rPr>
  </w:style>
  <w:style w:type="paragraph" w:styleId="CommentText">
    <w:name w:val="annotation text"/>
    <w:basedOn w:val="Normal"/>
    <w:link w:val="CommentTextChar"/>
    <w:uiPriority w:val="99"/>
    <w:unhideWhenUsed/>
    <w:rsid w:val="0045463B"/>
    <w:pPr>
      <w:spacing w:line="240" w:lineRule="auto"/>
    </w:pPr>
    <w:rPr>
      <w:sz w:val="20"/>
      <w:szCs w:val="20"/>
    </w:rPr>
  </w:style>
  <w:style w:type="character" w:customStyle="1" w:styleId="CommentTextChar">
    <w:name w:val="Comment Text Char"/>
    <w:basedOn w:val="DefaultParagraphFont"/>
    <w:link w:val="CommentText"/>
    <w:uiPriority w:val="99"/>
    <w:rsid w:val="0045463B"/>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5463B"/>
    <w:rPr>
      <w:b/>
      <w:bCs/>
    </w:rPr>
  </w:style>
  <w:style w:type="character" w:customStyle="1" w:styleId="CommentSubjectChar">
    <w:name w:val="Comment Subject Char"/>
    <w:basedOn w:val="CommentTextChar"/>
    <w:link w:val="CommentSubject"/>
    <w:uiPriority w:val="99"/>
    <w:semiHidden/>
    <w:rsid w:val="0045463B"/>
    <w:rPr>
      <w:rFonts w:ascii="Times New Roman" w:hAnsi="Times New Roman" w:cs="Times New Roman"/>
      <w:b/>
      <w:bCs/>
      <w:kern w:val="0"/>
      <w:sz w:val="20"/>
      <w:szCs w:val="20"/>
      <w14:ligatures w14:val="none"/>
    </w:rPr>
  </w:style>
  <w:style w:type="paragraph" w:customStyle="1" w:styleId="Default">
    <w:name w:val="Default"/>
    <w:rsid w:val="00FC568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hyperlink" Target="mailto:jnase@cozen.com" TargetMode="External"/><Relationship Id="rId26" Type="http://schemas.openxmlformats.org/officeDocument/2006/relationships/hyperlink" Target="mailto:thomas.wyatt@obermayer.com" TargetMode="External"/><Relationship Id="rId3" Type="http://schemas.openxmlformats.org/officeDocument/2006/relationships/settings" Target="settings.xml"/><Relationship Id="rId21" Type="http://schemas.openxmlformats.org/officeDocument/2006/relationships/hyperlink" Target="mailto:pcicero@paoca.org"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mailto:dzambito@cozen.com" TargetMode="External"/><Relationship Id="rId25" Type="http://schemas.openxmlformats.org/officeDocument/2006/relationships/hyperlink" Target="mailto:sydney.melillo@obermayer.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rin.fure@amwater.com" TargetMode="External"/><Relationship Id="rId20" Type="http://schemas.openxmlformats.org/officeDocument/2006/relationships/hyperlink" Target="mailto:sgray@pa.gov" TargetMode="External"/><Relationship Id="rId29" Type="http://schemas.openxmlformats.org/officeDocument/2006/relationships/hyperlink" Target="mailto:jkylercohn@BKLlawfir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matthew.olesh@obermayer.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lizabeth.Triscari@amwater.com" TargetMode="External"/><Relationship Id="rId23" Type="http://schemas.openxmlformats.org/officeDocument/2006/relationships/hyperlink" Target="mailto:egannon@paoca.org" TargetMode="External"/><Relationship Id="rId28" Type="http://schemas.openxmlformats.org/officeDocument/2006/relationships/hyperlink" Target="mailto:kboehm@bkllawfirm.com" TargetMode="External"/><Relationship Id="rId10" Type="http://schemas.openxmlformats.org/officeDocument/2006/relationships/header" Target="header2.xml"/><Relationship Id="rId19" Type="http://schemas.openxmlformats.org/officeDocument/2006/relationships/hyperlink" Target="mailto:carwright@pa.gov" TargetMode="External"/><Relationship Id="rId31" Type="http://schemas.openxmlformats.org/officeDocument/2006/relationships/hyperlink" Target="mailto:attys@gallagher.lega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hbreitman@paoca.org" TargetMode="External"/><Relationship Id="rId27" Type="http://schemas.openxmlformats.org/officeDocument/2006/relationships/hyperlink" Target="mailto:whr19606@ptd.net" TargetMode="External"/><Relationship Id="rId30" Type="http://schemas.openxmlformats.org/officeDocument/2006/relationships/hyperlink" Target="mailto:smgallagher@gallagher.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6833</Words>
  <Characters>38954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cp:revision>
  <dcterms:created xsi:type="dcterms:W3CDTF">2023-08-16T14:47:00Z</dcterms:created>
  <dcterms:modified xsi:type="dcterms:W3CDTF">2023-08-16T14:47:00Z</dcterms:modified>
</cp:coreProperties>
</file>