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A9A8" w14:textId="77777777" w:rsidR="00332CA0" w:rsidRDefault="00332CA0" w:rsidP="00F42400">
      <w:pPr>
        <w:pStyle w:val="Title"/>
        <w:tabs>
          <w:tab w:val="clear" w:pos="360"/>
          <w:tab w:val="left" w:pos="0"/>
        </w:tabs>
        <w:spacing w:line="240" w:lineRule="auto"/>
      </w:pPr>
      <w:bookmarkStart w:id="0" w:name="_Hlk2255088"/>
      <w:r>
        <w:t>BEFORE THE</w:t>
      </w:r>
    </w:p>
    <w:p w14:paraId="20344F40" w14:textId="77777777" w:rsidR="00332CA0" w:rsidRDefault="00332CA0" w:rsidP="00F42400">
      <w:pPr>
        <w:tabs>
          <w:tab w:val="left" w:pos="0"/>
        </w:tabs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14:paraId="11D10D17" w14:textId="77777777" w:rsidR="00332CA0" w:rsidRDefault="00332CA0" w:rsidP="00F42400">
      <w:pPr>
        <w:tabs>
          <w:tab w:val="left" w:pos="0"/>
        </w:tabs>
        <w:jc w:val="both"/>
        <w:rPr>
          <w:b/>
          <w:sz w:val="24"/>
        </w:rPr>
      </w:pPr>
    </w:p>
    <w:p w14:paraId="1BEFDFBC" w14:textId="77777777" w:rsidR="00332CA0" w:rsidRDefault="00332CA0" w:rsidP="00F42400">
      <w:pPr>
        <w:tabs>
          <w:tab w:val="left" w:pos="0"/>
        </w:tabs>
        <w:jc w:val="both"/>
        <w:rPr>
          <w:b/>
          <w:sz w:val="24"/>
        </w:rPr>
      </w:pPr>
    </w:p>
    <w:p w14:paraId="5C66E17F" w14:textId="77777777" w:rsidR="00332CA0" w:rsidRDefault="00332CA0" w:rsidP="00F42400">
      <w:pPr>
        <w:tabs>
          <w:tab w:val="left" w:pos="0"/>
        </w:tabs>
        <w:jc w:val="both"/>
        <w:rPr>
          <w:b/>
          <w:sz w:val="24"/>
        </w:rPr>
      </w:pPr>
    </w:p>
    <w:p w14:paraId="71E5B9CC" w14:textId="681ED806" w:rsidR="00332CA0" w:rsidRDefault="00840E95" w:rsidP="00F42400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Michael Moorefield</w:t>
      </w:r>
      <w:r w:rsidR="00FB4C36">
        <w:rPr>
          <w:sz w:val="24"/>
        </w:rPr>
        <w:t xml:space="preserve"> </w:t>
      </w:r>
      <w:r w:rsidR="00AC793D">
        <w:rPr>
          <w:sz w:val="24"/>
        </w:rPr>
        <w:tab/>
      </w:r>
      <w:r w:rsidR="00332CA0">
        <w:rPr>
          <w:sz w:val="24"/>
        </w:rPr>
        <w:tab/>
      </w:r>
      <w:r w:rsidR="00560DC5">
        <w:rPr>
          <w:sz w:val="24"/>
        </w:rPr>
        <w:tab/>
      </w:r>
      <w:r w:rsidR="00247900">
        <w:rPr>
          <w:sz w:val="24"/>
        </w:rPr>
        <w:tab/>
      </w:r>
      <w:r w:rsidR="00247900">
        <w:rPr>
          <w:sz w:val="24"/>
        </w:rPr>
        <w:tab/>
      </w:r>
      <w:r w:rsidR="00332CA0" w:rsidRPr="00560DC5">
        <w:rPr>
          <w:sz w:val="24"/>
        </w:rPr>
        <w:t>:</w:t>
      </w:r>
    </w:p>
    <w:p w14:paraId="1515C032" w14:textId="77777777" w:rsidR="00332CA0" w:rsidRPr="00560DC5" w:rsidRDefault="00332CA0" w:rsidP="00F42400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60DC5">
        <w:rPr>
          <w:sz w:val="24"/>
        </w:rPr>
        <w:t>:</w:t>
      </w:r>
    </w:p>
    <w:p w14:paraId="7E7B0604" w14:textId="099C5F46" w:rsidR="00332CA0" w:rsidRDefault="00332CA0" w:rsidP="00F4240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>v.</w:t>
      </w:r>
      <w:r w:rsidR="00560DC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60DC5"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  <w:r w:rsidR="00560DC5">
        <w:rPr>
          <w:b/>
          <w:sz w:val="24"/>
        </w:rPr>
        <w:tab/>
      </w:r>
      <w:r w:rsidR="00840E95" w:rsidRPr="00840E95">
        <w:rPr>
          <w:bCs/>
          <w:sz w:val="24"/>
        </w:rPr>
        <w:t>C-2023-3041919</w:t>
      </w:r>
    </w:p>
    <w:p w14:paraId="50A2CF13" w14:textId="77777777" w:rsidR="00332CA0" w:rsidRPr="00560DC5" w:rsidRDefault="00332CA0" w:rsidP="00F4240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</w:p>
    <w:p w14:paraId="10EEDD0E" w14:textId="709B3360" w:rsidR="00332CA0" w:rsidRDefault="002C55EF" w:rsidP="00F4240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Duquesne Light</w:t>
      </w:r>
      <w:r w:rsidR="006C244B">
        <w:rPr>
          <w:sz w:val="24"/>
        </w:rPr>
        <w:t xml:space="preserve"> Company</w:t>
      </w:r>
      <w:r w:rsidR="006C244B">
        <w:rPr>
          <w:sz w:val="24"/>
        </w:rPr>
        <w:tab/>
      </w:r>
      <w:r>
        <w:rPr>
          <w:sz w:val="24"/>
        </w:rPr>
        <w:tab/>
      </w:r>
      <w:r w:rsidR="00EF2871">
        <w:rPr>
          <w:sz w:val="24"/>
        </w:rPr>
        <w:t xml:space="preserve">   </w:t>
      </w:r>
      <w:r w:rsidR="00332CA0">
        <w:rPr>
          <w:sz w:val="24"/>
        </w:rPr>
        <w:tab/>
      </w:r>
      <w:r w:rsidR="00332CA0">
        <w:rPr>
          <w:sz w:val="24"/>
        </w:rPr>
        <w:tab/>
      </w:r>
      <w:r w:rsidR="00332CA0" w:rsidRPr="00560DC5">
        <w:rPr>
          <w:sz w:val="24"/>
        </w:rPr>
        <w:t>:</w:t>
      </w:r>
    </w:p>
    <w:p w14:paraId="36A30AB3" w14:textId="77777777" w:rsidR="00332CA0" w:rsidRDefault="00332CA0" w:rsidP="00F42400">
      <w:pPr>
        <w:tabs>
          <w:tab w:val="left" w:pos="0"/>
        </w:tabs>
        <w:jc w:val="both"/>
        <w:rPr>
          <w:sz w:val="24"/>
        </w:rPr>
      </w:pPr>
    </w:p>
    <w:p w14:paraId="27DE39BD" w14:textId="77777777" w:rsidR="00332CA0" w:rsidRDefault="00332CA0" w:rsidP="00F42400">
      <w:pPr>
        <w:tabs>
          <w:tab w:val="left" w:pos="0"/>
        </w:tabs>
        <w:jc w:val="both"/>
        <w:rPr>
          <w:b/>
          <w:sz w:val="24"/>
        </w:rPr>
      </w:pPr>
    </w:p>
    <w:p w14:paraId="1359D0CB" w14:textId="77777777" w:rsidR="00332CA0" w:rsidRDefault="00332CA0" w:rsidP="00F42400">
      <w:pPr>
        <w:tabs>
          <w:tab w:val="left" w:pos="0"/>
        </w:tabs>
        <w:jc w:val="both"/>
        <w:rPr>
          <w:b/>
          <w:sz w:val="24"/>
        </w:rPr>
      </w:pPr>
    </w:p>
    <w:p w14:paraId="77ABBA02" w14:textId="77777777" w:rsidR="00441A84" w:rsidRDefault="00686840" w:rsidP="00F42400">
      <w:pPr>
        <w:tabs>
          <w:tab w:val="left" w:pos="0"/>
        </w:tabs>
        <w:jc w:val="center"/>
        <w:rPr>
          <w:b/>
          <w:sz w:val="24"/>
        </w:rPr>
      </w:pPr>
      <w:r w:rsidRPr="00686840">
        <w:rPr>
          <w:b/>
          <w:sz w:val="24"/>
        </w:rPr>
        <w:t>INTERIM</w:t>
      </w:r>
      <w:r w:rsidR="00332CA0" w:rsidRPr="00686840">
        <w:rPr>
          <w:b/>
          <w:sz w:val="24"/>
        </w:rPr>
        <w:t xml:space="preserve"> ORDER</w:t>
      </w:r>
    </w:p>
    <w:p w14:paraId="120BDCC2" w14:textId="294BE15E" w:rsidR="00686840" w:rsidRPr="002C55EF" w:rsidRDefault="000E44A9" w:rsidP="00F42400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</w:t>
      </w:r>
      <w:r w:rsidR="00651A2A" w:rsidRPr="002C55EF">
        <w:rPr>
          <w:b/>
          <w:sz w:val="24"/>
          <w:u w:val="single"/>
        </w:rPr>
        <w:t xml:space="preserve"> </w:t>
      </w:r>
      <w:r w:rsidR="002C55EF" w:rsidRPr="002C55EF">
        <w:rPr>
          <w:b/>
          <w:sz w:val="24"/>
          <w:u w:val="single"/>
        </w:rPr>
        <w:t>PRELIMINARY OBJECTION</w:t>
      </w:r>
    </w:p>
    <w:p w14:paraId="405A0CA7" w14:textId="77777777" w:rsidR="00332CA0" w:rsidRPr="00964981" w:rsidRDefault="00332CA0" w:rsidP="00F42400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6B23FCF8" w14:textId="12501BA1" w:rsidR="001D24C7" w:rsidRDefault="00964981" w:rsidP="00F42400">
      <w:pPr>
        <w:spacing w:line="360" w:lineRule="auto"/>
        <w:rPr>
          <w:sz w:val="24"/>
          <w:szCs w:val="24"/>
        </w:rPr>
      </w:pPr>
      <w:r w:rsidRPr="00964981">
        <w:rPr>
          <w:sz w:val="24"/>
          <w:szCs w:val="24"/>
        </w:rPr>
        <w:tab/>
      </w:r>
      <w:r w:rsidRPr="00964981">
        <w:rPr>
          <w:sz w:val="24"/>
          <w:szCs w:val="24"/>
        </w:rPr>
        <w:tab/>
        <w:t>On</w:t>
      </w:r>
      <w:r w:rsidR="00A753D4">
        <w:rPr>
          <w:sz w:val="24"/>
          <w:szCs w:val="24"/>
        </w:rPr>
        <w:t xml:space="preserve"> J</w:t>
      </w:r>
      <w:r w:rsidR="000828ED">
        <w:rPr>
          <w:sz w:val="24"/>
          <w:szCs w:val="24"/>
        </w:rPr>
        <w:t>uly 21</w:t>
      </w:r>
      <w:r w:rsidR="00A753D4">
        <w:rPr>
          <w:sz w:val="24"/>
          <w:szCs w:val="24"/>
        </w:rPr>
        <w:t>, 2023</w:t>
      </w:r>
      <w:r w:rsidR="002C3656">
        <w:rPr>
          <w:sz w:val="24"/>
          <w:szCs w:val="24"/>
        </w:rPr>
        <w:t xml:space="preserve">, </w:t>
      </w:r>
      <w:r w:rsidR="000828ED">
        <w:rPr>
          <w:sz w:val="24"/>
          <w:szCs w:val="24"/>
        </w:rPr>
        <w:t>Michael Moorefield</w:t>
      </w:r>
      <w:r w:rsidR="002A7628">
        <w:rPr>
          <w:sz w:val="24"/>
          <w:szCs w:val="24"/>
        </w:rPr>
        <w:t xml:space="preserve"> (</w:t>
      </w:r>
      <w:r w:rsidR="00522597">
        <w:rPr>
          <w:sz w:val="24"/>
          <w:szCs w:val="24"/>
        </w:rPr>
        <w:t xml:space="preserve">Mr. </w:t>
      </w:r>
      <w:r w:rsidR="000828ED">
        <w:rPr>
          <w:sz w:val="24"/>
          <w:szCs w:val="24"/>
        </w:rPr>
        <w:t>Moorefield</w:t>
      </w:r>
      <w:r w:rsidR="00522597">
        <w:rPr>
          <w:sz w:val="24"/>
          <w:szCs w:val="24"/>
        </w:rPr>
        <w:t xml:space="preserve"> or </w:t>
      </w:r>
      <w:r w:rsidR="002A7628">
        <w:rPr>
          <w:sz w:val="24"/>
          <w:szCs w:val="24"/>
        </w:rPr>
        <w:t xml:space="preserve">Complainant) </w:t>
      </w:r>
      <w:r w:rsidRPr="00964981">
        <w:rPr>
          <w:sz w:val="24"/>
          <w:szCs w:val="24"/>
        </w:rPr>
        <w:t xml:space="preserve">filed a </w:t>
      </w:r>
      <w:r w:rsidR="00FB4C36">
        <w:rPr>
          <w:sz w:val="24"/>
          <w:szCs w:val="24"/>
        </w:rPr>
        <w:t>F</w:t>
      </w:r>
      <w:r w:rsidR="00943B25">
        <w:rPr>
          <w:sz w:val="24"/>
          <w:szCs w:val="24"/>
        </w:rPr>
        <w:t xml:space="preserve">ormal </w:t>
      </w:r>
      <w:r w:rsidR="00FB4C36">
        <w:rPr>
          <w:sz w:val="24"/>
          <w:szCs w:val="24"/>
        </w:rPr>
        <w:t>C</w:t>
      </w:r>
      <w:r w:rsidRPr="00964981">
        <w:rPr>
          <w:sz w:val="24"/>
          <w:szCs w:val="24"/>
        </w:rPr>
        <w:t xml:space="preserve">omplaint </w:t>
      </w:r>
      <w:r w:rsidR="00FB4C36">
        <w:rPr>
          <w:sz w:val="24"/>
          <w:szCs w:val="24"/>
        </w:rPr>
        <w:t xml:space="preserve">with the Public Utility Commission (the Commission) </w:t>
      </w:r>
      <w:r w:rsidRPr="00964981">
        <w:rPr>
          <w:sz w:val="24"/>
          <w:szCs w:val="24"/>
        </w:rPr>
        <w:t xml:space="preserve">against </w:t>
      </w:r>
      <w:r w:rsidR="000828ED">
        <w:rPr>
          <w:sz w:val="24"/>
        </w:rPr>
        <w:t xml:space="preserve">Duquesne Light </w:t>
      </w:r>
      <w:r w:rsidR="00D43DE7">
        <w:rPr>
          <w:sz w:val="24"/>
        </w:rPr>
        <w:t>Company</w:t>
      </w:r>
      <w:r w:rsidR="00EF2871">
        <w:rPr>
          <w:sz w:val="24"/>
        </w:rPr>
        <w:t xml:space="preserve"> </w:t>
      </w:r>
      <w:r w:rsidR="002A7628">
        <w:rPr>
          <w:sz w:val="24"/>
          <w:szCs w:val="24"/>
        </w:rPr>
        <w:t>(</w:t>
      </w:r>
      <w:r w:rsidR="000828ED">
        <w:rPr>
          <w:sz w:val="24"/>
          <w:szCs w:val="24"/>
        </w:rPr>
        <w:t>D</w:t>
      </w:r>
      <w:r w:rsidR="00825DAB">
        <w:rPr>
          <w:sz w:val="24"/>
          <w:szCs w:val="24"/>
        </w:rPr>
        <w:t>LC</w:t>
      </w:r>
      <w:r w:rsidR="00AA1598">
        <w:rPr>
          <w:sz w:val="24"/>
          <w:szCs w:val="24"/>
        </w:rPr>
        <w:t xml:space="preserve">, Company, or </w:t>
      </w:r>
      <w:r w:rsidR="002A7628">
        <w:rPr>
          <w:sz w:val="24"/>
          <w:szCs w:val="24"/>
        </w:rPr>
        <w:t>Respondent)</w:t>
      </w:r>
      <w:r w:rsidR="00FB4C36">
        <w:rPr>
          <w:sz w:val="24"/>
          <w:szCs w:val="24"/>
        </w:rPr>
        <w:t xml:space="preserve">.  In </w:t>
      </w:r>
      <w:r w:rsidR="00AA1598">
        <w:rPr>
          <w:sz w:val="24"/>
          <w:szCs w:val="24"/>
        </w:rPr>
        <w:t>his</w:t>
      </w:r>
      <w:r w:rsidR="00FB4C36">
        <w:rPr>
          <w:sz w:val="24"/>
          <w:szCs w:val="24"/>
        </w:rPr>
        <w:t xml:space="preserve"> Complaint, Complainant </w:t>
      </w:r>
      <w:r w:rsidR="00DE767D">
        <w:rPr>
          <w:sz w:val="24"/>
          <w:szCs w:val="24"/>
        </w:rPr>
        <w:t>aver</w:t>
      </w:r>
      <w:r w:rsidR="00A02CDE">
        <w:rPr>
          <w:sz w:val="24"/>
          <w:szCs w:val="24"/>
        </w:rPr>
        <w:t>s</w:t>
      </w:r>
      <w:r w:rsidR="00DE767D">
        <w:rPr>
          <w:sz w:val="24"/>
          <w:szCs w:val="24"/>
        </w:rPr>
        <w:t xml:space="preserve"> </w:t>
      </w:r>
      <w:r w:rsidR="00B44727">
        <w:rPr>
          <w:sz w:val="24"/>
          <w:szCs w:val="24"/>
        </w:rPr>
        <w:t>DLC</w:t>
      </w:r>
      <w:r w:rsidR="00DE767D">
        <w:rPr>
          <w:sz w:val="24"/>
          <w:szCs w:val="24"/>
        </w:rPr>
        <w:t xml:space="preserve"> </w:t>
      </w:r>
      <w:r w:rsidR="00B44727">
        <w:rPr>
          <w:sz w:val="24"/>
          <w:szCs w:val="24"/>
        </w:rPr>
        <w:t>was threatening to shut off his service or has already done so</w:t>
      </w:r>
      <w:r w:rsidR="00163252">
        <w:rPr>
          <w:sz w:val="24"/>
          <w:szCs w:val="24"/>
        </w:rPr>
        <w:t xml:space="preserve">.  </w:t>
      </w:r>
      <w:r w:rsidR="003634C6">
        <w:rPr>
          <w:sz w:val="24"/>
          <w:szCs w:val="24"/>
        </w:rPr>
        <w:t xml:space="preserve">Attached to his Complaint </w:t>
      </w:r>
      <w:r w:rsidR="0037048B">
        <w:rPr>
          <w:sz w:val="24"/>
          <w:szCs w:val="24"/>
        </w:rPr>
        <w:t xml:space="preserve">is a document </w:t>
      </w:r>
      <w:r w:rsidR="00BD3084">
        <w:rPr>
          <w:sz w:val="24"/>
          <w:szCs w:val="24"/>
        </w:rPr>
        <w:t>entitled,</w:t>
      </w:r>
      <w:r w:rsidR="0037048B">
        <w:rPr>
          <w:sz w:val="24"/>
          <w:szCs w:val="24"/>
        </w:rPr>
        <w:t xml:space="preserve"> “Notice to Principle is Notice to Agen</w:t>
      </w:r>
      <w:r w:rsidR="00BD3084">
        <w:rPr>
          <w:sz w:val="24"/>
          <w:szCs w:val="24"/>
        </w:rPr>
        <w:t>t</w:t>
      </w:r>
      <w:r w:rsidR="00C11899">
        <w:rPr>
          <w:sz w:val="24"/>
          <w:szCs w:val="24"/>
        </w:rPr>
        <w:t>” dated July 17, 2023</w:t>
      </w:r>
      <w:r w:rsidR="00B44D2F">
        <w:rPr>
          <w:sz w:val="24"/>
          <w:szCs w:val="24"/>
        </w:rPr>
        <w:t xml:space="preserve">, and addressed to the Commission’s </w:t>
      </w:r>
      <w:r w:rsidR="00FE5537">
        <w:rPr>
          <w:sz w:val="24"/>
          <w:szCs w:val="24"/>
        </w:rPr>
        <w:t>Secretary, Rosemary Chiavetta;</w:t>
      </w:r>
      <w:r w:rsidR="00ED45B2">
        <w:rPr>
          <w:sz w:val="24"/>
          <w:szCs w:val="24"/>
        </w:rPr>
        <w:t xml:space="preserve"> a </w:t>
      </w:r>
      <w:r w:rsidR="00EE2F34">
        <w:rPr>
          <w:sz w:val="24"/>
          <w:szCs w:val="24"/>
        </w:rPr>
        <w:t>Power of Attorney and Declaration</w:t>
      </w:r>
      <w:r w:rsidR="00ED45B2">
        <w:rPr>
          <w:sz w:val="24"/>
          <w:szCs w:val="24"/>
        </w:rPr>
        <w:t xml:space="preserve"> of Representative Form (IRS Form 2848)</w:t>
      </w:r>
      <w:r w:rsidR="00FE5537">
        <w:rPr>
          <w:sz w:val="24"/>
          <w:szCs w:val="24"/>
        </w:rPr>
        <w:t>;</w:t>
      </w:r>
      <w:r w:rsidR="00ED45B2">
        <w:rPr>
          <w:sz w:val="24"/>
          <w:szCs w:val="24"/>
        </w:rPr>
        <w:t xml:space="preserve"> </w:t>
      </w:r>
      <w:r w:rsidR="00325A5B">
        <w:rPr>
          <w:sz w:val="24"/>
          <w:szCs w:val="24"/>
        </w:rPr>
        <w:t xml:space="preserve">a Notice Concerning Fiduciary Relationship </w:t>
      </w:r>
      <w:r w:rsidR="00952408">
        <w:rPr>
          <w:sz w:val="24"/>
          <w:szCs w:val="24"/>
        </w:rPr>
        <w:t>Form (IRS Form 56)</w:t>
      </w:r>
      <w:r w:rsidR="00FE5537">
        <w:rPr>
          <w:sz w:val="24"/>
          <w:szCs w:val="24"/>
        </w:rPr>
        <w:t>;</w:t>
      </w:r>
      <w:r w:rsidR="00952408">
        <w:rPr>
          <w:sz w:val="24"/>
          <w:szCs w:val="24"/>
        </w:rPr>
        <w:t xml:space="preserve"> an Acquisition o</w:t>
      </w:r>
      <w:r w:rsidR="00894087">
        <w:rPr>
          <w:sz w:val="24"/>
          <w:szCs w:val="24"/>
        </w:rPr>
        <w:t>r</w:t>
      </w:r>
      <w:r w:rsidR="00952408">
        <w:rPr>
          <w:sz w:val="24"/>
          <w:szCs w:val="24"/>
        </w:rPr>
        <w:t xml:space="preserve"> Abandon</w:t>
      </w:r>
      <w:r w:rsidR="00894087">
        <w:rPr>
          <w:sz w:val="24"/>
          <w:szCs w:val="24"/>
        </w:rPr>
        <w:t>ment of Secured</w:t>
      </w:r>
      <w:r w:rsidR="00952408">
        <w:rPr>
          <w:sz w:val="24"/>
          <w:szCs w:val="24"/>
        </w:rPr>
        <w:t xml:space="preserve"> Property</w:t>
      </w:r>
      <w:r w:rsidR="00894087">
        <w:rPr>
          <w:sz w:val="24"/>
          <w:szCs w:val="24"/>
        </w:rPr>
        <w:t xml:space="preserve"> Form (</w:t>
      </w:r>
      <w:r w:rsidR="004A5AE0">
        <w:rPr>
          <w:sz w:val="24"/>
          <w:szCs w:val="24"/>
        </w:rPr>
        <w:t xml:space="preserve">IRS </w:t>
      </w:r>
      <w:r w:rsidR="00894087">
        <w:rPr>
          <w:sz w:val="24"/>
          <w:szCs w:val="24"/>
        </w:rPr>
        <w:t xml:space="preserve">Form </w:t>
      </w:r>
      <w:r w:rsidR="004A5AE0">
        <w:rPr>
          <w:sz w:val="24"/>
          <w:szCs w:val="24"/>
        </w:rPr>
        <w:t>1099-A)</w:t>
      </w:r>
      <w:r w:rsidR="00FE5537">
        <w:rPr>
          <w:sz w:val="24"/>
          <w:szCs w:val="24"/>
        </w:rPr>
        <w:t>;</w:t>
      </w:r>
      <w:r w:rsidR="004A5AE0">
        <w:rPr>
          <w:sz w:val="24"/>
          <w:szCs w:val="24"/>
        </w:rPr>
        <w:t xml:space="preserve"> a </w:t>
      </w:r>
      <w:r w:rsidR="002A161E">
        <w:rPr>
          <w:sz w:val="24"/>
          <w:szCs w:val="24"/>
        </w:rPr>
        <w:t>document entitled, “Notice and Warning to Utility Companies</w:t>
      </w:r>
      <w:r w:rsidR="004223D7">
        <w:rPr>
          <w:sz w:val="24"/>
          <w:szCs w:val="24"/>
        </w:rPr>
        <w:t>;</w:t>
      </w:r>
      <w:r w:rsidR="002A161E">
        <w:rPr>
          <w:sz w:val="24"/>
          <w:szCs w:val="24"/>
        </w:rPr>
        <w:t>”</w:t>
      </w:r>
      <w:r w:rsidR="00DE767D">
        <w:rPr>
          <w:sz w:val="24"/>
          <w:szCs w:val="24"/>
        </w:rPr>
        <w:t xml:space="preserve"> </w:t>
      </w:r>
      <w:r w:rsidR="003324AA">
        <w:rPr>
          <w:sz w:val="24"/>
          <w:szCs w:val="24"/>
        </w:rPr>
        <w:t xml:space="preserve">a </w:t>
      </w:r>
      <w:r w:rsidR="002834B4">
        <w:rPr>
          <w:sz w:val="24"/>
          <w:szCs w:val="24"/>
        </w:rPr>
        <w:t xml:space="preserve">letter dated June 12, 2023, from DLC to Complainant, </w:t>
      </w:r>
      <w:r w:rsidR="00331208">
        <w:rPr>
          <w:sz w:val="24"/>
          <w:szCs w:val="24"/>
        </w:rPr>
        <w:t xml:space="preserve">regarding </w:t>
      </w:r>
      <w:r w:rsidR="000543FB">
        <w:rPr>
          <w:sz w:val="24"/>
          <w:szCs w:val="24"/>
        </w:rPr>
        <w:t>an invalid payment</w:t>
      </w:r>
      <w:r w:rsidR="004223D7">
        <w:rPr>
          <w:sz w:val="24"/>
          <w:szCs w:val="24"/>
        </w:rPr>
        <w:t>;</w:t>
      </w:r>
      <w:r w:rsidR="000543FB">
        <w:rPr>
          <w:sz w:val="24"/>
          <w:szCs w:val="24"/>
        </w:rPr>
        <w:t xml:space="preserve"> </w:t>
      </w:r>
      <w:r w:rsidR="00C62519">
        <w:rPr>
          <w:sz w:val="24"/>
          <w:szCs w:val="24"/>
        </w:rPr>
        <w:t xml:space="preserve">copies of </w:t>
      </w:r>
      <w:r w:rsidR="009D0C2C">
        <w:rPr>
          <w:sz w:val="24"/>
          <w:szCs w:val="24"/>
        </w:rPr>
        <w:t>certified mail receipts</w:t>
      </w:r>
      <w:r w:rsidR="004223D7">
        <w:rPr>
          <w:sz w:val="24"/>
          <w:szCs w:val="24"/>
        </w:rPr>
        <w:t>;</w:t>
      </w:r>
      <w:r w:rsidR="009D0C2C">
        <w:rPr>
          <w:sz w:val="24"/>
          <w:szCs w:val="24"/>
        </w:rPr>
        <w:t xml:space="preserve"> and a letter dated </w:t>
      </w:r>
      <w:r w:rsidR="00A02CDE">
        <w:rPr>
          <w:sz w:val="24"/>
          <w:szCs w:val="24"/>
        </w:rPr>
        <w:t xml:space="preserve">June 22, 2023, from Complainant addressed to DLC.  </w:t>
      </w:r>
    </w:p>
    <w:p w14:paraId="63F4029D" w14:textId="77777777" w:rsidR="00F648BE" w:rsidRDefault="00F648BE" w:rsidP="00F42400">
      <w:pPr>
        <w:spacing w:line="360" w:lineRule="auto"/>
        <w:rPr>
          <w:sz w:val="24"/>
          <w:szCs w:val="24"/>
        </w:rPr>
      </w:pPr>
    </w:p>
    <w:p w14:paraId="472E5A62" w14:textId="02F725D6" w:rsidR="00F648BE" w:rsidRDefault="00F648BE" w:rsidP="00F424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 his document entitled, “Notice </w:t>
      </w:r>
      <w:r w:rsidR="00B44D2F">
        <w:rPr>
          <w:sz w:val="24"/>
          <w:szCs w:val="24"/>
        </w:rPr>
        <w:t>to Principle is Notice to Agent,”</w:t>
      </w:r>
      <w:r w:rsidR="004223D7">
        <w:rPr>
          <w:sz w:val="24"/>
          <w:szCs w:val="24"/>
        </w:rPr>
        <w:t xml:space="preserve"> Complainant</w:t>
      </w:r>
      <w:r w:rsidR="00B44D2F">
        <w:rPr>
          <w:sz w:val="24"/>
          <w:szCs w:val="24"/>
        </w:rPr>
        <w:t xml:space="preserve"> </w:t>
      </w:r>
      <w:r w:rsidR="004223D7">
        <w:rPr>
          <w:sz w:val="24"/>
          <w:szCs w:val="24"/>
        </w:rPr>
        <w:t>writes, “</w:t>
      </w:r>
      <w:r w:rsidR="006B594A">
        <w:rPr>
          <w:sz w:val="24"/>
          <w:szCs w:val="24"/>
        </w:rPr>
        <w:t>I, Moorefield</w:t>
      </w:r>
      <w:r w:rsidR="00767D92">
        <w:rPr>
          <w:sz w:val="24"/>
          <w:szCs w:val="24"/>
        </w:rPr>
        <w:t>: Michael-Allen, Agent, to principle MICHAEL ALLEN MOOREFIELD</w:t>
      </w:r>
      <w:r w:rsidR="008C69B1">
        <w:rPr>
          <w:sz w:val="24"/>
          <w:szCs w:val="24"/>
        </w:rPr>
        <w:t xml:space="preserve">, [am] contacting you regarding the on-going discrepancies </w:t>
      </w:r>
      <w:r w:rsidR="00717333">
        <w:rPr>
          <w:sz w:val="24"/>
          <w:szCs w:val="24"/>
        </w:rPr>
        <w:t xml:space="preserve">and </w:t>
      </w:r>
      <w:r w:rsidR="00E35F96">
        <w:rPr>
          <w:sz w:val="24"/>
          <w:szCs w:val="24"/>
        </w:rPr>
        <w:t>dishonor</w:t>
      </w:r>
      <w:r w:rsidR="00717333">
        <w:rPr>
          <w:sz w:val="24"/>
          <w:szCs w:val="24"/>
        </w:rPr>
        <w:t xml:space="preserve"> I’m experiencing as a consumer with [DLC].  </w:t>
      </w:r>
      <w:r w:rsidR="00837693">
        <w:rPr>
          <w:sz w:val="24"/>
          <w:szCs w:val="24"/>
        </w:rPr>
        <w:t>I’ve notified them the following.  Through my studies, I’m aware that through contracting</w:t>
      </w:r>
      <w:r w:rsidR="0043320F">
        <w:rPr>
          <w:sz w:val="24"/>
          <w:szCs w:val="24"/>
        </w:rPr>
        <w:t xml:space="preserve"> everything is done in trust.  </w:t>
      </w:r>
      <w:r w:rsidR="00E35F96">
        <w:rPr>
          <w:sz w:val="24"/>
          <w:szCs w:val="24"/>
        </w:rPr>
        <w:t>The</w:t>
      </w:r>
      <w:r w:rsidR="0043320F">
        <w:rPr>
          <w:sz w:val="24"/>
          <w:szCs w:val="24"/>
        </w:rPr>
        <w:t xml:space="preserve"> consumer myself, is operating in an implied trust.  Though this letter I will be expressing the trust.  Stating my position in </w:t>
      </w:r>
      <w:r w:rsidR="00E35F96">
        <w:rPr>
          <w:sz w:val="24"/>
          <w:szCs w:val="24"/>
        </w:rPr>
        <w:t>this trust relationship and my intent.”</w:t>
      </w:r>
      <w:r w:rsidR="00B44D2F">
        <w:rPr>
          <w:sz w:val="24"/>
          <w:szCs w:val="24"/>
        </w:rPr>
        <w:t xml:space="preserve"> </w:t>
      </w:r>
    </w:p>
    <w:p w14:paraId="2543B003" w14:textId="77777777" w:rsidR="0014687A" w:rsidRDefault="0014687A" w:rsidP="00F42400">
      <w:pPr>
        <w:spacing w:line="360" w:lineRule="auto"/>
        <w:rPr>
          <w:sz w:val="24"/>
          <w:szCs w:val="24"/>
        </w:rPr>
      </w:pPr>
    </w:p>
    <w:p w14:paraId="18A806FE" w14:textId="77777777" w:rsidR="00C4571B" w:rsidRDefault="0014687A" w:rsidP="00F424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Complainant explains </w:t>
      </w:r>
      <w:r w:rsidR="00252BA4">
        <w:rPr>
          <w:sz w:val="24"/>
          <w:szCs w:val="24"/>
        </w:rPr>
        <w:t xml:space="preserve">his position that he is acting as power of attorney </w:t>
      </w:r>
      <w:r w:rsidR="00DD1C77">
        <w:rPr>
          <w:sz w:val="24"/>
          <w:szCs w:val="24"/>
        </w:rPr>
        <w:t xml:space="preserve">over a trust created for the benefit of himself, Michael Moorefield.  </w:t>
      </w:r>
      <w:r w:rsidR="00DB0C22">
        <w:rPr>
          <w:sz w:val="24"/>
          <w:szCs w:val="24"/>
        </w:rPr>
        <w:t xml:space="preserve">He argues, </w:t>
      </w:r>
      <w:r w:rsidR="00DB0C22" w:rsidRPr="00395516">
        <w:rPr>
          <w:i/>
          <w:iCs/>
          <w:sz w:val="24"/>
          <w:szCs w:val="24"/>
        </w:rPr>
        <w:t>inter alia</w:t>
      </w:r>
      <w:r w:rsidR="00DB0C22">
        <w:rPr>
          <w:sz w:val="24"/>
          <w:szCs w:val="24"/>
        </w:rPr>
        <w:t xml:space="preserve">, </w:t>
      </w:r>
      <w:r w:rsidR="00FC27A7">
        <w:rPr>
          <w:sz w:val="24"/>
          <w:szCs w:val="24"/>
        </w:rPr>
        <w:t xml:space="preserve">“Cestui que vie act 1666 states </w:t>
      </w:r>
      <w:r w:rsidR="00E53AC6">
        <w:rPr>
          <w:sz w:val="24"/>
          <w:szCs w:val="24"/>
        </w:rPr>
        <w:t xml:space="preserve">we can </w:t>
      </w:r>
      <w:r w:rsidR="00FA395F">
        <w:rPr>
          <w:sz w:val="24"/>
          <w:szCs w:val="24"/>
        </w:rPr>
        <w:t>claim</w:t>
      </w:r>
      <w:r w:rsidR="00E53AC6">
        <w:rPr>
          <w:sz w:val="24"/>
          <w:szCs w:val="24"/>
        </w:rPr>
        <w:t xml:space="preserve"> all unearned interest</w:t>
      </w:r>
      <w:r w:rsidR="00DD63E3">
        <w:rPr>
          <w:sz w:val="24"/>
          <w:szCs w:val="24"/>
        </w:rPr>
        <w:t>.</w:t>
      </w:r>
      <w:r w:rsidR="00E53AC6">
        <w:rPr>
          <w:sz w:val="24"/>
          <w:szCs w:val="24"/>
        </w:rPr>
        <w:t xml:space="preserve">” </w:t>
      </w:r>
      <w:r w:rsidR="00DD63E3">
        <w:rPr>
          <w:sz w:val="24"/>
          <w:szCs w:val="24"/>
        </w:rPr>
        <w:t xml:space="preserve"> He </w:t>
      </w:r>
      <w:r w:rsidR="00C4571B">
        <w:rPr>
          <w:sz w:val="24"/>
          <w:szCs w:val="24"/>
        </w:rPr>
        <w:t xml:space="preserve">writes, </w:t>
      </w:r>
    </w:p>
    <w:p w14:paraId="16673C83" w14:textId="77777777" w:rsidR="005703C4" w:rsidRDefault="005703C4" w:rsidP="00F42400">
      <w:pPr>
        <w:spacing w:line="360" w:lineRule="auto"/>
        <w:rPr>
          <w:sz w:val="24"/>
          <w:szCs w:val="24"/>
        </w:rPr>
      </w:pPr>
    </w:p>
    <w:p w14:paraId="0451BEF8" w14:textId="77777777" w:rsidR="00262618" w:rsidRDefault="00E53AC6" w:rsidP="00B06D21">
      <w:pPr>
        <w:ind w:left="2160" w:right="720"/>
        <w:rPr>
          <w:sz w:val="24"/>
          <w:szCs w:val="24"/>
        </w:rPr>
      </w:pPr>
      <w:r>
        <w:rPr>
          <w:sz w:val="24"/>
          <w:szCs w:val="24"/>
        </w:rPr>
        <w:t xml:space="preserve">This account </w:t>
      </w:r>
      <w:r w:rsidR="00FA395F">
        <w:rPr>
          <w:sz w:val="24"/>
          <w:szCs w:val="24"/>
        </w:rPr>
        <w:t>[presumably, his electric account]</w:t>
      </w:r>
      <w:r w:rsidR="0014687A">
        <w:rPr>
          <w:sz w:val="24"/>
          <w:szCs w:val="24"/>
        </w:rPr>
        <w:t xml:space="preserve"> </w:t>
      </w:r>
      <w:r w:rsidR="0029281A">
        <w:rPr>
          <w:sz w:val="24"/>
          <w:szCs w:val="24"/>
        </w:rPr>
        <w:t>c</w:t>
      </w:r>
      <w:r w:rsidR="00395516">
        <w:rPr>
          <w:sz w:val="24"/>
          <w:szCs w:val="24"/>
        </w:rPr>
        <w:t>a</w:t>
      </w:r>
      <w:r w:rsidR="0029281A">
        <w:rPr>
          <w:sz w:val="24"/>
          <w:szCs w:val="24"/>
        </w:rPr>
        <w:t>n only be paid with the interest.  Not federal reserve notes</w:t>
      </w:r>
      <w:r w:rsidR="004C6C53">
        <w:rPr>
          <w:sz w:val="24"/>
          <w:szCs w:val="24"/>
        </w:rPr>
        <w:t xml:space="preserve">.  Truth in Lending 1601 says I’m the consumer.  It also sys the trust is a corporation/person, organization.  The Bill of Exchange Act states the only way </w:t>
      </w:r>
      <w:r w:rsidR="00395516">
        <w:rPr>
          <w:sz w:val="24"/>
          <w:szCs w:val="24"/>
        </w:rPr>
        <w:t>to pay the bill is to accept the credits and transfer.  Anything else is in noncompliance</w:t>
      </w:r>
      <w:r w:rsidR="00BF1801">
        <w:rPr>
          <w:sz w:val="24"/>
          <w:szCs w:val="24"/>
        </w:rPr>
        <w:t xml:space="preserve">….  </w:t>
      </w:r>
    </w:p>
    <w:p w14:paraId="632BC214" w14:textId="77777777" w:rsidR="00262618" w:rsidRDefault="00262618" w:rsidP="00C4571B">
      <w:pPr>
        <w:ind w:left="1440" w:right="720"/>
        <w:rPr>
          <w:sz w:val="24"/>
          <w:szCs w:val="24"/>
        </w:rPr>
      </w:pPr>
    </w:p>
    <w:p w14:paraId="757C892F" w14:textId="4F17E7FD" w:rsidR="00262618" w:rsidRDefault="00BF1801" w:rsidP="00B06D21">
      <w:pPr>
        <w:ind w:left="2160" w:right="720"/>
        <w:rPr>
          <w:sz w:val="24"/>
          <w:szCs w:val="24"/>
        </w:rPr>
      </w:pPr>
      <w:r>
        <w:rPr>
          <w:sz w:val="24"/>
          <w:szCs w:val="24"/>
        </w:rPr>
        <w:t xml:space="preserve">Trust assets are being held by [DLC] for the </w:t>
      </w:r>
      <w:r w:rsidR="00B955DF">
        <w:rPr>
          <w:sz w:val="24"/>
          <w:szCs w:val="24"/>
        </w:rPr>
        <w:t>beneficiary</w:t>
      </w:r>
      <w:r>
        <w:rPr>
          <w:sz w:val="24"/>
          <w:szCs w:val="24"/>
        </w:rPr>
        <w:t xml:space="preserve"> of the trust (myself)</w:t>
      </w:r>
      <w:r w:rsidR="00A90779">
        <w:rPr>
          <w:sz w:val="24"/>
          <w:szCs w:val="24"/>
        </w:rPr>
        <w:t>….  I’ve ‘respectfully’ authorized</w:t>
      </w:r>
      <w:r w:rsidR="004B1ECB">
        <w:rPr>
          <w:sz w:val="24"/>
          <w:szCs w:val="24"/>
        </w:rPr>
        <w:t xml:space="preserve"> Matt Ankrum C.F.O</w:t>
      </w:r>
      <w:r w:rsidR="00FD31CB">
        <w:rPr>
          <w:sz w:val="24"/>
          <w:szCs w:val="24"/>
        </w:rPr>
        <w:t>.</w:t>
      </w:r>
      <w:r w:rsidR="004B1ECB">
        <w:rPr>
          <w:sz w:val="24"/>
          <w:szCs w:val="24"/>
        </w:rPr>
        <w:t>, of [DLC]</w:t>
      </w:r>
      <w:r w:rsidR="00FD31CB">
        <w:rPr>
          <w:sz w:val="24"/>
          <w:szCs w:val="24"/>
        </w:rPr>
        <w:t xml:space="preserve"> to release the interest, which id credit to match principle to balance the account</w:t>
      </w:r>
      <w:r w:rsidR="006F56FD">
        <w:rPr>
          <w:sz w:val="24"/>
          <w:szCs w:val="24"/>
        </w:rPr>
        <w:t>.  15 USC 1615 states or the return of all unearned interest</w:t>
      </w:r>
      <w:r w:rsidR="00274511">
        <w:rPr>
          <w:sz w:val="24"/>
          <w:szCs w:val="24"/>
        </w:rPr>
        <w:t xml:space="preserve">…. As shown in the attachments, </w:t>
      </w:r>
      <w:r w:rsidR="00AA2D0A">
        <w:rPr>
          <w:sz w:val="24"/>
          <w:szCs w:val="24"/>
        </w:rPr>
        <w:t xml:space="preserve">I’ve endorsed </w:t>
      </w:r>
      <w:r w:rsidR="007A31CA">
        <w:rPr>
          <w:sz w:val="24"/>
          <w:szCs w:val="24"/>
        </w:rPr>
        <w:t>multiple</w:t>
      </w:r>
      <w:r w:rsidR="00AA2D0A">
        <w:rPr>
          <w:sz w:val="24"/>
          <w:szCs w:val="24"/>
        </w:rPr>
        <w:t xml:space="preserve"> remittance coupons.  These </w:t>
      </w:r>
      <w:r w:rsidR="007A31CA">
        <w:rPr>
          <w:sz w:val="24"/>
          <w:szCs w:val="24"/>
        </w:rPr>
        <w:t>coupons are ‘dividend’ checks</w:t>
      </w:r>
      <w:r w:rsidR="00FA40C8">
        <w:rPr>
          <w:sz w:val="24"/>
          <w:szCs w:val="24"/>
        </w:rPr>
        <w:t xml:space="preserve"> on behalf of the estate principle name MICHAEL MOOREFIELD.  Once endorsed, </w:t>
      </w:r>
      <w:r w:rsidR="00257D76">
        <w:rPr>
          <w:sz w:val="24"/>
          <w:szCs w:val="24"/>
        </w:rPr>
        <w:t xml:space="preserve">[DLC] is supposed to apply credits to the account.  </w:t>
      </w:r>
      <w:r w:rsidR="00F35F68">
        <w:rPr>
          <w:sz w:val="24"/>
          <w:szCs w:val="24"/>
        </w:rPr>
        <w:t>I’ve sent multiple coupons certified mail.  [DLC]</w:t>
      </w:r>
      <w:r w:rsidR="00C11F0C">
        <w:rPr>
          <w:sz w:val="24"/>
          <w:szCs w:val="24"/>
        </w:rPr>
        <w:t xml:space="preserve"> is continuously accepting the coupons</w:t>
      </w:r>
      <w:r w:rsidR="00262618">
        <w:rPr>
          <w:sz w:val="24"/>
          <w:szCs w:val="24"/>
        </w:rPr>
        <w:t>.</w:t>
      </w:r>
    </w:p>
    <w:p w14:paraId="534F95B5" w14:textId="77777777" w:rsidR="00262618" w:rsidRDefault="00262618" w:rsidP="00B06D21">
      <w:pPr>
        <w:ind w:left="2160" w:right="720"/>
        <w:rPr>
          <w:sz w:val="24"/>
          <w:szCs w:val="24"/>
        </w:rPr>
      </w:pPr>
    </w:p>
    <w:p w14:paraId="6E016614" w14:textId="3DE821B5" w:rsidR="0014687A" w:rsidRDefault="00262618" w:rsidP="00B06D21">
      <w:pPr>
        <w:ind w:left="2160" w:right="720"/>
        <w:rPr>
          <w:sz w:val="24"/>
          <w:szCs w:val="24"/>
        </w:rPr>
      </w:pPr>
      <w:r>
        <w:rPr>
          <w:sz w:val="24"/>
          <w:szCs w:val="24"/>
        </w:rPr>
        <w:t>H</w:t>
      </w:r>
      <w:r w:rsidR="00C11F0C">
        <w:rPr>
          <w:sz w:val="24"/>
          <w:szCs w:val="24"/>
        </w:rPr>
        <w:t xml:space="preserve">owever not </w:t>
      </w:r>
      <w:r w:rsidR="00DD393E">
        <w:rPr>
          <w:sz w:val="24"/>
          <w:szCs w:val="24"/>
        </w:rPr>
        <w:t>crediting</w:t>
      </w:r>
      <w:r w:rsidR="00C11F0C">
        <w:rPr>
          <w:sz w:val="24"/>
          <w:szCs w:val="24"/>
        </w:rPr>
        <w:t xml:space="preserve"> the account which is fraud.</w:t>
      </w:r>
      <w:r w:rsidR="000C0064">
        <w:rPr>
          <w:sz w:val="24"/>
          <w:szCs w:val="24"/>
        </w:rPr>
        <w:t xml:space="preserve">  </w:t>
      </w:r>
      <w:r w:rsidR="00B46484">
        <w:rPr>
          <w:sz w:val="24"/>
          <w:szCs w:val="24"/>
        </w:rPr>
        <w:t>I’ve also certified mailed a remittance co</w:t>
      </w:r>
      <w:r w:rsidR="00AB5F67">
        <w:rPr>
          <w:sz w:val="24"/>
          <w:szCs w:val="24"/>
        </w:rPr>
        <w:t>upon</w:t>
      </w:r>
      <w:r w:rsidR="00161F48">
        <w:rPr>
          <w:sz w:val="24"/>
          <w:szCs w:val="24"/>
        </w:rPr>
        <w:t xml:space="preserve"> for $1,020.00 which was addressed to [DLC]</w:t>
      </w:r>
      <w:r w:rsidR="007132D9">
        <w:rPr>
          <w:sz w:val="24"/>
          <w:szCs w:val="24"/>
        </w:rPr>
        <w:t xml:space="preserve">.  Which was stamped by BNY corporate and still account isn’t credited </w:t>
      </w:r>
      <w:r w:rsidR="00A2713C">
        <w:rPr>
          <w:sz w:val="24"/>
          <w:szCs w:val="24"/>
        </w:rPr>
        <w:t xml:space="preserve">for amount.  I’ve expressed my position through multiple letters, from which are continuously being ignored.  I’ve even </w:t>
      </w:r>
      <w:r w:rsidR="00467CCE">
        <w:rPr>
          <w:sz w:val="24"/>
          <w:szCs w:val="24"/>
        </w:rPr>
        <w:t>provided a letter titled ‘N</w:t>
      </w:r>
      <w:r w:rsidR="00935C03">
        <w:rPr>
          <w:sz w:val="24"/>
          <w:szCs w:val="24"/>
        </w:rPr>
        <w:t xml:space="preserve">OTICE AND WARNING TO ALL UTILITY COMPANIES.  Which </w:t>
      </w:r>
      <w:r w:rsidR="00435F0F">
        <w:rPr>
          <w:sz w:val="24"/>
          <w:szCs w:val="24"/>
        </w:rPr>
        <w:t xml:space="preserve">explains in depth the fraud and extortion that all companies due [sic].  </w:t>
      </w:r>
      <w:r w:rsidR="004E2B9F">
        <w:rPr>
          <w:sz w:val="24"/>
          <w:szCs w:val="24"/>
        </w:rPr>
        <w:t>[DLC] didn’t rebut the letter whatsoever</w:t>
      </w:r>
      <w:r w:rsidR="00CE2020">
        <w:rPr>
          <w:sz w:val="24"/>
          <w:szCs w:val="24"/>
        </w:rPr>
        <w:t xml:space="preserve">.  Yet just expressed how they refuse to honor the remittance coupon.  And continuously </w:t>
      </w:r>
      <w:r w:rsidR="00683B00">
        <w:rPr>
          <w:sz w:val="24"/>
          <w:szCs w:val="24"/>
        </w:rPr>
        <w:t>attempts to extort me, by specifying one species of payment</w:t>
      </w:r>
      <w:r w:rsidR="0042218F">
        <w:rPr>
          <w:sz w:val="24"/>
          <w:szCs w:val="24"/>
        </w:rPr>
        <w:t xml:space="preserve"> from which they will only accept which is U.S. currency.  Yest alleges I owe </w:t>
      </w:r>
      <w:r w:rsidR="00BF1FFF">
        <w:rPr>
          <w:sz w:val="24"/>
          <w:szCs w:val="24"/>
        </w:rPr>
        <w:t xml:space="preserve">them still and threatening </w:t>
      </w:r>
      <w:r w:rsidR="00803A4D">
        <w:rPr>
          <w:sz w:val="24"/>
          <w:szCs w:val="24"/>
        </w:rPr>
        <w:t>to terminate service and place account in collections</w:t>
      </w:r>
      <w:r w:rsidR="00E51FC0">
        <w:rPr>
          <w:sz w:val="24"/>
          <w:szCs w:val="24"/>
        </w:rPr>
        <w:t xml:space="preserve">…. </w:t>
      </w:r>
      <w:r w:rsidR="00E95858">
        <w:rPr>
          <w:sz w:val="24"/>
          <w:szCs w:val="24"/>
        </w:rPr>
        <w:t xml:space="preserve">MICHAEL MOOREFIELD is a government created entity, which is </w:t>
      </w:r>
      <w:r w:rsidR="009D5DAF">
        <w:rPr>
          <w:sz w:val="24"/>
          <w:szCs w:val="24"/>
        </w:rPr>
        <w:t>named</w:t>
      </w:r>
      <w:r w:rsidR="00E95858">
        <w:rPr>
          <w:sz w:val="24"/>
          <w:szCs w:val="24"/>
        </w:rPr>
        <w:t xml:space="preserve"> </w:t>
      </w:r>
      <w:r w:rsidR="00270524">
        <w:rPr>
          <w:sz w:val="24"/>
          <w:szCs w:val="24"/>
        </w:rPr>
        <w:t>after me for my benefit</w:t>
      </w:r>
      <w:r w:rsidR="00AE0E6D">
        <w:rPr>
          <w:sz w:val="24"/>
          <w:szCs w:val="24"/>
        </w:rPr>
        <w:t xml:space="preserve">.  18 USC 8 obligations </w:t>
      </w:r>
      <w:r w:rsidR="00011873">
        <w:rPr>
          <w:sz w:val="24"/>
          <w:szCs w:val="24"/>
        </w:rPr>
        <w:t xml:space="preserve">of the United States, HRJ192, public law </w:t>
      </w:r>
      <w:r w:rsidR="00B875F2">
        <w:rPr>
          <w:sz w:val="24"/>
          <w:szCs w:val="24"/>
        </w:rPr>
        <w:t xml:space="preserve">73-10.  I’ve provided </w:t>
      </w:r>
      <w:r w:rsidR="00F8177F">
        <w:rPr>
          <w:sz w:val="24"/>
          <w:szCs w:val="24"/>
        </w:rPr>
        <w:t xml:space="preserve">the necessary </w:t>
      </w:r>
      <w:r w:rsidR="00D6358E">
        <w:rPr>
          <w:sz w:val="24"/>
          <w:szCs w:val="24"/>
        </w:rPr>
        <w:t xml:space="preserve">documents to take </w:t>
      </w:r>
      <w:r w:rsidR="00D05C06">
        <w:rPr>
          <w:sz w:val="24"/>
          <w:szCs w:val="24"/>
        </w:rPr>
        <w:t xml:space="preserve">over account to have interest applied to account monthly.  </w:t>
      </w:r>
      <w:r w:rsidR="00B81144">
        <w:rPr>
          <w:sz w:val="24"/>
          <w:szCs w:val="24"/>
        </w:rPr>
        <w:t>[DLC] is also in violation of 15 USC 1681(a)(1)(2)</w:t>
      </w:r>
      <w:r w:rsidR="005E218C">
        <w:rPr>
          <w:sz w:val="24"/>
          <w:szCs w:val="24"/>
        </w:rPr>
        <w:t xml:space="preserve"> because of the dishonor this will also affect my credit.</w:t>
      </w:r>
      <w:r w:rsidR="00B02A69">
        <w:rPr>
          <w:sz w:val="24"/>
          <w:szCs w:val="24"/>
        </w:rPr>
        <w:t xml:space="preserve">  I’d appreciate it if they’d respect the paperwork</w:t>
      </w:r>
      <w:r w:rsidR="005D796F">
        <w:rPr>
          <w:sz w:val="24"/>
          <w:szCs w:val="24"/>
        </w:rPr>
        <w:t xml:space="preserve"> I’ve shown along with my position in this “trust” contract by applying interest back to </w:t>
      </w:r>
      <w:r w:rsidR="00DD63E3">
        <w:rPr>
          <w:sz w:val="24"/>
          <w:szCs w:val="24"/>
        </w:rPr>
        <w:t>principle monthly.</w:t>
      </w:r>
    </w:p>
    <w:p w14:paraId="0D81DF44" w14:textId="149A31AF" w:rsidR="00800688" w:rsidRDefault="00800688" w:rsidP="00ED13BD">
      <w:pPr>
        <w:spacing w:line="360" w:lineRule="auto"/>
        <w:ind w:right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In the document entitled, “Notice and Warning to Utility Companies,” Complainant </w:t>
      </w:r>
      <w:r w:rsidR="00ED13BD">
        <w:rPr>
          <w:sz w:val="24"/>
          <w:szCs w:val="24"/>
        </w:rPr>
        <w:t>argues</w:t>
      </w:r>
      <w:r w:rsidR="00C149CA">
        <w:rPr>
          <w:sz w:val="24"/>
          <w:szCs w:val="24"/>
        </w:rPr>
        <w:t xml:space="preserve"> </w:t>
      </w:r>
      <w:r w:rsidR="00A57521">
        <w:rPr>
          <w:sz w:val="24"/>
          <w:szCs w:val="24"/>
        </w:rPr>
        <w:t xml:space="preserve">that since House Joint </w:t>
      </w:r>
      <w:r w:rsidR="003161FF">
        <w:rPr>
          <w:sz w:val="24"/>
          <w:szCs w:val="24"/>
        </w:rPr>
        <w:t>Resolution 192 (HJR) (Public Law 7310)</w:t>
      </w:r>
      <w:r w:rsidR="00696693">
        <w:rPr>
          <w:sz w:val="24"/>
          <w:szCs w:val="24"/>
        </w:rPr>
        <w:t xml:space="preserve"> was passed in 1933 we have only had debt, because all property and gold was seized by the government</w:t>
      </w:r>
      <w:r w:rsidR="004A2513">
        <w:rPr>
          <w:sz w:val="24"/>
          <w:szCs w:val="24"/>
        </w:rPr>
        <w:t xml:space="preserve"> as collateral in the bankruptcy of the United States.  </w:t>
      </w:r>
      <w:r w:rsidR="00252638">
        <w:rPr>
          <w:sz w:val="24"/>
          <w:szCs w:val="24"/>
        </w:rPr>
        <w:t xml:space="preserve">He argues “historical records and </w:t>
      </w:r>
      <w:r w:rsidR="00AE30F3">
        <w:rPr>
          <w:sz w:val="24"/>
          <w:szCs w:val="24"/>
        </w:rPr>
        <w:t xml:space="preserve">other Acts of Congress proves the US bankruptcy </w:t>
      </w:r>
      <w:r w:rsidR="00E16245">
        <w:rPr>
          <w:sz w:val="24"/>
          <w:szCs w:val="24"/>
        </w:rPr>
        <w:t>of 1933 and that the</w:t>
      </w:r>
      <w:r w:rsidR="0042024D">
        <w:rPr>
          <w:sz w:val="24"/>
          <w:szCs w:val="24"/>
        </w:rPr>
        <w:t>re</w:t>
      </w:r>
      <w:r w:rsidR="00E16245">
        <w:rPr>
          <w:sz w:val="24"/>
          <w:szCs w:val="24"/>
        </w:rPr>
        <w:t xml:space="preserve"> is no money, only credit that the </w:t>
      </w:r>
      <w:r w:rsidR="0042024D">
        <w:rPr>
          <w:sz w:val="24"/>
          <w:szCs w:val="24"/>
        </w:rPr>
        <w:t>American</w:t>
      </w:r>
      <w:r w:rsidR="00E16245">
        <w:rPr>
          <w:sz w:val="24"/>
          <w:szCs w:val="24"/>
        </w:rPr>
        <w:t xml:space="preserve"> </w:t>
      </w:r>
      <w:r w:rsidR="0042024D">
        <w:rPr>
          <w:sz w:val="24"/>
          <w:szCs w:val="24"/>
        </w:rPr>
        <w:t>people</w:t>
      </w:r>
      <w:r w:rsidR="00E16245">
        <w:rPr>
          <w:sz w:val="24"/>
          <w:szCs w:val="24"/>
        </w:rPr>
        <w:t xml:space="preserve"> </w:t>
      </w:r>
      <w:r w:rsidR="0042024D">
        <w:rPr>
          <w:sz w:val="24"/>
          <w:szCs w:val="24"/>
        </w:rPr>
        <w:t>are the Creditors.”</w:t>
      </w:r>
      <w:r w:rsidR="00C149CA">
        <w:rPr>
          <w:sz w:val="24"/>
          <w:szCs w:val="24"/>
        </w:rPr>
        <w:t xml:space="preserve"> </w:t>
      </w:r>
      <w:r w:rsidR="0042024D">
        <w:rPr>
          <w:sz w:val="24"/>
          <w:szCs w:val="24"/>
        </w:rPr>
        <w:t xml:space="preserve"> </w:t>
      </w:r>
      <w:r w:rsidR="006C28CD">
        <w:rPr>
          <w:sz w:val="24"/>
          <w:szCs w:val="24"/>
        </w:rPr>
        <w:t>He argues, “</w:t>
      </w:r>
      <w:r w:rsidR="00BE2CF6">
        <w:rPr>
          <w:sz w:val="24"/>
          <w:szCs w:val="24"/>
        </w:rPr>
        <w:t xml:space="preserve">since there is no money, American’s signatures are used as the credit to run this country.”  </w:t>
      </w:r>
      <w:r w:rsidR="00C149CA">
        <w:rPr>
          <w:sz w:val="24"/>
          <w:szCs w:val="24"/>
        </w:rPr>
        <w:t xml:space="preserve">In support of his argument, Complainant </w:t>
      </w:r>
      <w:r w:rsidR="005B7A0D">
        <w:rPr>
          <w:sz w:val="24"/>
          <w:szCs w:val="24"/>
        </w:rPr>
        <w:t xml:space="preserve">cites </w:t>
      </w:r>
      <w:r w:rsidR="00710C81">
        <w:rPr>
          <w:sz w:val="24"/>
          <w:szCs w:val="24"/>
        </w:rPr>
        <w:t xml:space="preserve">various federal laws including, </w:t>
      </w:r>
      <w:r w:rsidR="00FD6FEB">
        <w:rPr>
          <w:sz w:val="24"/>
          <w:szCs w:val="24"/>
        </w:rPr>
        <w:t>the Trading with the Enemy Ac</w:t>
      </w:r>
      <w:r w:rsidR="00BE2CF6">
        <w:rPr>
          <w:sz w:val="24"/>
          <w:szCs w:val="24"/>
        </w:rPr>
        <w:t>t and</w:t>
      </w:r>
      <w:r w:rsidR="00FD6FEB">
        <w:rPr>
          <w:sz w:val="24"/>
          <w:szCs w:val="24"/>
        </w:rPr>
        <w:t xml:space="preserve"> </w:t>
      </w:r>
      <w:r w:rsidR="00710C81">
        <w:rPr>
          <w:sz w:val="24"/>
          <w:szCs w:val="24"/>
        </w:rPr>
        <w:t xml:space="preserve">the National Bank </w:t>
      </w:r>
      <w:r w:rsidR="006C28CD">
        <w:rPr>
          <w:sz w:val="24"/>
          <w:szCs w:val="24"/>
        </w:rPr>
        <w:t>Act</w:t>
      </w:r>
      <w:r w:rsidR="00BE2CF6">
        <w:rPr>
          <w:sz w:val="24"/>
          <w:szCs w:val="24"/>
        </w:rPr>
        <w:t>.</w:t>
      </w:r>
    </w:p>
    <w:p w14:paraId="0DDD0B74" w14:textId="77777777" w:rsidR="005B14D5" w:rsidRDefault="005B14D5" w:rsidP="00B06D21">
      <w:pPr>
        <w:spacing w:line="360" w:lineRule="auto"/>
        <w:ind w:left="2160"/>
        <w:rPr>
          <w:sz w:val="24"/>
          <w:szCs w:val="24"/>
        </w:rPr>
      </w:pPr>
    </w:p>
    <w:p w14:paraId="740D0D92" w14:textId="183517C2" w:rsidR="00964981" w:rsidRDefault="00FB4C36" w:rsidP="005703C4">
      <w:pPr>
        <w:spacing w:line="360" w:lineRule="auto"/>
        <w:ind w:firstLine="1440"/>
        <w:rPr>
          <w:sz w:val="24"/>
          <w:szCs w:val="24"/>
        </w:rPr>
      </w:pPr>
      <w:r w:rsidRPr="00975A02">
        <w:rPr>
          <w:sz w:val="24"/>
          <w:szCs w:val="24"/>
        </w:rPr>
        <w:t xml:space="preserve">On </w:t>
      </w:r>
      <w:r w:rsidR="00EF1E86">
        <w:rPr>
          <w:sz w:val="24"/>
          <w:szCs w:val="24"/>
        </w:rPr>
        <w:t>August 16</w:t>
      </w:r>
      <w:r w:rsidR="002128A8">
        <w:rPr>
          <w:sz w:val="24"/>
          <w:szCs w:val="24"/>
        </w:rPr>
        <w:t>, 2023</w:t>
      </w:r>
      <w:r w:rsidRPr="00975A02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2A7628" w:rsidRPr="00B656BB">
        <w:rPr>
          <w:sz w:val="24"/>
          <w:szCs w:val="24"/>
        </w:rPr>
        <w:t xml:space="preserve">Respondent </w:t>
      </w:r>
      <w:r w:rsidR="00964981" w:rsidRPr="00B656BB">
        <w:rPr>
          <w:sz w:val="24"/>
          <w:szCs w:val="24"/>
        </w:rPr>
        <w:t xml:space="preserve">filed an </w:t>
      </w:r>
      <w:r>
        <w:rPr>
          <w:sz w:val="24"/>
          <w:szCs w:val="24"/>
        </w:rPr>
        <w:t>A</w:t>
      </w:r>
      <w:r w:rsidR="00964981" w:rsidRPr="00B656BB">
        <w:rPr>
          <w:sz w:val="24"/>
          <w:szCs w:val="24"/>
        </w:rPr>
        <w:t>nswer</w:t>
      </w:r>
      <w:r w:rsidR="00C541B4" w:rsidRPr="00B656BB">
        <w:rPr>
          <w:sz w:val="24"/>
          <w:szCs w:val="24"/>
        </w:rPr>
        <w:t xml:space="preserve"> </w:t>
      </w:r>
      <w:r w:rsidR="002854AA">
        <w:rPr>
          <w:sz w:val="24"/>
          <w:szCs w:val="24"/>
        </w:rPr>
        <w:t>to the Complaint</w:t>
      </w:r>
      <w:r w:rsidR="003B5D07">
        <w:rPr>
          <w:sz w:val="24"/>
          <w:szCs w:val="24"/>
        </w:rPr>
        <w:t xml:space="preserve">, denying all material allegations in the Complaint.  </w:t>
      </w:r>
      <w:r w:rsidR="004D1750">
        <w:rPr>
          <w:sz w:val="24"/>
          <w:szCs w:val="24"/>
        </w:rPr>
        <w:t>DLC explains</w:t>
      </w:r>
      <w:r w:rsidR="00A56251">
        <w:rPr>
          <w:sz w:val="24"/>
          <w:szCs w:val="24"/>
        </w:rPr>
        <w:t xml:space="preserve"> </w:t>
      </w:r>
      <w:r w:rsidR="00F21306">
        <w:rPr>
          <w:sz w:val="24"/>
          <w:szCs w:val="24"/>
        </w:rPr>
        <w:t>C</w:t>
      </w:r>
      <w:r w:rsidR="00A56251">
        <w:rPr>
          <w:sz w:val="24"/>
          <w:szCs w:val="24"/>
        </w:rPr>
        <w:t>omplainant established service in his name at 305 San Juan Dr., Apt. 8, Port Vue, PA 151</w:t>
      </w:r>
      <w:r w:rsidR="00F21306">
        <w:rPr>
          <w:sz w:val="24"/>
          <w:szCs w:val="24"/>
        </w:rPr>
        <w:t xml:space="preserve">31 (service location) on March 22, 2023, and </w:t>
      </w:r>
      <w:r w:rsidR="006C23D8">
        <w:rPr>
          <w:sz w:val="24"/>
          <w:szCs w:val="24"/>
        </w:rPr>
        <w:t xml:space="preserve">no payments have posted to account since.  </w:t>
      </w:r>
      <w:r w:rsidR="00CA0C80">
        <w:rPr>
          <w:sz w:val="24"/>
          <w:szCs w:val="24"/>
        </w:rPr>
        <w:t xml:space="preserve">DLC argues Complainant is responsible for payment of his utility </w:t>
      </w:r>
      <w:r w:rsidR="0024417E">
        <w:rPr>
          <w:sz w:val="24"/>
          <w:szCs w:val="24"/>
        </w:rPr>
        <w:t xml:space="preserve">bill and </w:t>
      </w:r>
      <w:r w:rsidR="005223EF">
        <w:rPr>
          <w:sz w:val="24"/>
          <w:szCs w:val="24"/>
        </w:rPr>
        <w:t xml:space="preserve">may not pay </w:t>
      </w:r>
      <w:r w:rsidR="0085355D">
        <w:rPr>
          <w:sz w:val="24"/>
          <w:szCs w:val="24"/>
        </w:rPr>
        <w:t>with “remittance coupons.”</w:t>
      </w:r>
      <w:r w:rsidR="005223EF">
        <w:rPr>
          <w:sz w:val="24"/>
          <w:szCs w:val="24"/>
        </w:rPr>
        <w:t xml:space="preserve">  </w:t>
      </w:r>
    </w:p>
    <w:p w14:paraId="0D8CBBDE" w14:textId="77777777" w:rsidR="00EC2D73" w:rsidRDefault="00EC2D73" w:rsidP="00F42400">
      <w:pPr>
        <w:spacing w:line="360" w:lineRule="auto"/>
        <w:ind w:firstLine="720"/>
        <w:rPr>
          <w:sz w:val="24"/>
          <w:szCs w:val="24"/>
        </w:rPr>
      </w:pPr>
    </w:p>
    <w:p w14:paraId="5EA66B54" w14:textId="37A43081" w:rsidR="00EC2D73" w:rsidRDefault="00EC2D73" w:rsidP="00F42400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On August 16, 2023, DLC also filed </w:t>
      </w:r>
      <w:r w:rsidR="00D5777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Preliminary Objection to the Complaint.  </w:t>
      </w:r>
      <w:r w:rsidR="0075252E">
        <w:rPr>
          <w:sz w:val="24"/>
          <w:szCs w:val="24"/>
        </w:rPr>
        <w:t>DLC argues the portions of the Complaint alleging violations of federal law should be dismissed</w:t>
      </w:r>
      <w:r w:rsidR="000C76BC">
        <w:rPr>
          <w:sz w:val="24"/>
          <w:szCs w:val="24"/>
        </w:rPr>
        <w:t xml:space="preserve">.  DLC argues </w:t>
      </w:r>
      <w:r w:rsidR="005D64D6">
        <w:rPr>
          <w:sz w:val="24"/>
          <w:szCs w:val="24"/>
        </w:rPr>
        <w:t>the Commission lacks jurisdiction to adjudicate those claims</w:t>
      </w:r>
      <w:r w:rsidR="000C76BC">
        <w:rPr>
          <w:sz w:val="24"/>
          <w:szCs w:val="24"/>
        </w:rPr>
        <w:t xml:space="preserve">, thus rendering those portions of the Complaint </w:t>
      </w:r>
      <w:r w:rsidR="00C95D1F">
        <w:rPr>
          <w:sz w:val="24"/>
          <w:szCs w:val="24"/>
        </w:rPr>
        <w:t xml:space="preserve">legally insufficient.  </w:t>
      </w:r>
      <w:r w:rsidR="005D64D6">
        <w:rPr>
          <w:sz w:val="24"/>
          <w:szCs w:val="24"/>
        </w:rPr>
        <w:t xml:space="preserve">  </w:t>
      </w:r>
      <w:r w:rsidR="0075252E">
        <w:rPr>
          <w:sz w:val="24"/>
          <w:szCs w:val="24"/>
        </w:rPr>
        <w:t xml:space="preserve"> </w:t>
      </w:r>
    </w:p>
    <w:p w14:paraId="33CE8F3A" w14:textId="77777777" w:rsidR="00511494" w:rsidRDefault="00511494" w:rsidP="00F42400">
      <w:pPr>
        <w:spacing w:line="360" w:lineRule="auto"/>
        <w:ind w:firstLine="720"/>
        <w:rPr>
          <w:sz w:val="24"/>
          <w:szCs w:val="24"/>
        </w:rPr>
      </w:pPr>
    </w:p>
    <w:p w14:paraId="201CED34" w14:textId="3951676F" w:rsidR="00BF2AA7" w:rsidRDefault="00BF2AA7" w:rsidP="007E5C84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On August 24, 2023, Complainant </w:t>
      </w:r>
      <w:r w:rsidR="002D5C71">
        <w:rPr>
          <w:sz w:val="24"/>
          <w:szCs w:val="24"/>
        </w:rPr>
        <w:t xml:space="preserve">filed a response to DLC’s pleadings, essentially reiterating the arguments raised in his Complaint. </w:t>
      </w:r>
      <w:r w:rsidR="00511494">
        <w:rPr>
          <w:sz w:val="24"/>
          <w:szCs w:val="24"/>
        </w:rPr>
        <w:tab/>
      </w:r>
    </w:p>
    <w:p w14:paraId="21075C4D" w14:textId="77777777" w:rsidR="00FE37A5" w:rsidRDefault="00FE37A5" w:rsidP="007E5C84">
      <w:pPr>
        <w:spacing w:line="360" w:lineRule="auto"/>
        <w:ind w:firstLine="720"/>
        <w:rPr>
          <w:sz w:val="24"/>
          <w:szCs w:val="24"/>
        </w:rPr>
      </w:pPr>
    </w:p>
    <w:p w14:paraId="0EFAE373" w14:textId="00A77B61" w:rsidR="00FE37A5" w:rsidRDefault="00FE37A5" w:rsidP="007E5C84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On August 28, 2023, the Commission </w:t>
      </w:r>
      <w:r w:rsidR="00AC0CF0">
        <w:rPr>
          <w:sz w:val="24"/>
          <w:szCs w:val="24"/>
        </w:rPr>
        <w:t>issued a Hearing Notice, assigning this matter to me and scheduling an evidentiary hearing for October 11, 2023.</w:t>
      </w:r>
    </w:p>
    <w:p w14:paraId="62349434" w14:textId="77777777" w:rsidR="00BF2AA7" w:rsidRDefault="00BF2AA7" w:rsidP="007E5C84">
      <w:pPr>
        <w:spacing w:line="360" w:lineRule="auto"/>
        <w:ind w:firstLine="720"/>
        <w:rPr>
          <w:sz w:val="24"/>
          <w:szCs w:val="24"/>
        </w:rPr>
      </w:pPr>
    </w:p>
    <w:p w14:paraId="16598136" w14:textId="532BB36B" w:rsidR="007E5C84" w:rsidRDefault="00D22058" w:rsidP="007E5C84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B27D8D">
        <w:rPr>
          <w:sz w:val="24"/>
          <w:szCs w:val="24"/>
        </w:rPr>
        <w:t xml:space="preserve"> </w:t>
      </w:r>
      <w:r w:rsidR="005C696E">
        <w:rPr>
          <w:sz w:val="24"/>
          <w:szCs w:val="24"/>
        </w:rPr>
        <w:t xml:space="preserve">It is now appropriate for me to rule on the Preliminary Objection. </w:t>
      </w:r>
    </w:p>
    <w:p w14:paraId="28721DCD" w14:textId="77777777" w:rsidR="00DE6016" w:rsidRDefault="00DE6016" w:rsidP="007E5C84">
      <w:pPr>
        <w:spacing w:line="360" w:lineRule="auto"/>
        <w:ind w:firstLine="720"/>
        <w:rPr>
          <w:sz w:val="24"/>
          <w:szCs w:val="24"/>
        </w:rPr>
      </w:pPr>
    </w:p>
    <w:p w14:paraId="5BB49A27" w14:textId="77777777" w:rsidR="00C6003E" w:rsidRDefault="00C6003E" w:rsidP="00DE6016">
      <w:pPr>
        <w:spacing w:line="360" w:lineRule="auto"/>
        <w:jc w:val="center"/>
        <w:rPr>
          <w:sz w:val="24"/>
          <w:szCs w:val="24"/>
          <w:u w:val="single"/>
        </w:rPr>
      </w:pPr>
    </w:p>
    <w:p w14:paraId="76F03B6F" w14:textId="77777777" w:rsidR="00C6003E" w:rsidRDefault="00C6003E" w:rsidP="00DE6016">
      <w:pPr>
        <w:spacing w:line="360" w:lineRule="auto"/>
        <w:jc w:val="center"/>
        <w:rPr>
          <w:sz w:val="24"/>
          <w:szCs w:val="24"/>
          <w:u w:val="single"/>
        </w:rPr>
      </w:pPr>
    </w:p>
    <w:p w14:paraId="1486AA27" w14:textId="3A8AB937" w:rsidR="00DE6016" w:rsidRPr="00DE6016" w:rsidRDefault="00DE6016" w:rsidP="00DE6016">
      <w:pPr>
        <w:spacing w:line="360" w:lineRule="auto"/>
        <w:jc w:val="center"/>
        <w:rPr>
          <w:sz w:val="24"/>
          <w:szCs w:val="24"/>
          <w:u w:val="single"/>
        </w:rPr>
      </w:pPr>
      <w:r w:rsidRPr="00DE6016">
        <w:rPr>
          <w:sz w:val="24"/>
          <w:szCs w:val="24"/>
          <w:u w:val="single"/>
        </w:rPr>
        <w:lastRenderedPageBreak/>
        <w:t>DISCUSSION</w:t>
      </w:r>
    </w:p>
    <w:p w14:paraId="1C4A2D20" w14:textId="77777777" w:rsidR="005C696E" w:rsidRDefault="005C696E" w:rsidP="007E5C84">
      <w:pPr>
        <w:spacing w:line="360" w:lineRule="auto"/>
        <w:ind w:firstLine="720"/>
        <w:rPr>
          <w:sz w:val="24"/>
          <w:szCs w:val="24"/>
        </w:rPr>
      </w:pPr>
    </w:p>
    <w:p w14:paraId="09D35442" w14:textId="2F54A903" w:rsidR="00473AB3" w:rsidRPr="0091189D" w:rsidRDefault="00DE6016" w:rsidP="00473AB3">
      <w:pPr>
        <w:autoSpaceDE w:val="0"/>
        <w:autoSpaceDN w:val="0"/>
        <w:spacing w:line="360" w:lineRule="auto"/>
        <w:rPr>
          <w:sz w:val="24"/>
          <w:szCs w:val="24"/>
        </w:rPr>
      </w:pPr>
      <w:r>
        <w:rPr>
          <w:rFonts w:ascii="CG Times" w:eastAsia="SimSun" w:hAnsi="CG Times"/>
          <w:sz w:val="24"/>
          <w:szCs w:val="24"/>
        </w:rPr>
        <w:tab/>
      </w:r>
      <w:r>
        <w:rPr>
          <w:rFonts w:ascii="CG Times" w:eastAsia="SimSun" w:hAnsi="CG Times"/>
          <w:sz w:val="24"/>
          <w:szCs w:val="24"/>
        </w:rPr>
        <w:tab/>
      </w:r>
      <w:r w:rsidR="00473AB3" w:rsidRPr="00A9731F">
        <w:rPr>
          <w:rFonts w:ascii="CG Times" w:eastAsia="SimSun" w:hAnsi="CG Times"/>
          <w:sz w:val="24"/>
          <w:szCs w:val="24"/>
        </w:rPr>
        <w:t>Preliminary objection practice before the Commission is similar to Pennsylvania civil practice respecting preliminary objections.</w:t>
      </w:r>
      <w:r w:rsidR="00473AB3" w:rsidRPr="00A9731F">
        <w:rPr>
          <w:rFonts w:ascii="CG Times" w:eastAsia="SimSun" w:hAnsi="CG Times"/>
          <w:sz w:val="24"/>
          <w:szCs w:val="24"/>
          <w:vertAlign w:val="superscript"/>
        </w:rPr>
        <w:footnoteReference w:id="1"/>
      </w:r>
      <w:r w:rsidR="00473AB3" w:rsidRPr="00A9731F">
        <w:rPr>
          <w:rFonts w:ascii="CG Times" w:eastAsia="SimSun" w:hAnsi="CG Times"/>
          <w:sz w:val="24"/>
          <w:szCs w:val="24"/>
        </w:rPr>
        <w:t xml:space="preserve">  </w:t>
      </w:r>
      <w:r w:rsidR="00473AB3">
        <w:rPr>
          <w:rFonts w:ascii="CG Times" w:eastAsia="SimSun" w:hAnsi="CG Times"/>
          <w:sz w:val="24"/>
          <w:szCs w:val="24"/>
        </w:rPr>
        <w:t>Pursuant to Section 5.101(a)(1) a party may object to a pleading due to lack of Commission jurisdiction</w:t>
      </w:r>
      <w:r w:rsidR="00473AB3" w:rsidRPr="003A2186">
        <w:rPr>
          <w:rFonts w:eastAsia="SimSun"/>
          <w:sz w:val="24"/>
          <w:szCs w:val="24"/>
        </w:rPr>
        <w:t>.</w:t>
      </w:r>
      <w:r w:rsidR="00473AB3" w:rsidRPr="003A2186">
        <w:rPr>
          <w:rStyle w:val="FootnoteReference"/>
          <w:rFonts w:eastAsia="SimSun"/>
          <w:sz w:val="24"/>
          <w:szCs w:val="24"/>
        </w:rPr>
        <w:footnoteReference w:id="2"/>
      </w:r>
      <w:r w:rsidR="00473AB3" w:rsidRPr="003A2186">
        <w:rPr>
          <w:rFonts w:eastAsia="SimSun"/>
          <w:sz w:val="24"/>
          <w:szCs w:val="24"/>
        </w:rPr>
        <w:t xml:space="preserve">  </w:t>
      </w:r>
      <w:r w:rsidR="00473AB3" w:rsidRPr="003A2186">
        <w:rPr>
          <w:sz w:val="24"/>
          <w:szCs w:val="24"/>
        </w:rPr>
        <w:t>The moving party may not rely on its own factual assertions but must accept for the purposes of disposition of the preliminary objection, all well-pleaded, material facts of the other party, as well as every inference fairly deducible from those facts.</w:t>
      </w:r>
      <w:r w:rsidR="00473AB3" w:rsidRPr="003A2186">
        <w:rPr>
          <w:rStyle w:val="FootnoteReference"/>
          <w:sz w:val="24"/>
          <w:szCs w:val="24"/>
        </w:rPr>
        <w:footnoteReference w:id="3"/>
      </w:r>
      <w:r w:rsidR="00473AB3" w:rsidRPr="003A2186">
        <w:rPr>
          <w:sz w:val="24"/>
          <w:szCs w:val="24"/>
        </w:rPr>
        <w:t xml:space="preserve"> </w:t>
      </w:r>
      <w:r w:rsidR="00473AB3">
        <w:rPr>
          <w:sz w:val="24"/>
          <w:szCs w:val="24"/>
        </w:rPr>
        <w:t xml:space="preserve"> </w:t>
      </w:r>
      <w:r w:rsidR="00473AB3" w:rsidRPr="003A2186">
        <w:rPr>
          <w:sz w:val="24"/>
          <w:szCs w:val="24"/>
        </w:rPr>
        <w:t xml:space="preserve">However, the </w:t>
      </w:r>
      <w:r w:rsidR="00473AB3" w:rsidRPr="0002103F">
        <w:rPr>
          <w:sz w:val="24"/>
          <w:szCs w:val="24"/>
        </w:rPr>
        <w:t>Commission need not accept as true conclusions of law, unwarranted inferences from facts, argumentative allegations</w:t>
      </w:r>
      <w:r w:rsidR="00473AB3">
        <w:rPr>
          <w:sz w:val="24"/>
          <w:szCs w:val="24"/>
        </w:rPr>
        <w:t>,</w:t>
      </w:r>
      <w:r w:rsidR="00473AB3" w:rsidRPr="0002103F">
        <w:rPr>
          <w:sz w:val="24"/>
          <w:szCs w:val="24"/>
        </w:rPr>
        <w:t xml:space="preserve"> or expressions of opinion.</w:t>
      </w:r>
      <w:r w:rsidR="00473AB3" w:rsidRPr="0002103F">
        <w:rPr>
          <w:rStyle w:val="FootnoteReference"/>
          <w:sz w:val="24"/>
          <w:szCs w:val="24"/>
        </w:rPr>
        <w:footnoteReference w:id="4"/>
      </w:r>
    </w:p>
    <w:p w14:paraId="0B54116A" w14:textId="77777777" w:rsidR="00473AB3" w:rsidRPr="00E77B67" w:rsidRDefault="00473AB3" w:rsidP="00473AB3">
      <w:pPr>
        <w:autoSpaceDE w:val="0"/>
        <w:autoSpaceDN w:val="0"/>
        <w:spacing w:line="360" w:lineRule="auto"/>
        <w:rPr>
          <w:rFonts w:eastAsia="SimSun"/>
          <w:sz w:val="24"/>
          <w:szCs w:val="24"/>
        </w:rPr>
      </w:pPr>
    </w:p>
    <w:p w14:paraId="332CD425" w14:textId="6322A514" w:rsidR="00473AB3" w:rsidRPr="00540D7E" w:rsidRDefault="00473AB3" w:rsidP="00473AB3">
      <w:pPr>
        <w:autoSpaceDE w:val="0"/>
        <w:autoSpaceDN w:val="0"/>
        <w:spacing w:line="360" w:lineRule="auto"/>
        <w:rPr>
          <w:sz w:val="24"/>
          <w:szCs w:val="24"/>
        </w:rPr>
      </w:pPr>
      <w:r w:rsidRPr="00E77B67">
        <w:rPr>
          <w:rFonts w:eastAsia="SimSun"/>
          <w:sz w:val="24"/>
          <w:szCs w:val="24"/>
        </w:rPr>
        <w:tab/>
      </w:r>
      <w:r w:rsidRPr="00E77B67">
        <w:rPr>
          <w:rFonts w:eastAsia="SimSun"/>
          <w:sz w:val="24"/>
          <w:szCs w:val="24"/>
        </w:rPr>
        <w:tab/>
      </w:r>
      <w:r w:rsidRPr="00E77B67">
        <w:rPr>
          <w:sz w:val="24"/>
          <w:szCs w:val="24"/>
        </w:rPr>
        <w:t>As described above, M</w:t>
      </w:r>
      <w:r>
        <w:rPr>
          <w:sz w:val="24"/>
          <w:szCs w:val="24"/>
        </w:rPr>
        <w:t>r</w:t>
      </w:r>
      <w:r w:rsidRPr="00E77B67">
        <w:rPr>
          <w:sz w:val="24"/>
          <w:szCs w:val="24"/>
        </w:rPr>
        <w:t xml:space="preserve">. </w:t>
      </w:r>
      <w:r w:rsidR="000E44A9">
        <w:rPr>
          <w:sz w:val="24"/>
        </w:rPr>
        <w:t xml:space="preserve">Moorefield </w:t>
      </w:r>
      <w:r>
        <w:rPr>
          <w:sz w:val="24"/>
          <w:szCs w:val="24"/>
        </w:rPr>
        <w:t xml:space="preserve">indicated on the Complaint that </w:t>
      </w:r>
      <w:r w:rsidR="0091189D">
        <w:rPr>
          <w:sz w:val="24"/>
          <w:szCs w:val="24"/>
        </w:rPr>
        <w:t xml:space="preserve">DLC </w:t>
      </w:r>
      <w:r>
        <w:rPr>
          <w:sz w:val="24"/>
          <w:szCs w:val="24"/>
        </w:rPr>
        <w:t xml:space="preserve">was threatening to terminate his service or had already done so.  </w:t>
      </w:r>
      <w:r w:rsidR="006258D8">
        <w:rPr>
          <w:sz w:val="24"/>
          <w:szCs w:val="24"/>
        </w:rPr>
        <w:t xml:space="preserve">He argues he </w:t>
      </w:r>
      <w:r w:rsidR="00F21936">
        <w:rPr>
          <w:sz w:val="24"/>
          <w:szCs w:val="24"/>
        </w:rPr>
        <w:t xml:space="preserve">has made payment on his account via </w:t>
      </w:r>
      <w:r w:rsidR="000E37FB">
        <w:rPr>
          <w:sz w:val="24"/>
          <w:szCs w:val="24"/>
        </w:rPr>
        <w:t>“</w:t>
      </w:r>
      <w:r w:rsidR="00F21936">
        <w:rPr>
          <w:sz w:val="24"/>
          <w:szCs w:val="24"/>
        </w:rPr>
        <w:t>remittance coupons</w:t>
      </w:r>
      <w:r w:rsidR="000E37FB">
        <w:rPr>
          <w:sz w:val="24"/>
          <w:szCs w:val="24"/>
        </w:rPr>
        <w:t>”</w:t>
      </w:r>
      <w:r w:rsidR="00F21936">
        <w:rPr>
          <w:sz w:val="24"/>
          <w:szCs w:val="24"/>
        </w:rPr>
        <w:t xml:space="preserve"> and DLC has failed to properly credit his account.  </w:t>
      </w:r>
      <w:r w:rsidR="000E37FB">
        <w:rPr>
          <w:sz w:val="24"/>
          <w:szCs w:val="24"/>
        </w:rPr>
        <w:t xml:space="preserve">In support of his claims, Complainant cites </w:t>
      </w:r>
      <w:r w:rsidR="00F31283">
        <w:rPr>
          <w:sz w:val="24"/>
          <w:szCs w:val="24"/>
        </w:rPr>
        <w:t>various pieces of federal legislation.</w:t>
      </w:r>
    </w:p>
    <w:p w14:paraId="59D3519A" w14:textId="77777777" w:rsidR="00473AB3" w:rsidRPr="00540D7E" w:rsidRDefault="00473AB3" w:rsidP="00473AB3">
      <w:pPr>
        <w:autoSpaceDE w:val="0"/>
        <w:autoSpaceDN w:val="0"/>
        <w:spacing w:line="360" w:lineRule="auto"/>
        <w:rPr>
          <w:sz w:val="24"/>
          <w:szCs w:val="24"/>
        </w:rPr>
      </w:pPr>
    </w:p>
    <w:p w14:paraId="1AEE69B3" w14:textId="4C87DB4B" w:rsidR="00473AB3" w:rsidRPr="00BA3992" w:rsidRDefault="00473AB3" w:rsidP="00473AB3">
      <w:pPr>
        <w:autoSpaceDE w:val="0"/>
        <w:autoSpaceDN w:val="0"/>
        <w:spacing w:line="360" w:lineRule="auto"/>
        <w:rPr>
          <w:rFonts w:eastAsia="SimSun"/>
          <w:sz w:val="24"/>
          <w:szCs w:val="24"/>
        </w:rPr>
      </w:pPr>
      <w:r w:rsidRPr="00540D7E">
        <w:rPr>
          <w:sz w:val="24"/>
          <w:szCs w:val="24"/>
        </w:rPr>
        <w:tab/>
      </w:r>
      <w:r w:rsidRPr="00540D7E">
        <w:rPr>
          <w:sz w:val="24"/>
          <w:szCs w:val="24"/>
        </w:rPr>
        <w:tab/>
        <w:t>The Commission, as a creation of the General Assembly, only has the powers and authority granted to it by the General Assembly and contained in the Public Utility Code.</w:t>
      </w:r>
      <w:r w:rsidRPr="00540D7E">
        <w:rPr>
          <w:rStyle w:val="FootnoteReference"/>
          <w:sz w:val="24"/>
          <w:szCs w:val="24"/>
        </w:rPr>
        <w:footnoteReference w:id="5"/>
      </w:r>
      <w:r w:rsidRPr="00540D7E">
        <w:rPr>
          <w:sz w:val="24"/>
          <w:szCs w:val="24"/>
        </w:rPr>
        <w:t xml:space="preserve">  The Commission must act within and cannot exceed, its jurisdiction.</w:t>
      </w:r>
      <w:r w:rsidRPr="00540D7E">
        <w:rPr>
          <w:rStyle w:val="FootnoteReference"/>
          <w:sz w:val="24"/>
          <w:szCs w:val="24"/>
        </w:rPr>
        <w:footnoteReference w:id="6"/>
      </w:r>
      <w:r w:rsidRPr="00540D7E">
        <w:rPr>
          <w:sz w:val="24"/>
          <w:szCs w:val="24"/>
        </w:rPr>
        <w:t xml:space="preserve">  Jurisdiction may not be conferred by the parties where not exists.</w:t>
      </w:r>
      <w:r w:rsidRPr="00540D7E">
        <w:rPr>
          <w:rStyle w:val="FootnoteReference"/>
          <w:sz w:val="24"/>
          <w:szCs w:val="24"/>
        </w:rPr>
        <w:footnoteReference w:id="7"/>
      </w:r>
      <w:r w:rsidRPr="00540D7E">
        <w:rPr>
          <w:sz w:val="24"/>
          <w:szCs w:val="24"/>
        </w:rPr>
        <w:t xml:space="preserve">  </w:t>
      </w:r>
    </w:p>
    <w:p w14:paraId="4759A8F5" w14:textId="77777777" w:rsidR="00473AB3" w:rsidRPr="00BA3992" w:rsidRDefault="00473AB3" w:rsidP="00473AB3">
      <w:pPr>
        <w:autoSpaceDE w:val="0"/>
        <w:autoSpaceDN w:val="0"/>
        <w:spacing w:line="360" w:lineRule="auto"/>
        <w:rPr>
          <w:rFonts w:eastAsia="SimSun"/>
          <w:sz w:val="24"/>
          <w:szCs w:val="24"/>
        </w:rPr>
      </w:pPr>
    </w:p>
    <w:p w14:paraId="401AB63A" w14:textId="49D27711" w:rsidR="00473AB3" w:rsidRPr="00A97A62" w:rsidRDefault="00473AB3" w:rsidP="00473AB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BA3992">
        <w:rPr>
          <w:rFonts w:eastAsia="SimSun"/>
        </w:rPr>
        <w:lastRenderedPageBreak/>
        <w:tab/>
      </w:r>
      <w:r w:rsidRPr="00BA3992">
        <w:rPr>
          <w:rFonts w:eastAsia="SimSun"/>
        </w:rPr>
        <w:tab/>
        <w:t xml:space="preserve">Furthermore, the Commission’s rules provide, </w:t>
      </w:r>
      <w:r w:rsidRPr="00BA3992">
        <w:rPr>
          <w:color w:val="333333"/>
        </w:rPr>
        <w:t xml:space="preserve">“A person complaining of an act done or omitted to be done by a person subject to the jurisdiction of the Commission, in violation, or claimed violation of a </w:t>
      </w:r>
      <w:r w:rsidRPr="000B57EE">
        <w:rPr>
          <w:b/>
          <w:bCs/>
          <w:color w:val="333333"/>
        </w:rPr>
        <w:t>statute which the Commission has jurisdiction to administer</w:t>
      </w:r>
      <w:r w:rsidRPr="00BA3992">
        <w:rPr>
          <w:color w:val="333333"/>
        </w:rPr>
        <w:t xml:space="preserve">, or </w:t>
      </w:r>
      <w:r w:rsidRPr="000B57EE">
        <w:rPr>
          <w:b/>
          <w:bCs/>
          <w:color w:val="333333"/>
        </w:rPr>
        <w:t>of a regulation or order of the Commission</w:t>
      </w:r>
      <w:r w:rsidRPr="00BA3992">
        <w:rPr>
          <w:color w:val="333333"/>
        </w:rPr>
        <w:t xml:space="preserve">, may file a formal complaint with the </w:t>
      </w:r>
      <w:r w:rsidRPr="002E6F9A">
        <w:rPr>
          <w:color w:val="333333"/>
        </w:rPr>
        <w:t>Commission.”</w:t>
      </w:r>
      <w:r w:rsidR="00A97A62">
        <w:rPr>
          <w:color w:val="333333"/>
        </w:rPr>
        <w:t xml:space="preserve">  </w:t>
      </w:r>
      <w:r w:rsidRPr="00A97A62">
        <w:t xml:space="preserve">The Commission </w:t>
      </w:r>
      <w:r w:rsidR="0083126A">
        <w:t xml:space="preserve">simply </w:t>
      </w:r>
      <w:r w:rsidRPr="00A97A62">
        <w:t xml:space="preserve">lacks jurisdiction over federal laws </w:t>
      </w:r>
      <w:r w:rsidR="00A97A62">
        <w:t>and</w:t>
      </w:r>
      <w:r w:rsidRPr="00A97A62">
        <w:t xml:space="preserve"> regulations.  </w:t>
      </w:r>
      <w:r w:rsidR="00192744">
        <w:t xml:space="preserve">The Preliminary Objections must be granted and the alleged violations of federal law must by stricken from the Complaint.   </w:t>
      </w:r>
    </w:p>
    <w:p w14:paraId="0C311298" w14:textId="77777777" w:rsidR="00473AB3" w:rsidRPr="002E6F9A" w:rsidRDefault="00473AB3" w:rsidP="00473AB3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43956676" w14:textId="2B14870F" w:rsidR="00AB269B" w:rsidRDefault="00473AB3" w:rsidP="00AB269B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2E6F9A">
        <w:tab/>
      </w:r>
      <w:r w:rsidRPr="002E6F9A">
        <w:tab/>
      </w:r>
      <w:r w:rsidR="003224EB">
        <w:t>Finally, I want to advise the parties that, a</w:t>
      </w:r>
      <w:r w:rsidR="00AB269B" w:rsidRPr="00597442">
        <w:t>s the party seeking affirmative relief from the Commission, Complainant bears the burden of proof</w:t>
      </w:r>
      <w:r w:rsidR="003224EB">
        <w:t xml:space="preserve"> at the evidentiary hearing</w:t>
      </w:r>
      <w:r w:rsidR="00AB269B" w:rsidRPr="00597442">
        <w:t>.</w:t>
      </w:r>
      <w:r w:rsidR="00AB269B" w:rsidRPr="00597442">
        <w:rPr>
          <w:vertAlign w:val="superscript"/>
        </w:rPr>
        <w:footnoteReference w:id="8"/>
      </w:r>
      <w:r w:rsidR="00AB269B" w:rsidRPr="00597442">
        <w:t xml:space="preserve">  To satisfy this burden, Complainant must show </w:t>
      </w:r>
      <w:r w:rsidR="00184821">
        <w:t xml:space="preserve">substantial evidence </w:t>
      </w:r>
      <w:r w:rsidR="00624A8E">
        <w:t xml:space="preserve">that </w:t>
      </w:r>
      <w:r w:rsidR="00184821">
        <w:t xml:space="preserve">the Company </w:t>
      </w:r>
      <w:r w:rsidR="00AB269B" w:rsidRPr="00597442">
        <w:t xml:space="preserve">is responsible or accountable for </w:t>
      </w:r>
      <w:r w:rsidR="00184821">
        <w:t xml:space="preserve">a </w:t>
      </w:r>
      <w:r w:rsidR="00594865">
        <w:t xml:space="preserve">violation of a statute over which the Commission has jurisdiction to </w:t>
      </w:r>
      <w:r w:rsidR="00922B4F">
        <w:t xml:space="preserve">administer, a </w:t>
      </w:r>
      <w:r w:rsidR="00624A8E">
        <w:t xml:space="preserve">Tariff provision, or a </w:t>
      </w:r>
      <w:r w:rsidR="00922B4F">
        <w:t>Commission regulation or Order</w:t>
      </w:r>
      <w:r w:rsidR="00624A8E">
        <w:t>.</w:t>
      </w:r>
      <w:r w:rsidR="00AB269B" w:rsidRPr="00597442">
        <w:rPr>
          <w:vertAlign w:val="superscript"/>
        </w:rPr>
        <w:footnoteReference w:id="9"/>
      </w:r>
      <w:r w:rsidR="00AB269B" w:rsidRPr="00597442">
        <w:t xml:space="preserve">  </w:t>
      </w:r>
      <w:r w:rsidR="00AB269B">
        <w:t xml:space="preserve"> </w:t>
      </w:r>
      <w:r w:rsidR="00AB269B">
        <w:tab/>
      </w:r>
      <w:r w:rsidR="00192744">
        <w:t xml:space="preserve"> </w:t>
      </w:r>
    </w:p>
    <w:p w14:paraId="3D2DCC3E" w14:textId="21014802" w:rsidR="00411D16" w:rsidRDefault="00411D16" w:rsidP="00F42400">
      <w:pPr>
        <w:spacing w:line="360" w:lineRule="auto"/>
        <w:ind w:firstLine="720"/>
        <w:rPr>
          <w:sz w:val="24"/>
          <w:szCs w:val="24"/>
        </w:rPr>
      </w:pPr>
    </w:p>
    <w:p w14:paraId="0CF266F9" w14:textId="7E038438" w:rsidR="00964981" w:rsidRPr="0031173B" w:rsidRDefault="00840A08" w:rsidP="00F42400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64981" w:rsidRPr="0031173B">
        <w:rPr>
          <w:sz w:val="24"/>
          <w:szCs w:val="24"/>
        </w:rPr>
        <w:t>THEREFORE</w:t>
      </w:r>
      <w:r w:rsidR="00AA08A3" w:rsidRPr="0031173B">
        <w:rPr>
          <w:sz w:val="24"/>
          <w:szCs w:val="24"/>
        </w:rPr>
        <w:t>,</w:t>
      </w:r>
    </w:p>
    <w:p w14:paraId="4A652351" w14:textId="77777777" w:rsidR="00964981" w:rsidRPr="0031173B" w:rsidRDefault="00964981" w:rsidP="00F42400">
      <w:pPr>
        <w:spacing w:line="360" w:lineRule="auto"/>
        <w:ind w:firstLine="720"/>
        <w:rPr>
          <w:sz w:val="24"/>
          <w:szCs w:val="24"/>
        </w:rPr>
      </w:pPr>
    </w:p>
    <w:p w14:paraId="2508B17F" w14:textId="77777777" w:rsidR="00964981" w:rsidRPr="00964981" w:rsidRDefault="00964981" w:rsidP="00F42400">
      <w:pPr>
        <w:spacing w:line="360" w:lineRule="auto"/>
        <w:ind w:firstLine="720"/>
        <w:rPr>
          <w:sz w:val="24"/>
          <w:szCs w:val="24"/>
        </w:rPr>
      </w:pPr>
      <w:r w:rsidRPr="00964981">
        <w:rPr>
          <w:sz w:val="24"/>
          <w:szCs w:val="24"/>
        </w:rPr>
        <w:tab/>
        <w:t>IT IS ORDERED:</w:t>
      </w:r>
    </w:p>
    <w:p w14:paraId="3DF160B3" w14:textId="77777777" w:rsidR="00857E11" w:rsidRPr="00857E11" w:rsidRDefault="00857E11" w:rsidP="00857E11">
      <w:pPr>
        <w:pStyle w:val="ListParagraph"/>
        <w:rPr>
          <w:sz w:val="24"/>
          <w:szCs w:val="24"/>
        </w:rPr>
      </w:pPr>
    </w:p>
    <w:p w14:paraId="32A8D391" w14:textId="6FE81B39" w:rsidR="00364761" w:rsidRDefault="00364761" w:rsidP="00857E11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Preliminary Objection filed by </w:t>
      </w:r>
      <w:r w:rsidR="00852841">
        <w:rPr>
          <w:sz w:val="24"/>
          <w:szCs w:val="24"/>
        </w:rPr>
        <w:t>Duquesne</w:t>
      </w:r>
      <w:r>
        <w:rPr>
          <w:sz w:val="24"/>
          <w:szCs w:val="24"/>
        </w:rPr>
        <w:t xml:space="preserve"> Light Company is </w:t>
      </w:r>
      <w:r w:rsidR="00852841">
        <w:rPr>
          <w:sz w:val="24"/>
          <w:szCs w:val="24"/>
        </w:rPr>
        <w:t xml:space="preserve">granted. </w:t>
      </w:r>
    </w:p>
    <w:p w14:paraId="511A43B5" w14:textId="77777777" w:rsidR="00152063" w:rsidRDefault="00152063" w:rsidP="00152063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7E41644A" w14:textId="40C318AA" w:rsidR="00852841" w:rsidRDefault="00852841" w:rsidP="00857E11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claims of alleged violations of federal laws or statutes are stricken from the Complaint. </w:t>
      </w:r>
    </w:p>
    <w:p w14:paraId="74B4A251" w14:textId="77777777" w:rsidR="00852841" w:rsidRDefault="00852841" w:rsidP="00852841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25C7E231" w14:textId="7C3E72D3" w:rsidR="00857E11" w:rsidRDefault="00780E52" w:rsidP="00857E11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</w:t>
      </w:r>
      <w:r w:rsidR="00F93A44">
        <w:rPr>
          <w:sz w:val="24"/>
          <w:szCs w:val="24"/>
        </w:rPr>
        <w:t xml:space="preserve">, at the evidentiary hearing, </w:t>
      </w:r>
      <w:r>
        <w:rPr>
          <w:sz w:val="24"/>
          <w:szCs w:val="24"/>
        </w:rPr>
        <w:t xml:space="preserve">Mr. </w:t>
      </w:r>
      <w:r w:rsidR="00852841">
        <w:rPr>
          <w:sz w:val="24"/>
          <w:szCs w:val="24"/>
        </w:rPr>
        <w:t>Moorefield</w:t>
      </w:r>
      <w:r w:rsidR="00F93A44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bear the burden </w:t>
      </w:r>
      <w:r w:rsidR="00F93A44">
        <w:rPr>
          <w:sz w:val="24"/>
          <w:szCs w:val="24"/>
        </w:rPr>
        <w:t xml:space="preserve">of proof </w:t>
      </w:r>
      <w:r w:rsidR="00325367">
        <w:rPr>
          <w:sz w:val="24"/>
          <w:szCs w:val="24"/>
        </w:rPr>
        <w:t xml:space="preserve">to present </w:t>
      </w:r>
      <w:r w:rsidR="00F93A44">
        <w:rPr>
          <w:sz w:val="24"/>
          <w:szCs w:val="24"/>
        </w:rPr>
        <w:t>substantial evidence that he is entitled to the relief sought</w:t>
      </w:r>
      <w:r w:rsidR="00D572FB">
        <w:rPr>
          <w:sz w:val="24"/>
          <w:szCs w:val="24"/>
        </w:rPr>
        <w:t xml:space="preserve"> in his Complaint.</w:t>
      </w:r>
    </w:p>
    <w:p w14:paraId="5B7490DD" w14:textId="77777777" w:rsidR="00D93A07" w:rsidRDefault="00D93A07" w:rsidP="00D93A07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5F0D93D5" w14:textId="6EBF0C14" w:rsidR="00D93A07" w:rsidRDefault="00D93A07" w:rsidP="00857E11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That the evidentiary hearing shall convene as scheduled on </w:t>
      </w:r>
      <w:r w:rsidR="00AC0CF0">
        <w:rPr>
          <w:sz w:val="24"/>
          <w:szCs w:val="24"/>
        </w:rPr>
        <w:t>October 11, 2023.</w:t>
      </w:r>
    </w:p>
    <w:p w14:paraId="3FA6CC72" w14:textId="77777777" w:rsidR="00780E52" w:rsidRPr="00780E52" w:rsidRDefault="00780E52" w:rsidP="00780E52">
      <w:pPr>
        <w:pStyle w:val="ListParagraph"/>
        <w:rPr>
          <w:sz w:val="24"/>
          <w:szCs w:val="24"/>
        </w:rPr>
      </w:pPr>
    </w:p>
    <w:p w14:paraId="36253E98" w14:textId="77777777" w:rsidR="00780E52" w:rsidRPr="0076675C" w:rsidRDefault="00780E52" w:rsidP="00780E52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4B77AE57" w14:textId="7483D1EB" w:rsidR="00081F4E" w:rsidRPr="00081F4E" w:rsidRDefault="00081F4E" w:rsidP="00081F4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bookmarkStart w:id="1" w:name="_Hlk10719696"/>
      <w:bookmarkEnd w:id="0"/>
      <w:r w:rsidRPr="00081F4E">
        <w:rPr>
          <w:sz w:val="24"/>
          <w:szCs w:val="24"/>
        </w:rPr>
        <w:t xml:space="preserve">Date:  </w:t>
      </w:r>
      <w:r w:rsidR="00C6003E">
        <w:rPr>
          <w:sz w:val="24"/>
          <w:szCs w:val="24"/>
          <w:u w:val="single"/>
        </w:rPr>
        <w:t>August 31</w:t>
      </w:r>
      <w:r w:rsidR="003A605A">
        <w:rPr>
          <w:sz w:val="24"/>
          <w:szCs w:val="24"/>
          <w:u w:val="single"/>
        </w:rPr>
        <w:t>, 202</w:t>
      </w:r>
      <w:r w:rsidR="00F93A44">
        <w:rPr>
          <w:sz w:val="24"/>
          <w:szCs w:val="24"/>
          <w:u w:val="single"/>
        </w:rPr>
        <w:t>3</w:t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  <w:u w:val="single"/>
        </w:rPr>
        <w:tab/>
      </w:r>
      <w:r w:rsidRPr="00081F4E">
        <w:rPr>
          <w:sz w:val="24"/>
          <w:szCs w:val="24"/>
          <w:u w:val="single"/>
        </w:rPr>
        <w:tab/>
        <w:t>/s/</w:t>
      </w:r>
      <w:r w:rsidRPr="00081F4E">
        <w:rPr>
          <w:sz w:val="24"/>
          <w:szCs w:val="24"/>
          <w:u w:val="single"/>
        </w:rPr>
        <w:tab/>
      </w:r>
      <w:r w:rsidRPr="00081F4E">
        <w:rPr>
          <w:sz w:val="24"/>
          <w:szCs w:val="24"/>
          <w:u w:val="single"/>
        </w:rPr>
        <w:tab/>
      </w:r>
      <w:r w:rsidRPr="00081F4E">
        <w:rPr>
          <w:sz w:val="24"/>
          <w:szCs w:val="24"/>
          <w:u w:val="single"/>
        </w:rPr>
        <w:tab/>
      </w:r>
    </w:p>
    <w:p w14:paraId="49680C4B" w14:textId="77777777" w:rsidR="00081F4E" w:rsidRPr="00081F4E" w:rsidRDefault="00081F4E" w:rsidP="00081F4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  <w:t>Emily I. DeVoe</w:t>
      </w:r>
    </w:p>
    <w:p w14:paraId="790A627A" w14:textId="77777777" w:rsidR="00152063" w:rsidRDefault="00081F4E" w:rsidP="003A605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  <w:sectPr w:rsidR="00152063" w:rsidSect="00AC79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</w:r>
      <w:r w:rsidRPr="00081F4E">
        <w:rPr>
          <w:sz w:val="24"/>
          <w:szCs w:val="24"/>
        </w:rPr>
        <w:tab/>
        <w:t>Administrative Law Judge</w:t>
      </w:r>
    </w:p>
    <w:p w14:paraId="4053D864" w14:textId="77777777" w:rsidR="00152063" w:rsidRPr="00152063" w:rsidRDefault="00152063" w:rsidP="00152063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152063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C-2023-3041919 - MICHAEL MOOREFIELD v. DUQUESNE LIGHT COMPANY</w:t>
      </w:r>
      <w:r w:rsidRPr="00152063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Pr="00152063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 xml:space="preserve">MICHAEL MOOREFIELD </w:t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305 SAN JAUN DR APT 8</w:t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PORT VUE PA  15133</w:t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152063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412.853.4474</w:t>
      </w:r>
      <w:r w:rsidRPr="00152063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0" w:history="1">
        <w:r w:rsidRPr="00152063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szCs w:val="22"/>
            <w:u w:val="single"/>
            <w14:ligatures w14:val="standardContextual"/>
          </w:rPr>
          <w:t>mrmfieldz021@gmail.com</w:t>
        </w:r>
      </w:hyperlink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EMILY M FARAH COUNSEL</w:t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411 SEVENTH AVENUE</w:t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PITTSBURGH PA  15219</w:t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152063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412.393.6431</w:t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hyperlink r:id="rId11" w:history="1">
        <w:r w:rsidRPr="00152063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szCs w:val="22"/>
            <w:u w:val="single"/>
            <w14:ligatures w14:val="standardContextual"/>
          </w:rPr>
          <w:t>efarah@duqlight.com</w:t>
        </w:r>
      </w:hyperlink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15206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Pr="00152063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t>(Counsel for Duquesne Light Company)</w:t>
      </w:r>
      <w:r w:rsidRPr="00152063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cr/>
      </w:r>
    </w:p>
    <w:p w14:paraId="5AB5BAEA" w14:textId="6DCBEF20" w:rsidR="00F42400" w:rsidRPr="00081F4E" w:rsidRDefault="00F42400" w:rsidP="003A605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1"/>
    <w:p w14:paraId="59DFABE4" w14:textId="77777777" w:rsidR="00F01AF1" w:rsidRPr="00FD0374" w:rsidRDefault="00F01AF1" w:rsidP="00B35960">
      <w:pPr>
        <w:tabs>
          <w:tab w:val="left" w:pos="0"/>
        </w:tabs>
        <w:jc w:val="both"/>
        <w:rPr>
          <w:b/>
          <w:sz w:val="24"/>
          <w:szCs w:val="24"/>
        </w:rPr>
      </w:pPr>
    </w:p>
    <w:sectPr w:rsidR="00F01AF1" w:rsidRPr="00FD0374" w:rsidSect="00AC793D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9C0F" w14:textId="77777777" w:rsidR="002A3F35" w:rsidRDefault="002A3F35">
      <w:r>
        <w:separator/>
      </w:r>
    </w:p>
  </w:endnote>
  <w:endnote w:type="continuationSeparator" w:id="0">
    <w:p w14:paraId="37482CF5" w14:textId="77777777" w:rsidR="002A3F35" w:rsidRDefault="002A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2756" w14:textId="77777777" w:rsidR="005C5009" w:rsidRDefault="005C50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1FECDDC" w14:textId="77777777" w:rsidR="005C5009" w:rsidRDefault="005C5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62954"/>
      <w:docPartObj>
        <w:docPartGallery w:val="Page Numbers (Bottom of Page)"/>
        <w:docPartUnique/>
      </w:docPartObj>
    </w:sdtPr>
    <w:sdtEndPr/>
    <w:sdtContent>
      <w:p w14:paraId="14B680A2" w14:textId="77777777" w:rsidR="005C5009" w:rsidRDefault="005C5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BEE9" w14:textId="77777777" w:rsidR="002A3F35" w:rsidRDefault="002A3F35">
      <w:r>
        <w:separator/>
      </w:r>
    </w:p>
  </w:footnote>
  <w:footnote w:type="continuationSeparator" w:id="0">
    <w:p w14:paraId="0192A87B" w14:textId="77777777" w:rsidR="002A3F35" w:rsidRDefault="002A3F35">
      <w:r>
        <w:continuationSeparator/>
      </w:r>
    </w:p>
  </w:footnote>
  <w:footnote w:id="1">
    <w:p w14:paraId="78A9D34B" w14:textId="77777777" w:rsidR="00473AB3" w:rsidRPr="002F4173" w:rsidRDefault="00473AB3" w:rsidP="00152063">
      <w:pPr>
        <w:pStyle w:val="FootnoteText"/>
        <w:ind w:firstLine="720"/>
      </w:pPr>
      <w:r w:rsidRPr="002F4173">
        <w:rPr>
          <w:rStyle w:val="FootnoteReference"/>
        </w:rPr>
        <w:footnoteRef/>
      </w:r>
      <w:r w:rsidRPr="002F4173">
        <w:t xml:space="preserve"> </w:t>
      </w:r>
      <w:r w:rsidRPr="002F4173">
        <w:tab/>
      </w:r>
      <w:r w:rsidRPr="002F4173">
        <w:rPr>
          <w:i/>
        </w:rPr>
        <w:t>Equitable Small Transportation Intervenors v. Equitable Gas Company</w:t>
      </w:r>
      <w:r w:rsidRPr="002F4173">
        <w:t xml:space="preserve">, 1994 Pa. PUC LEXIS 69, Docket No. C-00935435 (July 18, 1994).  </w:t>
      </w:r>
    </w:p>
    <w:p w14:paraId="261BEC65" w14:textId="77777777" w:rsidR="00473AB3" w:rsidRPr="002F4173" w:rsidRDefault="00473AB3" w:rsidP="00152063">
      <w:pPr>
        <w:pStyle w:val="FootnoteText"/>
        <w:ind w:firstLine="720"/>
      </w:pPr>
    </w:p>
  </w:footnote>
  <w:footnote w:id="2">
    <w:p w14:paraId="184893D1" w14:textId="77777777" w:rsidR="00473AB3" w:rsidRPr="002F4173" w:rsidRDefault="00473AB3" w:rsidP="00152063">
      <w:pPr>
        <w:pStyle w:val="FootnoteText"/>
        <w:ind w:firstLine="720"/>
      </w:pPr>
      <w:r w:rsidRPr="002F4173">
        <w:rPr>
          <w:rStyle w:val="FootnoteReference"/>
        </w:rPr>
        <w:footnoteRef/>
      </w:r>
      <w:r w:rsidRPr="002F4173">
        <w:t xml:space="preserve"> </w:t>
      </w:r>
      <w:r w:rsidRPr="002F4173">
        <w:tab/>
        <w:t xml:space="preserve">52 Pa. Code § 5.101(a)(1). </w:t>
      </w:r>
    </w:p>
    <w:p w14:paraId="335B8A73" w14:textId="77777777" w:rsidR="00473AB3" w:rsidRPr="002F4173" w:rsidRDefault="00473AB3" w:rsidP="00152063">
      <w:pPr>
        <w:pStyle w:val="FootnoteText"/>
        <w:ind w:firstLine="720"/>
      </w:pPr>
    </w:p>
  </w:footnote>
  <w:footnote w:id="3">
    <w:p w14:paraId="59DB293B" w14:textId="77777777" w:rsidR="00473AB3" w:rsidRPr="002F4173" w:rsidRDefault="00473AB3" w:rsidP="00152063">
      <w:pPr>
        <w:pStyle w:val="FootnoteText"/>
        <w:ind w:firstLine="720"/>
      </w:pPr>
      <w:r w:rsidRPr="002F4173">
        <w:rPr>
          <w:rStyle w:val="FootnoteReference"/>
        </w:rPr>
        <w:footnoteRef/>
      </w:r>
      <w:r w:rsidRPr="002F4173">
        <w:t xml:space="preserve"> </w:t>
      </w:r>
      <w:r w:rsidRPr="002F4173">
        <w:tab/>
      </w:r>
      <w:r w:rsidRPr="002F4173">
        <w:rPr>
          <w:i/>
          <w:iCs/>
        </w:rPr>
        <w:t>County of Allegheny v. Cmwlth. of Pa.</w:t>
      </w:r>
      <w:r w:rsidRPr="002F4173">
        <w:t>, 490 A.2d 402 (Pa. 1985).</w:t>
      </w:r>
    </w:p>
    <w:p w14:paraId="47C992E7" w14:textId="77777777" w:rsidR="00473AB3" w:rsidRPr="002F4173" w:rsidRDefault="00473AB3" w:rsidP="00152063">
      <w:pPr>
        <w:pStyle w:val="FootnoteText"/>
        <w:ind w:firstLine="720"/>
      </w:pPr>
    </w:p>
  </w:footnote>
  <w:footnote w:id="4">
    <w:p w14:paraId="1B1572EC" w14:textId="77777777" w:rsidR="00473AB3" w:rsidRPr="002F4173" w:rsidRDefault="00473AB3" w:rsidP="00152063">
      <w:pPr>
        <w:pStyle w:val="FootnoteText"/>
        <w:ind w:firstLine="720"/>
      </w:pPr>
      <w:r w:rsidRPr="002F4173">
        <w:rPr>
          <w:rStyle w:val="FootnoteReference"/>
        </w:rPr>
        <w:footnoteRef/>
      </w:r>
      <w:r w:rsidRPr="002F4173">
        <w:t xml:space="preserve"> </w:t>
      </w:r>
      <w:r w:rsidRPr="002F4173">
        <w:tab/>
      </w:r>
      <w:r w:rsidRPr="002F4173">
        <w:rPr>
          <w:i/>
          <w:iCs/>
        </w:rPr>
        <w:t>Stanton-Negley Drug Co. v. Dep’t of Pub. Welfare</w:t>
      </w:r>
      <w:r w:rsidRPr="002F4173">
        <w:t>, 927 A.2d 671, 673 (Pa. Cmwlth. 2007).</w:t>
      </w:r>
    </w:p>
    <w:p w14:paraId="20E69AC2" w14:textId="77777777" w:rsidR="00473AB3" w:rsidRPr="002F4173" w:rsidRDefault="00473AB3" w:rsidP="00152063">
      <w:pPr>
        <w:pStyle w:val="FootnoteText"/>
        <w:ind w:firstLine="720"/>
      </w:pPr>
    </w:p>
  </w:footnote>
  <w:footnote w:id="5">
    <w:p w14:paraId="1A17B59C" w14:textId="77777777" w:rsidR="00473AB3" w:rsidRPr="002F4173" w:rsidRDefault="00473AB3" w:rsidP="00152063">
      <w:pPr>
        <w:pStyle w:val="FootnoteText"/>
        <w:ind w:firstLine="720"/>
      </w:pPr>
      <w:r w:rsidRPr="002F4173">
        <w:rPr>
          <w:rStyle w:val="FootnoteReference"/>
        </w:rPr>
        <w:footnoteRef/>
      </w:r>
      <w:r w:rsidRPr="002F4173">
        <w:t xml:space="preserve"> </w:t>
      </w:r>
      <w:r w:rsidRPr="002F4173">
        <w:tab/>
      </w:r>
      <w:r w:rsidRPr="002F4173">
        <w:rPr>
          <w:i/>
          <w:iCs/>
        </w:rPr>
        <w:t>Tod and Lisa Shedlosky v. Pennsylvania Electric Co.</w:t>
      </w:r>
      <w:r w:rsidRPr="002F4173">
        <w:t xml:space="preserve">, Docket No. C-20066937, Opinion and Order (May 28, 2008); </w:t>
      </w:r>
      <w:r w:rsidRPr="002F4173">
        <w:rPr>
          <w:i/>
          <w:iCs/>
        </w:rPr>
        <w:t>Feingold v. Bell Tel. Co. of Pa.</w:t>
      </w:r>
      <w:r w:rsidRPr="002F4173">
        <w:t>, 383 A.2d 791 (Pa. 1977).</w:t>
      </w:r>
    </w:p>
    <w:p w14:paraId="1A9EF18C" w14:textId="77777777" w:rsidR="00473AB3" w:rsidRPr="002F4173" w:rsidRDefault="00473AB3" w:rsidP="00152063">
      <w:pPr>
        <w:pStyle w:val="FootnoteText"/>
        <w:ind w:firstLine="720"/>
      </w:pPr>
    </w:p>
  </w:footnote>
  <w:footnote w:id="6">
    <w:p w14:paraId="5EA55376" w14:textId="77777777" w:rsidR="00473AB3" w:rsidRPr="002F4173" w:rsidRDefault="00473AB3" w:rsidP="00152063">
      <w:pPr>
        <w:pStyle w:val="FootnoteText"/>
        <w:ind w:firstLine="720"/>
      </w:pPr>
      <w:r w:rsidRPr="002F4173">
        <w:rPr>
          <w:rStyle w:val="FootnoteReference"/>
        </w:rPr>
        <w:footnoteRef/>
      </w:r>
      <w:r w:rsidRPr="002F4173">
        <w:t xml:space="preserve"> </w:t>
      </w:r>
      <w:r w:rsidRPr="002F4173">
        <w:tab/>
      </w:r>
      <w:r w:rsidRPr="002F4173">
        <w:rPr>
          <w:i/>
          <w:iCs/>
        </w:rPr>
        <w:t>City of Pittsburgh v. PUC</w:t>
      </w:r>
      <w:r w:rsidRPr="002F4173">
        <w:t>, 43 A.2d 348 (Pa.Super. 1945).</w:t>
      </w:r>
    </w:p>
    <w:p w14:paraId="077FBA46" w14:textId="77777777" w:rsidR="00473AB3" w:rsidRPr="002F4173" w:rsidRDefault="00473AB3" w:rsidP="00152063">
      <w:pPr>
        <w:pStyle w:val="FootnoteText"/>
        <w:ind w:firstLine="720"/>
      </w:pPr>
    </w:p>
  </w:footnote>
  <w:footnote w:id="7">
    <w:p w14:paraId="4A19D231" w14:textId="77777777" w:rsidR="00473AB3" w:rsidRPr="002F4173" w:rsidRDefault="00473AB3" w:rsidP="00152063">
      <w:pPr>
        <w:pStyle w:val="FootnoteText"/>
        <w:ind w:firstLine="720"/>
      </w:pPr>
      <w:r w:rsidRPr="002F4173">
        <w:rPr>
          <w:rStyle w:val="FootnoteReference"/>
        </w:rPr>
        <w:footnoteRef/>
      </w:r>
      <w:r w:rsidRPr="002F4173">
        <w:t xml:space="preserve"> </w:t>
      </w:r>
      <w:r w:rsidRPr="002F4173">
        <w:tab/>
      </w:r>
      <w:r w:rsidRPr="002F4173">
        <w:rPr>
          <w:i/>
          <w:iCs/>
        </w:rPr>
        <w:t>Roberts v. Martorano</w:t>
      </w:r>
      <w:r w:rsidRPr="002F4173">
        <w:t>, 235 A.2d 602 (Pa. 1967).</w:t>
      </w:r>
    </w:p>
    <w:p w14:paraId="5BA17592" w14:textId="77777777" w:rsidR="00473AB3" w:rsidRPr="002F4173" w:rsidRDefault="00473AB3" w:rsidP="00152063">
      <w:pPr>
        <w:pStyle w:val="FootnoteText"/>
        <w:ind w:firstLine="720"/>
      </w:pPr>
    </w:p>
  </w:footnote>
  <w:footnote w:id="8">
    <w:p w14:paraId="396F8096" w14:textId="77777777" w:rsidR="00AB269B" w:rsidRPr="00835B40" w:rsidRDefault="00AB269B" w:rsidP="00152063">
      <w:pPr>
        <w:pStyle w:val="FootnoteText"/>
        <w:ind w:firstLine="720"/>
      </w:pPr>
      <w:r w:rsidRPr="00835B40">
        <w:rPr>
          <w:rStyle w:val="FootnoteReference"/>
        </w:rPr>
        <w:footnoteRef/>
      </w:r>
      <w:r w:rsidRPr="00835B40">
        <w:t xml:space="preserve"> </w:t>
      </w:r>
      <w:r w:rsidRPr="00835B40">
        <w:tab/>
        <w:t>66 Pa.C.S. § 332(a).</w:t>
      </w:r>
    </w:p>
    <w:p w14:paraId="05A4BC4D" w14:textId="77777777" w:rsidR="00AB269B" w:rsidRPr="00835B40" w:rsidRDefault="00AB269B" w:rsidP="00152063">
      <w:pPr>
        <w:pStyle w:val="FootnoteText"/>
        <w:ind w:firstLine="720"/>
      </w:pPr>
    </w:p>
  </w:footnote>
  <w:footnote w:id="9">
    <w:p w14:paraId="1BD89404" w14:textId="77777777" w:rsidR="00AB269B" w:rsidRPr="00835B40" w:rsidRDefault="00AB269B" w:rsidP="00152063">
      <w:pPr>
        <w:pStyle w:val="FootnoteText"/>
        <w:ind w:firstLine="720"/>
        <w:rPr>
          <w:spacing w:val="-3"/>
        </w:rPr>
      </w:pPr>
      <w:r w:rsidRPr="00835B40">
        <w:rPr>
          <w:rStyle w:val="FootnoteReference"/>
        </w:rPr>
        <w:footnoteRef/>
      </w:r>
      <w:r w:rsidRPr="00835B40">
        <w:t xml:space="preserve"> </w:t>
      </w:r>
      <w:r w:rsidRPr="00835B40">
        <w:tab/>
      </w:r>
      <w:r w:rsidRPr="00835B40">
        <w:rPr>
          <w:i/>
          <w:iCs/>
          <w:spacing w:val="-3"/>
        </w:rPr>
        <w:t>Patterson v. Bell Tel. Co. of Pa.</w:t>
      </w:r>
      <w:r w:rsidRPr="00835B40">
        <w:rPr>
          <w:spacing w:val="-3"/>
        </w:rPr>
        <w:t xml:space="preserve">, 72 Pa.P.U.C. 196 (1990); </w:t>
      </w:r>
      <w:r w:rsidRPr="00835B40">
        <w:rPr>
          <w:i/>
          <w:iCs/>
          <w:spacing w:val="-3"/>
        </w:rPr>
        <w:t>Feinstein v. Phila. Suburban Water Co.</w:t>
      </w:r>
      <w:r w:rsidRPr="00835B40">
        <w:rPr>
          <w:spacing w:val="-3"/>
        </w:rPr>
        <w:t xml:space="preserve">, 50 Pa.P.U.C. 300 (1976).  </w:t>
      </w:r>
    </w:p>
    <w:p w14:paraId="5EB32036" w14:textId="77777777" w:rsidR="00AB269B" w:rsidRPr="00835B40" w:rsidRDefault="00AB269B" w:rsidP="00152063">
      <w:pPr>
        <w:pStyle w:val="FootnoteText"/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714"/>
    <w:multiLevelType w:val="hybridMultilevel"/>
    <w:tmpl w:val="91145106"/>
    <w:lvl w:ilvl="0" w:tplc="4DC26824">
      <w:start w:val="1"/>
      <w:numFmt w:val="decimal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616D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5DF30699"/>
    <w:multiLevelType w:val="hybridMultilevel"/>
    <w:tmpl w:val="F54AB864"/>
    <w:lvl w:ilvl="0" w:tplc="3BE413F4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81753885">
    <w:abstractNumId w:val="1"/>
  </w:num>
  <w:num w:numId="2" w16cid:durableId="691610725">
    <w:abstractNumId w:val="2"/>
  </w:num>
  <w:num w:numId="3" w16cid:durableId="122894154">
    <w:abstractNumId w:val="2"/>
    <w:lvlOverride w:ilvl="0">
      <w:startOverride w:val="1"/>
    </w:lvlOverride>
  </w:num>
  <w:num w:numId="4" w16cid:durableId="1818841330">
    <w:abstractNumId w:val="0"/>
  </w:num>
  <w:num w:numId="5" w16cid:durableId="1198004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eventsink" w:val="w:compa"/>
  </w:docVars>
  <w:rsids>
    <w:rsidRoot w:val="00332CA0"/>
    <w:rsid w:val="0000597A"/>
    <w:rsid w:val="00011873"/>
    <w:rsid w:val="00011F60"/>
    <w:rsid w:val="000122B3"/>
    <w:rsid w:val="00014960"/>
    <w:rsid w:val="0001497D"/>
    <w:rsid w:val="00020F38"/>
    <w:rsid w:val="00021111"/>
    <w:rsid w:val="00025310"/>
    <w:rsid w:val="00041307"/>
    <w:rsid w:val="00042466"/>
    <w:rsid w:val="00051366"/>
    <w:rsid w:val="00053CBD"/>
    <w:rsid w:val="000543FB"/>
    <w:rsid w:val="00054BE6"/>
    <w:rsid w:val="00076AB6"/>
    <w:rsid w:val="00081F4E"/>
    <w:rsid w:val="000828ED"/>
    <w:rsid w:val="00086679"/>
    <w:rsid w:val="0009280F"/>
    <w:rsid w:val="000B24C9"/>
    <w:rsid w:val="000C0064"/>
    <w:rsid w:val="000C0431"/>
    <w:rsid w:val="000C76BC"/>
    <w:rsid w:val="000D7EAF"/>
    <w:rsid w:val="000E37FB"/>
    <w:rsid w:val="000E44A9"/>
    <w:rsid w:val="000E5E78"/>
    <w:rsid w:val="000E663D"/>
    <w:rsid w:val="000E6C11"/>
    <w:rsid w:val="000F00CA"/>
    <w:rsid w:val="000F39A9"/>
    <w:rsid w:val="000F6AEA"/>
    <w:rsid w:val="00104E9D"/>
    <w:rsid w:val="00106831"/>
    <w:rsid w:val="0011620F"/>
    <w:rsid w:val="00130A85"/>
    <w:rsid w:val="00131886"/>
    <w:rsid w:val="00140EE2"/>
    <w:rsid w:val="001426FE"/>
    <w:rsid w:val="00142CCA"/>
    <w:rsid w:val="00145A50"/>
    <w:rsid w:val="00145CE7"/>
    <w:rsid w:val="0014687A"/>
    <w:rsid w:val="00150015"/>
    <w:rsid w:val="00152063"/>
    <w:rsid w:val="001601CE"/>
    <w:rsid w:val="00161F48"/>
    <w:rsid w:val="00163252"/>
    <w:rsid w:val="0017554E"/>
    <w:rsid w:val="00184821"/>
    <w:rsid w:val="001858EA"/>
    <w:rsid w:val="00187E34"/>
    <w:rsid w:val="00192744"/>
    <w:rsid w:val="00194F68"/>
    <w:rsid w:val="001A00E0"/>
    <w:rsid w:val="001A354B"/>
    <w:rsid w:val="001B53CB"/>
    <w:rsid w:val="001B7FA6"/>
    <w:rsid w:val="001C037C"/>
    <w:rsid w:val="001C24B2"/>
    <w:rsid w:val="001D24C7"/>
    <w:rsid w:val="001E0494"/>
    <w:rsid w:val="001E0643"/>
    <w:rsid w:val="001E2F27"/>
    <w:rsid w:val="001E59B9"/>
    <w:rsid w:val="001E685C"/>
    <w:rsid w:val="001E7357"/>
    <w:rsid w:val="001F14D0"/>
    <w:rsid w:val="001F14EB"/>
    <w:rsid w:val="001F31AC"/>
    <w:rsid w:val="002030F8"/>
    <w:rsid w:val="002128A8"/>
    <w:rsid w:val="00224B5D"/>
    <w:rsid w:val="00232255"/>
    <w:rsid w:val="002341B5"/>
    <w:rsid w:val="00234D44"/>
    <w:rsid w:val="00236CFA"/>
    <w:rsid w:val="0024417E"/>
    <w:rsid w:val="00244AAF"/>
    <w:rsid w:val="00247900"/>
    <w:rsid w:val="00252638"/>
    <w:rsid w:val="00252BA4"/>
    <w:rsid w:val="002547C2"/>
    <w:rsid w:val="00256B89"/>
    <w:rsid w:val="00256C0B"/>
    <w:rsid w:val="00257D76"/>
    <w:rsid w:val="00261D34"/>
    <w:rsid w:val="00262618"/>
    <w:rsid w:val="0026268C"/>
    <w:rsid w:val="00270524"/>
    <w:rsid w:val="00273ABB"/>
    <w:rsid w:val="00274362"/>
    <w:rsid w:val="00274511"/>
    <w:rsid w:val="002752FE"/>
    <w:rsid w:val="00275476"/>
    <w:rsid w:val="002834B4"/>
    <w:rsid w:val="002854AA"/>
    <w:rsid w:val="0029228A"/>
    <w:rsid w:val="0029281A"/>
    <w:rsid w:val="0029487D"/>
    <w:rsid w:val="002959E7"/>
    <w:rsid w:val="002A161E"/>
    <w:rsid w:val="002A3B98"/>
    <w:rsid w:val="002A3F35"/>
    <w:rsid w:val="002A4A3B"/>
    <w:rsid w:val="002A7628"/>
    <w:rsid w:val="002B757D"/>
    <w:rsid w:val="002C22B0"/>
    <w:rsid w:val="002C3656"/>
    <w:rsid w:val="002C5228"/>
    <w:rsid w:val="002C55EF"/>
    <w:rsid w:val="002C6514"/>
    <w:rsid w:val="002D2188"/>
    <w:rsid w:val="002D3E40"/>
    <w:rsid w:val="002D5C71"/>
    <w:rsid w:val="002D7BD1"/>
    <w:rsid w:val="002E025C"/>
    <w:rsid w:val="002E4C87"/>
    <w:rsid w:val="002E57C8"/>
    <w:rsid w:val="002F1900"/>
    <w:rsid w:val="002F6A55"/>
    <w:rsid w:val="003005C9"/>
    <w:rsid w:val="00300B8F"/>
    <w:rsid w:val="00305A07"/>
    <w:rsid w:val="003074D2"/>
    <w:rsid w:val="0031014F"/>
    <w:rsid w:val="00311456"/>
    <w:rsid w:val="0031173B"/>
    <w:rsid w:val="003129A9"/>
    <w:rsid w:val="003161FF"/>
    <w:rsid w:val="0032035E"/>
    <w:rsid w:val="00322230"/>
    <w:rsid w:val="003224EB"/>
    <w:rsid w:val="00325324"/>
    <w:rsid w:val="00325367"/>
    <w:rsid w:val="00325A5B"/>
    <w:rsid w:val="00330188"/>
    <w:rsid w:val="00331208"/>
    <w:rsid w:val="003322E4"/>
    <w:rsid w:val="003324AA"/>
    <w:rsid w:val="00332CA0"/>
    <w:rsid w:val="00335B84"/>
    <w:rsid w:val="00340247"/>
    <w:rsid w:val="0034253B"/>
    <w:rsid w:val="00343120"/>
    <w:rsid w:val="00345299"/>
    <w:rsid w:val="0036132B"/>
    <w:rsid w:val="003634C6"/>
    <w:rsid w:val="00364761"/>
    <w:rsid w:val="00365B25"/>
    <w:rsid w:val="0037048B"/>
    <w:rsid w:val="003722E2"/>
    <w:rsid w:val="003723F1"/>
    <w:rsid w:val="00374FC2"/>
    <w:rsid w:val="0037512D"/>
    <w:rsid w:val="00381249"/>
    <w:rsid w:val="00393A43"/>
    <w:rsid w:val="00395516"/>
    <w:rsid w:val="003A605A"/>
    <w:rsid w:val="003B5470"/>
    <w:rsid w:val="003B5D07"/>
    <w:rsid w:val="003B6393"/>
    <w:rsid w:val="003C3164"/>
    <w:rsid w:val="003C4D62"/>
    <w:rsid w:val="003C543F"/>
    <w:rsid w:val="003D22E8"/>
    <w:rsid w:val="003D4228"/>
    <w:rsid w:val="003D45EF"/>
    <w:rsid w:val="003D5FF6"/>
    <w:rsid w:val="003D7F03"/>
    <w:rsid w:val="003E0A9F"/>
    <w:rsid w:val="003E73C6"/>
    <w:rsid w:val="003F56B3"/>
    <w:rsid w:val="004024E6"/>
    <w:rsid w:val="004050C4"/>
    <w:rsid w:val="0040783F"/>
    <w:rsid w:val="00411D16"/>
    <w:rsid w:val="00412B85"/>
    <w:rsid w:val="0041612F"/>
    <w:rsid w:val="0042024D"/>
    <w:rsid w:val="00420547"/>
    <w:rsid w:val="0042218F"/>
    <w:rsid w:val="004223D7"/>
    <w:rsid w:val="00423ADC"/>
    <w:rsid w:val="004259F4"/>
    <w:rsid w:val="004324C1"/>
    <w:rsid w:val="0043320F"/>
    <w:rsid w:val="00433BC5"/>
    <w:rsid w:val="00435D9A"/>
    <w:rsid w:val="00435F0F"/>
    <w:rsid w:val="00441A84"/>
    <w:rsid w:val="0044220F"/>
    <w:rsid w:val="0044702F"/>
    <w:rsid w:val="004634D2"/>
    <w:rsid w:val="00463CAC"/>
    <w:rsid w:val="00467CCE"/>
    <w:rsid w:val="00473AB3"/>
    <w:rsid w:val="00485C6D"/>
    <w:rsid w:val="00496C88"/>
    <w:rsid w:val="00496EAB"/>
    <w:rsid w:val="00497F9D"/>
    <w:rsid w:val="004A2513"/>
    <w:rsid w:val="004A399D"/>
    <w:rsid w:val="004A52B2"/>
    <w:rsid w:val="004A5AE0"/>
    <w:rsid w:val="004A62D0"/>
    <w:rsid w:val="004A6563"/>
    <w:rsid w:val="004B194C"/>
    <w:rsid w:val="004B1ECB"/>
    <w:rsid w:val="004B2113"/>
    <w:rsid w:val="004C6C53"/>
    <w:rsid w:val="004D1750"/>
    <w:rsid w:val="004D22DE"/>
    <w:rsid w:val="004E2B9F"/>
    <w:rsid w:val="004E477C"/>
    <w:rsid w:val="004E6C98"/>
    <w:rsid w:val="004F405D"/>
    <w:rsid w:val="005001F9"/>
    <w:rsid w:val="00510C8F"/>
    <w:rsid w:val="00511494"/>
    <w:rsid w:val="0051419B"/>
    <w:rsid w:val="005172C1"/>
    <w:rsid w:val="005223EF"/>
    <w:rsid w:val="00522597"/>
    <w:rsid w:val="005241F8"/>
    <w:rsid w:val="00532DF3"/>
    <w:rsid w:val="00540DB0"/>
    <w:rsid w:val="0054563C"/>
    <w:rsid w:val="00547466"/>
    <w:rsid w:val="00547907"/>
    <w:rsid w:val="00547ADC"/>
    <w:rsid w:val="00553463"/>
    <w:rsid w:val="00560DC5"/>
    <w:rsid w:val="00564124"/>
    <w:rsid w:val="00566178"/>
    <w:rsid w:val="005703C4"/>
    <w:rsid w:val="00571657"/>
    <w:rsid w:val="005767FE"/>
    <w:rsid w:val="00577711"/>
    <w:rsid w:val="00582603"/>
    <w:rsid w:val="005934CE"/>
    <w:rsid w:val="00594865"/>
    <w:rsid w:val="005A757D"/>
    <w:rsid w:val="005B14D5"/>
    <w:rsid w:val="005B4FC5"/>
    <w:rsid w:val="005B717E"/>
    <w:rsid w:val="005B7A0D"/>
    <w:rsid w:val="005C5009"/>
    <w:rsid w:val="005C696E"/>
    <w:rsid w:val="005C7317"/>
    <w:rsid w:val="005D64D6"/>
    <w:rsid w:val="005D796F"/>
    <w:rsid w:val="005E218C"/>
    <w:rsid w:val="005E6B3D"/>
    <w:rsid w:val="005F0A94"/>
    <w:rsid w:val="005F0DF4"/>
    <w:rsid w:val="00600280"/>
    <w:rsid w:val="0061776F"/>
    <w:rsid w:val="00617BF1"/>
    <w:rsid w:val="00621786"/>
    <w:rsid w:val="006226F3"/>
    <w:rsid w:val="006238AB"/>
    <w:rsid w:val="00624A8E"/>
    <w:rsid w:val="00625832"/>
    <w:rsid w:val="006258D8"/>
    <w:rsid w:val="00625C40"/>
    <w:rsid w:val="00626135"/>
    <w:rsid w:val="00633343"/>
    <w:rsid w:val="00637E7D"/>
    <w:rsid w:val="00644D86"/>
    <w:rsid w:val="00651A2A"/>
    <w:rsid w:val="00660A23"/>
    <w:rsid w:val="006675F1"/>
    <w:rsid w:val="006742F9"/>
    <w:rsid w:val="0067466A"/>
    <w:rsid w:val="00675199"/>
    <w:rsid w:val="006754D0"/>
    <w:rsid w:val="00683B00"/>
    <w:rsid w:val="0068556F"/>
    <w:rsid w:val="00686840"/>
    <w:rsid w:val="00692C61"/>
    <w:rsid w:val="00696693"/>
    <w:rsid w:val="006A3362"/>
    <w:rsid w:val="006B0C8F"/>
    <w:rsid w:val="006B594A"/>
    <w:rsid w:val="006C23D8"/>
    <w:rsid w:val="006C244B"/>
    <w:rsid w:val="006C28CD"/>
    <w:rsid w:val="006C3EDE"/>
    <w:rsid w:val="006D3844"/>
    <w:rsid w:val="006D61B6"/>
    <w:rsid w:val="006D6BAE"/>
    <w:rsid w:val="006E2026"/>
    <w:rsid w:val="006E2126"/>
    <w:rsid w:val="006F1C7A"/>
    <w:rsid w:val="006F56FD"/>
    <w:rsid w:val="00701CF9"/>
    <w:rsid w:val="007020DF"/>
    <w:rsid w:val="00705816"/>
    <w:rsid w:val="00710C81"/>
    <w:rsid w:val="007132D9"/>
    <w:rsid w:val="00717333"/>
    <w:rsid w:val="00731FC3"/>
    <w:rsid w:val="00733FFA"/>
    <w:rsid w:val="007347DF"/>
    <w:rsid w:val="00734B8C"/>
    <w:rsid w:val="00737CBC"/>
    <w:rsid w:val="00740950"/>
    <w:rsid w:val="00747A50"/>
    <w:rsid w:val="0075252E"/>
    <w:rsid w:val="00753721"/>
    <w:rsid w:val="007539C9"/>
    <w:rsid w:val="00756B16"/>
    <w:rsid w:val="00765D7C"/>
    <w:rsid w:val="0076675C"/>
    <w:rsid w:val="00767D92"/>
    <w:rsid w:val="00780CF8"/>
    <w:rsid w:val="00780E52"/>
    <w:rsid w:val="00781964"/>
    <w:rsid w:val="00783449"/>
    <w:rsid w:val="007853F4"/>
    <w:rsid w:val="00787BCF"/>
    <w:rsid w:val="0079605F"/>
    <w:rsid w:val="0079783D"/>
    <w:rsid w:val="007A02D4"/>
    <w:rsid w:val="007A0409"/>
    <w:rsid w:val="007A04B1"/>
    <w:rsid w:val="007A31CA"/>
    <w:rsid w:val="007C0A7A"/>
    <w:rsid w:val="007C508A"/>
    <w:rsid w:val="007D0CBF"/>
    <w:rsid w:val="007D528F"/>
    <w:rsid w:val="007D5968"/>
    <w:rsid w:val="007E1547"/>
    <w:rsid w:val="007E2C68"/>
    <w:rsid w:val="007E5C84"/>
    <w:rsid w:val="00800688"/>
    <w:rsid w:val="008008DA"/>
    <w:rsid w:val="00803A4D"/>
    <w:rsid w:val="00804A65"/>
    <w:rsid w:val="0080557F"/>
    <w:rsid w:val="00805C60"/>
    <w:rsid w:val="00812C45"/>
    <w:rsid w:val="0082264A"/>
    <w:rsid w:val="00825DAB"/>
    <w:rsid w:val="00827C60"/>
    <w:rsid w:val="008304B7"/>
    <w:rsid w:val="00831208"/>
    <w:rsid w:val="0083126A"/>
    <w:rsid w:val="008326D5"/>
    <w:rsid w:val="00837693"/>
    <w:rsid w:val="00837A2B"/>
    <w:rsid w:val="00840A08"/>
    <w:rsid w:val="00840E95"/>
    <w:rsid w:val="00844F99"/>
    <w:rsid w:val="0084532C"/>
    <w:rsid w:val="00845FB1"/>
    <w:rsid w:val="00852841"/>
    <w:rsid w:val="0085355D"/>
    <w:rsid w:val="00857E11"/>
    <w:rsid w:val="00870DEB"/>
    <w:rsid w:val="00876C44"/>
    <w:rsid w:val="0088481E"/>
    <w:rsid w:val="0088674C"/>
    <w:rsid w:val="00891E3B"/>
    <w:rsid w:val="00894087"/>
    <w:rsid w:val="008B23D9"/>
    <w:rsid w:val="008B6797"/>
    <w:rsid w:val="008C3295"/>
    <w:rsid w:val="008C45D4"/>
    <w:rsid w:val="008C69B1"/>
    <w:rsid w:val="008D6D8C"/>
    <w:rsid w:val="008E6C9D"/>
    <w:rsid w:val="008F0770"/>
    <w:rsid w:val="008F2415"/>
    <w:rsid w:val="009023DA"/>
    <w:rsid w:val="00907001"/>
    <w:rsid w:val="0091189D"/>
    <w:rsid w:val="009202CC"/>
    <w:rsid w:val="00922B4F"/>
    <w:rsid w:val="00923445"/>
    <w:rsid w:val="00924CFC"/>
    <w:rsid w:val="009279A7"/>
    <w:rsid w:val="009313B6"/>
    <w:rsid w:val="00935C03"/>
    <w:rsid w:val="009401E2"/>
    <w:rsid w:val="00940D9C"/>
    <w:rsid w:val="0094162A"/>
    <w:rsid w:val="00943B25"/>
    <w:rsid w:val="00946AB3"/>
    <w:rsid w:val="00951BB5"/>
    <w:rsid w:val="00952408"/>
    <w:rsid w:val="00953C43"/>
    <w:rsid w:val="00953CDC"/>
    <w:rsid w:val="0095786C"/>
    <w:rsid w:val="00963712"/>
    <w:rsid w:val="00964981"/>
    <w:rsid w:val="0096583F"/>
    <w:rsid w:val="00965BDF"/>
    <w:rsid w:val="00975788"/>
    <w:rsid w:val="00975A02"/>
    <w:rsid w:val="00980D1C"/>
    <w:rsid w:val="009935AF"/>
    <w:rsid w:val="009A0094"/>
    <w:rsid w:val="009A0405"/>
    <w:rsid w:val="009A1A8E"/>
    <w:rsid w:val="009A2D9B"/>
    <w:rsid w:val="009A6FE8"/>
    <w:rsid w:val="009A781D"/>
    <w:rsid w:val="009A7B6A"/>
    <w:rsid w:val="009B2DA0"/>
    <w:rsid w:val="009C054D"/>
    <w:rsid w:val="009D0C2C"/>
    <w:rsid w:val="009D5DAF"/>
    <w:rsid w:val="00A02CDE"/>
    <w:rsid w:val="00A02ECF"/>
    <w:rsid w:val="00A04C21"/>
    <w:rsid w:val="00A04D0B"/>
    <w:rsid w:val="00A06146"/>
    <w:rsid w:val="00A07880"/>
    <w:rsid w:val="00A1222A"/>
    <w:rsid w:val="00A13B55"/>
    <w:rsid w:val="00A15EA1"/>
    <w:rsid w:val="00A17304"/>
    <w:rsid w:val="00A22D46"/>
    <w:rsid w:val="00A2713C"/>
    <w:rsid w:val="00A323E8"/>
    <w:rsid w:val="00A43057"/>
    <w:rsid w:val="00A43C36"/>
    <w:rsid w:val="00A56251"/>
    <w:rsid w:val="00A57521"/>
    <w:rsid w:val="00A57931"/>
    <w:rsid w:val="00A602D7"/>
    <w:rsid w:val="00A637A1"/>
    <w:rsid w:val="00A66381"/>
    <w:rsid w:val="00A70304"/>
    <w:rsid w:val="00A70419"/>
    <w:rsid w:val="00A7141B"/>
    <w:rsid w:val="00A73555"/>
    <w:rsid w:val="00A73D2F"/>
    <w:rsid w:val="00A74BEE"/>
    <w:rsid w:val="00A753D4"/>
    <w:rsid w:val="00A827AC"/>
    <w:rsid w:val="00A84EA1"/>
    <w:rsid w:val="00A85985"/>
    <w:rsid w:val="00A872E4"/>
    <w:rsid w:val="00A90779"/>
    <w:rsid w:val="00A91916"/>
    <w:rsid w:val="00A934F2"/>
    <w:rsid w:val="00A97A62"/>
    <w:rsid w:val="00AA08A3"/>
    <w:rsid w:val="00AA1598"/>
    <w:rsid w:val="00AA2D0A"/>
    <w:rsid w:val="00AB269B"/>
    <w:rsid w:val="00AB2C9F"/>
    <w:rsid w:val="00AB5F67"/>
    <w:rsid w:val="00AC0CF0"/>
    <w:rsid w:val="00AC4D5E"/>
    <w:rsid w:val="00AC540C"/>
    <w:rsid w:val="00AC793D"/>
    <w:rsid w:val="00AD0ABB"/>
    <w:rsid w:val="00AD0EFA"/>
    <w:rsid w:val="00AD27FB"/>
    <w:rsid w:val="00AD4442"/>
    <w:rsid w:val="00AE0E6D"/>
    <w:rsid w:val="00AE30F3"/>
    <w:rsid w:val="00AE47E4"/>
    <w:rsid w:val="00B002D2"/>
    <w:rsid w:val="00B02A69"/>
    <w:rsid w:val="00B06D21"/>
    <w:rsid w:val="00B11CB8"/>
    <w:rsid w:val="00B23EDF"/>
    <w:rsid w:val="00B27D8D"/>
    <w:rsid w:val="00B3307B"/>
    <w:rsid w:val="00B35960"/>
    <w:rsid w:val="00B41622"/>
    <w:rsid w:val="00B43F77"/>
    <w:rsid w:val="00B44727"/>
    <w:rsid w:val="00B44D2F"/>
    <w:rsid w:val="00B46484"/>
    <w:rsid w:val="00B5127B"/>
    <w:rsid w:val="00B54058"/>
    <w:rsid w:val="00B64556"/>
    <w:rsid w:val="00B656BB"/>
    <w:rsid w:val="00B66296"/>
    <w:rsid w:val="00B77A58"/>
    <w:rsid w:val="00B81144"/>
    <w:rsid w:val="00B875F2"/>
    <w:rsid w:val="00B95030"/>
    <w:rsid w:val="00B955DF"/>
    <w:rsid w:val="00BA1FBE"/>
    <w:rsid w:val="00BA203C"/>
    <w:rsid w:val="00BA2924"/>
    <w:rsid w:val="00BB0A78"/>
    <w:rsid w:val="00BB0CF8"/>
    <w:rsid w:val="00BC1743"/>
    <w:rsid w:val="00BC4D80"/>
    <w:rsid w:val="00BD0DF4"/>
    <w:rsid w:val="00BD3084"/>
    <w:rsid w:val="00BD34DC"/>
    <w:rsid w:val="00BD42BA"/>
    <w:rsid w:val="00BE2CF6"/>
    <w:rsid w:val="00BF1801"/>
    <w:rsid w:val="00BF1FFF"/>
    <w:rsid w:val="00BF2AA7"/>
    <w:rsid w:val="00BF4B6C"/>
    <w:rsid w:val="00C0148E"/>
    <w:rsid w:val="00C01F59"/>
    <w:rsid w:val="00C03717"/>
    <w:rsid w:val="00C047D2"/>
    <w:rsid w:val="00C04F88"/>
    <w:rsid w:val="00C06905"/>
    <w:rsid w:val="00C07868"/>
    <w:rsid w:val="00C07EAD"/>
    <w:rsid w:val="00C1160A"/>
    <w:rsid w:val="00C11756"/>
    <w:rsid w:val="00C11899"/>
    <w:rsid w:val="00C11F0C"/>
    <w:rsid w:val="00C1344F"/>
    <w:rsid w:val="00C149CA"/>
    <w:rsid w:val="00C25F0D"/>
    <w:rsid w:val="00C262F7"/>
    <w:rsid w:val="00C30BE0"/>
    <w:rsid w:val="00C35505"/>
    <w:rsid w:val="00C4571B"/>
    <w:rsid w:val="00C541B4"/>
    <w:rsid w:val="00C57E07"/>
    <w:rsid w:val="00C6003E"/>
    <w:rsid w:val="00C606BF"/>
    <w:rsid w:val="00C62519"/>
    <w:rsid w:val="00C62FEC"/>
    <w:rsid w:val="00C66528"/>
    <w:rsid w:val="00C702E7"/>
    <w:rsid w:val="00C81445"/>
    <w:rsid w:val="00C8172E"/>
    <w:rsid w:val="00C837A6"/>
    <w:rsid w:val="00C86EBF"/>
    <w:rsid w:val="00C8798C"/>
    <w:rsid w:val="00C913ED"/>
    <w:rsid w:val="00C95D1F"/>
    <w:rsid w:val="00C97EC3"/>
    <w:rsid w:val="00CA0C80"/>
    <w:rsid w:val="00CA17C0"/>
    <w:rsid w:val="00CA324C"/>
    <w:rsid w:val="00CA6CF0"/>
    <w:rsid w:val="00CA7CE4"/>
    <w:rsid w:val="00CB0687"/>
    <w:rsid w:val="00CB077E"/>
    <w:rsid w:val="00CB3BA9"/>
    <w:rsid w:val="00CB765E"/>
    <w:rsid w:val="00CC142D"/>
    <w:rsid w:val="00CC2476"/>
    <w:rsid w:val="00CD20F8"/>
    <w:rsid w:val="00CD36CD"/>
    <w:rsid w:val="00CD5DCC"/>
    <w:rsid w:val="00CE2020"/>
    <w:rsid w:val="00CF5541"/>
    <w:rsid w:val="00CF66F3"/>
    <w:rsid w:val="00D028E3"/>
    <w:rsid w:val="00D05C06"/>
    <w:rsid w:val="00D100EF"/>
    <w:rsid w:val="00D15775"/>
    <w:rsid w:val="00D15A4D"/>
    <w:rsid w:val="00D20F44"/>
    <w:rsid w:val="00D22058"/>
    <w:rsid w:val="00D24150"/>
    <w:rsid w:val="00D34BC3"/>
    <w:rsid w:val="00D368C7"/>
    <w:rsid w:val="00D42F53"/>
    <w:rsid w:val="00D43DE7"/>
    <w:rsid w:val="00D572FB"/>
    <w:rsid w:val="00D57777"/>
    <w:rsid w:val="00D6358E"/>
    <w:rsid w:val="00D64EDE"/>
    <w:rsid w:val="00D64EFD"/>
    <w:rsid w:val="00D67F55"/>
    <w:rsid w:val="00D709D1"/>
    <w:rsid w:val="00D71C20"/>
    <w:rsid w:val="00D740F2"/>
    <w:rsid w:val="00D76CB6"/>
    <w:rsid w:val="00D776CC"/>
    <w:rsid w:val="00D85C8F"/>
    <w:rsid w:val="00D85D46"/>
    <w:rsid w:val="00D866C1"/>
    <w:rsid w:val="00D91D36"/>
    <w:rsid w:val="00D93A07"/>
    <w:rsid w:val="00D93E5C"/>
    <w:rsid w:val="00DA0FE3"/>
    <w:rsid w:val="00DA2166"/>
    <w:rsid w:val="00DA79A3"/>
    <w:rsid w:val="00DB0C22"/>
    <w:rsid w:val="00DC3080"/>
    <w:rsid w:val="00DC3BBF"/>
    <w:rsid w:val="00DC6FF1"/>
    <w:rsid w:val="00DD082D"/>
    <w:rsid w:val="00DD15DD"/>
    <w:rsid w:val="00DD1C77"/>
    <w:rsid w:val="00DD393E"/>
    <w:rsid w:val="00DD63E3"/>
    <w:rsid w:val="00DD7F03"/>
    <w:rsid w:val="00DE5FF7"/>
    <w:rsid w:val="00DE6016"/>
    <w:rsid w:val="00DE767D"/>
    <w:rsid w:val="00DF4ED3"/>
    <w:rsid w:val="00DF7A98"/>
    <w:rsid w:val="00E01C70"/>
    <w:rsid w:val="00E0205E"/>
    <w:rsid w:val="00E05702"/>
    <w:rsid w:val="00E06B18"/>
    <w:rsid w:val="00E12A1A"/>
    <w:rsid w:val="00E16245"/>
    <w:rsid w:val="00E21347"/>
    <w:rsid w:val="00E24ACC"/>
    <w:rsid w:val="00E32E40"/>
    <w:rsid w:val="00E35F96"/>
    <w:rsid w:val="00E37A32"/>
    <w:rsid w:val="00E44F20"/>
    <w:rsid w:val="00E51E76"/>
    <w:rsid w:val="00E51FC0"/>
    <w:rsid w:val="00E53AC6"/>
    <w:rsid w:val="00E8065D"/>
    <w:rsid w:val="00E82E73"/>
    <w:rsid w:val="00E9055C"/>
    <w:rsid w:val="00E95858"/>
    <w:rsid w:val="00E9667F"/>
    <w:rsid w:val="00EA370F"/>
    <w:rsid w:val="00EA7EB0"/>
    <w:rsid w:val="00EB36DA"/>
    <w:rsid w:val="00EC2D73"/>
    <w:rsid w:val="00EC65AC"/>
    <w:rsid w:val="00ED13BD"/>
    <w:rsid w:val="00ED45B2"/>
    <w:rsid w:val="00EE07A5"/>
    <w:rsid w:val="00EE2F34"/>
    <w:rsid w:val="00EE340B"/>
    <w:rsid w:val="00EF1E86"/>
    <w:rsid w:val="00EF2871"/>
    <w:rsid w:val="00F01AF1"/>
    <w:rsid w:val="00F041E3"/>
    <w:rsid w:val="00F10D22"/>
    <w:rsid w:val="00F112BC"/>
    <w:rsid w:val="00F11B04"/>
    <w:rsid w:val="00F1326F"/>
    <w:rsid w:val="00F21306"/>
    <w:rsid w:val="00F21936"/>
    <w:rsid w:val="00F22704"/>
    <w:rsid w:val="00F31283"/>
    <w:rsid w:val="00F31891"/>
    <w:rsid w:val="00F35F68"/>
    <w:rsid w:val="00F42400"/>
    <w:rsid w:val="00F45549"/>
    <w:rsid w:val="00F52F42"/>
    <w:rsid w:val="00F5313C"/>
    <w:rsid w:val="00F570B3"/>
    <w:rsid w:val="00F57B18"/>
    <w:rsid w:val="00F648BE"/>
    <w:rsid w:val="00F66E07"/>
    <w:rsid w:val="00F70AC4"/>
    <w:rsid w:val="00F72AA5"/>
    <w:rsid w:val="00F8177F"/>
    <w:rsid w:val="00F85187"/>
    <w:rsid w:val="00F93A44"/>
    <w:rsid w:val="00F93D0B"/>
    <w:rsid w:val="00F965FC"/>
    <w:rsid w:val="00FA2205"/>
    <w:rsid w:val="00FA395F"/>
    <w:rsid w:val="00FA40C8"/>
    <w:rsid w:val="00FA52E1"/>
    <w:rsid w:val="00FA70AD"/>
    <w:rsid w:val="00FB0B65"/>
    <w:rsid w:val="00FB30A9"/>
    <w:rsid w:val="00FB4C36"/>
    <w:rsid w:val="00FC27A7"/>
    <w:rsid w:val="00FC5C46"/>
    <w:rsid w:val="00FC6ED0"/>
    <w:rsid w:val="00FD0374"/>
    <w:rsid w:val="00FD28C0"/>
    <w:rsid w:val="00FD31CB"/>
    <w:rsid w:val="00FD3DA3"/>
    <w:rsid w:val="00FD4193"/>
    <w:rsid w:val="00FD45F2"/>
    <w:rsid w:val="00FD6FEB"/>
    <w:rsid w:val="00FE32D3"/>
    <w:rsid w:val="00FE37A5"/>
    <w:rsid w:val="00FE5537"/>
    <w:rsid w:val="00FF092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92CF48"/>
  <w15:docId w15:val="{8B6E0846-038F-44C1-B91F-FF0BE6D0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5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5FB1"/>
  </w:style>
  <w:style w:type="paragraph" w:styleId="Title">
    <w:name w:val="Title"/>
    <w:basedOn w:val="Normal"/>
    <w:qFormat/>
    <w:rsid w:val="00845FB1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AD0EFA"/>
    <w:pPr>
      <w:ind w:left="720"/>
      <w:contextualSpacing/>
    </w:pPr>
  </w:style>
  <w:style w:type="paragraph" w:styleId="Header">
    <w:name w:val="header"/>
    <w:basedOn w:val="Normal"/>
    <w:link w:val="HeaderChar"/>
    <w:rsid w:val="00AC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D"/>
  </w:style>
  <w:style w:type="character" w:customStyle="1" w:styleId="FooterChar">
    <w:name w:val="Footer Char"/>
    <w:basedOn w:val="DefaultParagraphFont"/>
    <w:link w:val="Footer"/>
    <w:uiPriority w:val="99"/>
    <w:rsid w:val="00AC793D"/>
  </w:style>
  <w:style w:type="paragraph" w:styleId="FootnoteText">
    <w:name w:val="footnote text"/>
    <w:aliases w:val="Car,ALTS FOOTNOTE,ALTS FOOTNOTE Char,ALTS FOOTNOTE Char Char Char,FOOTNOTE,Footnote Text 2,Footnote Text Char Char Char,Footnote Text Char1 Char,Footnote Text Char2 Char Char Char,Footnote Text1 Char,Footnote text,fn,fn Char"/>
    <w:basedOn w:val="Normal"/>
    <w:link w:val="FootnoteTextChar"/>
    <w:uiPriority w:val="99"/>
    <w:qFormat/>
    <w:rsid w:val="00686840"/>
  </w:style>
  <w:style w:type="character" w:customStyle="1" w:styleId="FootnoteTextChar">
    <w:name w:val="Footnote Text Char"/>
    <w:aliases w:val="Car Char,ALTS FOOTNOTE Char1,ALTS FOOTNOTE Char Char,ALTS FOOTNOTE Char Char Char Char,FOOTNOTE Char,Footnote Text 2 Char,Footnote Text Char Char Char Char,Footnote Text Char1 Char Char,Footnote Text Char2 Char Char Char Char,fn Char1"/>
    <w:basedOn w:val="DefaultParagraphFont"/>
    <w:link w:val="FootnoteText"/>
    <w:uiPriority w:val="99"/>
    <w:rsid w:val="00686840"/>
  </w:style>
  <w:style w:type="character" w:styleId="FootnoteReference">
    <w:name w:val="footnote reference"/>
    <w:aliases w:val="o,fr"/>
    <w:basedOn w:val="DefaultParagraphFont"/>
    <w:uiPriority w:val="99"/>
    <w:rsid w:val="00686840"/>
    <w:rPr>
      <w:vertAlign w:val="superscript"/>
    </w:rPr>
  </w:style>
  <w:style w:type="paragraph" w:customStyle="1" w:styleId="IndentedQuote">
    <w:name w:val="Indented Quote"/>
    <w:basedOn w:val="Normal"/>
    <w:qFormat/>
    <w:rsid w:val="00496EAB"/>
    <w:pPr>
      <w:ind w:left="720" w:right="720"/>
    </w:pPr>
    <w:rPr>
      <w:sz w:val="24"/>
      <w:szCs w:val="24"/>
    </w:rPr>
  </w:style>
  <w:style w:type="paragraph" w:styleId="NoSpacing">
    <w:name w:val="No Spacing"/>
    <w:uiPriority w:val="1"/>
    <w:qFormat/>
    <w:rsid w:val="00496EAB"/>
    <w:rPr>
      <w:sz w:val="26"/>
    </w:rPr>
  </w:style>
  <w:style w:type="paragraph" w:styleId="BalloonText">
    <w:name w:val="Balloon Text"/>
    <w:basedOn w:val="Normal"/>
    <w:link w:val="BalloonTextChar"/>
    <w:rsid w:val="00C5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1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73A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arah@duqligh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rmfieldz021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E260-40EB-44E6-9F6B-20B084A8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1437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Miskanic, Nicholas</cp:lastModifiedBy>
  <cp:revision>4</cp:revision>
  <cp:lastPrinted>2019-03-13T12:14:00Z</cp:lastPrinted>
  <dcterms:created xsi:type="dcterms:W3CDTF">2023-08-31T17:48:00Z</dcterms:created>
  <dcterms:modified xsi:type="dcterms:W3CDTF">2023-08-31T18:00:00Z</dcterms:modified>
</cp:coreProperties>
</file>