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9C7B" w14:textId="77777777" w:rsidR="00204105" w:rsidRPr="00C81100" w:rsidRDefault="00204105" w:rsidP="00204105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7C07071A" w14:textId="77777777" w:rsidR="00204105" w:rsidRPr="00C81100" w:rsidRDefault="00204105" w:rsidP="00204105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34A86A48" w14:textId="77777777" w:rsidR="00204105" w:rsidRPr="00C81100" w:rsidRDefault="00204105" w:rsidP="00204105">
      <w:pPr>
        <w:jc w:val="center"/>
        <w:rPr>
          <w:sz w:val="24"/>
          <w:szCs w:val="24"/>
        </w:rPr>
      </w:pPr>
    </w:p>
    <w:p w14:paraId="3C020D1F" w14:textId="77777777" w:rsidR="00204105" w:rsidRDefault="00204105" w:rsidP="00204105">
      <w:pPr>
        <w:jc w:val="center"/>
        <w:rPr>
          <w:sz w:val="24"/>
          <w:szCs w:val="24"/>
        </w:rPr>
      </w:pPr>
    </w:p>
    <w:p w14:paraId="0C04CC68" w14:textId="77777777" w:rsidR="0036537F" w:rsidRPr="00C81100" w:rsidRDefault="0036537F" w:rsidP="00204105">
      <w:pPr>
        <w:jc w:val="center"/>
        <w:rPr>
          <w:sz w:val="24"/>
          <w:szCs w:val="24"/>
        </w:rPr>
      </w:pPr>
    </w:p>
    <w:p w14:paraId="35BE243F" w14:textId="09855904" w:rsidR="00204105" w:rsidRDefault="002A593B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Beth Mintzer</w:t>
      </w:r>
      <w:r w:rsidR="00CC023D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</w:r>
      <w:r w:rsidR="00B813DC">
        <w:rPr>
          <w:spacing w:val="-3"/>
          <w:sz w:val="24"/>
          <w:szCs w:val="24"/>
        </w:rPr>
        <w:tab/>
        <w:t>:</w:t>
      </w:r>
    </w:p>
    <w:p w14:paraId="14524EA8" w14:textId="382B577C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14:paraId="1FAC381C" w14:textId="26E78555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v.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FF7FC9" w:rsidRPr="00FF7FC9">
        <w:rPr>
          <w:spacing w:val="-3"/>
          <w:sz w:val="24"/>
          <w:szCs w:val="24"/>
        </w:rPr>
        <w:t>F-2023-30</w:t>
      </w:r>
      <w:r w:rsidR="002A593B">
        <w:rPr>
          <w:spacing w:val="-3"/>
          <w:sz w:val="24"/>
          <w:szCs w:val="24"/>
        </w:rPr>
        <w:t>39716</w:t>
      </w:r>
      <w:r w:rsidR="00CC023D" w:rsidRPr="00CC023D">
        <w:rPr>
          <w:spacing w:val="-3"/>
          <w:sz w:val="24"/>
          <w:szCs w:val="24"/>
        </w:rPr>
        <w:t xml:space="preserve"> </w:t>
      </w:r>
      <w:r w:rsidR="00F050C6">
        <w:rPr>
          <w:spacing w:val="-3"/>
          <w:sz w:val="24"/>
          <w:szCs w:val="24"/>
        </w:rPr>
        <w:t>(Water)</w:t>
      </w:r>
    </w:p>
    <w:p w14:paraId="5747E23E" w14:textId="51C89E93" w:rsidR="00B813DC" w:rsidRDefault="00B813DC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  <w:r w:rsidR="002A593B">
        <w:rPr>
          <w:spacing w:val="-3"/>
          <w:sz w:val="24"/>
          <w:szCs w:val="24"/>
        </w:rPr>
        <w:tab/>
      </w:r>
      <w:r w:rsidR="002A593B">
        <w:rPr>
          <w:spacing w:val="-3"/>
          <w:sz w:val="24"/>
          <w:szCs w:val="24"/>
        </w:rPr>
        <w:tab/>
        <w:t>F-2023-3039717</w:t>
      </w:r>
      <w:r w:rsidR="00F050C6">
        <w:rPr>
          <w:spacing w:val="-3"/>
          <w:sz w:val="24"/>
          <w:szCs w:val="24"/>
        </w:rPr>
        <w:t xml:space="preserve"> (Wastewater)</w:t>
      </w:r>
    </w:p>
    <w:p w14:paraId="087779F4" w14:textId="2311778E" w:rsidR="00B813DC" w:rsidRPr="00DF21C7" w:rsidRDefault="00CC023D" w:rsidP="00B813DC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</w:t>
      </w:r>
      <w:r w:rsidR="002A593B">
        <w:rPr>
          <w:spacing w:val="-3"/>
          <w:sz w:val="24"/>
          <w:szCs w:val="24"/>
        </w:rPr>
        <w:t>ennsylvania American Water Company</w:t>
      </w:r>
      <w:r w:rsidR="00B813DC">
        <w:rPr>
          <w:spacing w:val="-3"/>
          <w:sz w:val="24"/>
          <w:szCs w:val="24"/>
        </w:rPr>
        <w:tab/>
        <w:t>:</w:t>
      </w:r>
    </w:p>
    <w:p w14:paraId="6E02B9DA" w14:textId="77777777" w:rsidR="00204105" w:rsidRPr="00C81100" w:rsidRDefault="00204105" w:rsidP="00204105">
      <w:pPr>
        <w:rPr>
          <w:sz w:val="24"/>
          <w:szCs w:val="24"/>
        </w:rPr>
      </w:pPr>
    </w:p>
    <w:p w14:paraId="79A0CCEA" w14:textId="5A028A02" w:rsidR="00204105" w:rsidRDefault="00204105" w:rsidP="00204105">
      <w:pPr>
        <w:rPr>
          <w:sz w:val="24"/>
          <w:szCs w:val="24"/>
        </w:rPr>
      </w:pPr>
    </w:p>
    <w:p w14:paraId="2E754DE3" w14:textId="77777777" w:rsidR="008B033D" w:rsidRPr="00C81100" w:rsidRDefault="008B033D" w:rsidP="00204105">
      <w:pPr>
        <w:rPr>
          <w:sz w:val="24"/>
          <w:szCs w:val="24"/>
        </w:rPr>
      </w:pPr>
    </w:p>
    <w:p w14:paraId="28E21C6E" w14:textId="65FA65D9" w:rsidR="00204105" w:rsidRPr="00631B25" w:rsidRDefault="00204105" w:rsidP="00204105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  <w:r w:rsidRPr="00631B25">
        <w:rPr>
          <w:b/>
          <w:bCs/>
          <w:spacing w:val="-3"/>
          <w:sz w:val="24"/>
          <w:szCs w:val="24"/>
          <w:u w:val="single"/>
        </w:rPr>
        <w:t xml:space="preserve">ORDER </w:t>
      </w:r>
      <w:r w:rsidR="00125E21">
        <w:rPr>
          <w:b/>
          <w:bCs/>
          <w:spacing w:val="-3"/>
          <w:sz w:val="24"/>
          <w:szCs w:val="24"/>
          <w:u w:val="single"/>
        </w:rPr>
        <w:t>GRANTING CONTINUANCE</w:t>
      </w:r>
      <w:r w:rsidRPr="00631B25">
        <w:rPr>
          <w:b/>
          <w:bCs/>
          <w:spacing w:val="-3"/>
          <w:sz w:val="24"/>
          <w:szCs w:val="24"/>
          <w:u w:val="single"/>
        </w:rPr>
        <w:t xml:space="preserve">  </w:t>
      </w:r>
    </w:p>
    <w:p w14:paraId="367B22A3" w14:textId="77777777" w:rsidR="00204105" w:rsidRPr="00631B25" w:rsidRDefault="00204105" w:rsidP="0036537F">
      <w:pPr>
        <w:tabs>
          <w:tab w:val="left" w:pos="-720"/>
          <w:tab w:val="left" w:pos="720"/>
          <w:tab w:val="left" w:pos="2070"/>
        </w:tabs>
        <w:suppressAutoHyphens/>
        <w:spacing w:line="360" w:lineRule="auto"/>
        <w:rPr>
          <w:sz w:val="24"/>
          <w:szCs w:val="24"/>
        </w:rPr>
      </w:pPr>
    </w:p>
    <w:p w14:paraId="50586B7D" w14:textId="20B4D239" w:rsidR="007D7585" w:rsidRDefault="00204105" w:rsidP="007D7585">
      <w:pPr>
        <w:spacing w:line="360" w:lineRule="auto"/>
        <w:rPr>
          <w:sz w:val="24"/>
          <w:szCs w:val="24"/>
        </w:rPr>
      </w:pPr>
      <w:r w:rsidRPr="00631B25">
        <w:rPr>
          <w:sz w:val="24"/>
          <w:szCs w:val="24"/>
        </w:rPr>
        <w:tab/>
      </w:r>
      <w:r w:rsidR="007D7585">
        <w:rPr>
          <w:sz w:val="24"/>
          <w:szCs w:val="24"/>
        </w:rPr>
        <w:tab/>
      </w:r>
      <w:r w:rsidR="004334D2">
        <w:rPr>
          <w:sz w:val="24"/>
          <w:szCs w:val="24"/>
        </w:rPr>
        <w:t xml:space="preserve">This Order is issued pursuant to the authority </w:t>
      </w:r>
      <w:r w:rsidR="002E3A3C">
        <w:rPr>
          <w:sz w:val="24"/>
          <w:szCs w:val="24"/>
        </w:rPr>
        <w:t>given to Administrative Law Judges by the Commission’s regulation at 52 Pa. Code §</w:t>
      </w:r>
      <w:r w:rsidR="007D7585">
        <w:rPr>
          <w:sz w:val="24"/>
          <w:szCs w:val="24"/>
        </w:rPr>
        <w:t xml:space="preserve"> 5.483.</w:t>
      </w:r>
    </w:p>
    <w:p w14:paraId="7B2C88D3" w14:textId="77777777" w:rsidR="00403A9F" w:rsidRDefault="00403A9F" w:rsidP="007D7585">
      <w:pPr>
        <w:spacing w:line="360" w:lineRule="auto"/>
        <w:rPr>
          <w:sz w:val="24"/>
          <w:szCs w:val="24"/>
        </w:rPr>
      </w:pPr>
    </w:p>
    <w:p w14:paraId="280AB32C" w14:textId="10D38843" w:rsidR="00403A9F" w:rsidRDefault="00992CE9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April 3, 2023, </w:t>
      </w:r>
      <w:r w:rsidR="00705A78">
        <w:rPr>
          <w:sz w:val="24"/>
          <w:szCs w:val="24"/>
        </w:rPr>
        <w:t xml:space="preserve">Beth Mintzer (Complainant) filed a formal Complaint at the above-listed dockets </w:t>
      </w:r>
      <w:r w:rsidR="00514E1F">
        <w:rPr>
          <w:sz w:val="24"/>
          <w:szCs w:val="24"/>
        </w:rPr>
        <w:t>in what is, essentiall</w:t>
      </w:r>
      <w:r w:rsidR="00343876">
        <w:rPr>
          <w:sz w:val="24"/>
          <w:szCs w:val="24"/>
        </w:rPr>
        <w:t>y, a billing dispute.  The Complaint</w:t>
      </w:r>
      <w:r w:rsidR="00C86DB2">
        <w:rPr>
          <w:sz w:val="24"/>
          <w:szCs w:val="24"/>
        </w:rPr>
        <w:t>s are</w:t>
      </w:r>
      <w:r w:rsidR="00446040">
        <w:rPr>
          <w:sz w:val="24"/>
          <w:szCs w:val="24"/>
        </w:rPr>
        <w:t xml:space="preserve"> an appeal from a determination by the Commission’s Bureau of Consumer Services at Case No. 388</w:t>
      </w:r>
      <w:r w:rsidR="005B50C1">
        <w:rPr>
          <w:sz w:val="24"/>
          <w:szCs w:val="24"/>
        </w:rPr>
        <w:t>1219.</w:t>
      </w:r>
    </w:p>
    <w:p w14:paraId="7266A7FF" w14:textId="77777777" w:rsidR="005B50C1" w:rsidRDefault="005B50C1" w:rsidP="007D7585">
      <w:pPr>
        <w:spacing w:line="360" w:lineRule="auto"/>
        <w:rPr>
          <w:sz w:val="24"/>
          <w:szCs w:val="24"/>
        </w:rPr>
      </w:pPr>
    </w:p>
    <w:p w14:paraId="49A77E56" w14:textId="051B2A6E" w:rsidR="005B50C1" w:rsidRDefault="005B50C1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CB1">
        <w:rPr>
          <w:sz w:val="24"/>
          <w:szCs w:val="24"/>
        </w:rPr>
        <w:t>On April 27, 2023, Pennsylvania American Water Company (PAWC</w:t>
      </w:r>
      <w:r w:rsidR="00871557">
        <w:rPr>
          <w:sz w:val="24"/>
          <w:szCs w:val="24"/>
        </w:rPr>
        <w:t>) filed an Answer to the Complaints</w:t>
      </w:r>
      <w:r w:rsidR="00E420A0">
        <w:rPr>
          <w:sz w:val="24"/>
          <w:szCs w:val="24"/>
        </w:rPr>
        <w:t xml:space="preserve"> denying any violation of the Public Utility Code or of the regulations of the Commission</w:t>
      </w:r>
      <w:r w:rsidR="007A7F47">
        <w:rPr>
          <w:sz w:val="24"/>
          <w:szCs w:val="24"/>
        </w:rPr>
        <w:t xml:space="preserve"> and asserting that Complainant’s bills, while high, are accurate.  PAWC also indicated its willingness to work with Complainant to establish a payment plan.</w:t>
      </w:r>
    </w:p>
    <w:p w14:paraId="668F6DD1" w14:textId="77777777" w:rsidR="00FC3C80" w:rsidRDefault="00FC3C80" w:rsidP="007D7585">
      <w:pPr>
        <w:spacing w:line="360" w:lineRule="auto"/>
        <w:rPr>
          <w:sz w:val="24"/>
          <w:szCs w:val="24"/>
        </w:rPr>
      </w:pPr>
    </w:p>
    <w:p w14:paraId="46A1B9E2" w14:textId="69CA1FE8" w:rsidR="00FC3C80" w:rsidRDefault="00FC3C80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telepho</w:t>
      </w:r>
      <w:r w:rsidR="009B3C1D">
        <w:rPr>
          <w:sz w:val="24"/>
          <w:szCs w:val="24"/>
        </w:rPr>
        <w:t>nic evidentiary hearing was scheduled for September 26, 2023.</w:t>
      </w:r>
    </w:p>
    <w:p w14:paraId="7C0FF2C0" w14:textId="77777777" w:rsidR="009B3C1D" w:rsidRDefault="009B3C1D" w:rsidP="007D7585">
      <w:pPr>
        <w:spacing w:line="360" w:lineRule="auto"/>
        <w:rPr>
          <w:sz w:val="24"/>
          <w:szCs w:val="24"/>
        </w:rPr>
      </w:pPr>
    </w:p>
    <w:p w14:paraId="67EABF79" w14:textId="6A84CBDD" w:rsidR="009B3C1D" w:rsidRDefault="009B3C1D" w:rsidP="007D75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September 19, 2023, Counsel for PAWC contacted the presiding officer to request a continuance of the hearing for at least thirty (30) days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afford the parties </w:t>
      </w:r>
      <w:r w:rsidR="000D60B9">
        <w:rPr>
          <w:sz w:val="24"/>
          <w:szCs w:val="24"/>
        </w:rPr>
        <w:t xml:space="preserve">an opportunity </w:t>
      </w:r>
      <w:r>
        <w:rPr>
          <w:sz w:val="24"/>
          <w:szCs w:val="24"/>
        </w:rPr>
        <w:t>to work towards a resolution of the Complaints</w:t>
      </w:r>
      <w:r w:rsidR="000D60B9">
        <w:rPr>
          <w:sz w:val="24"/>
          <w:szCs w:val="24"/>
        </w:rPr>
        <w:t xml:space="preserve">.  </w:t>
      </w:r>
      <w:proofErr w:type="gramStart"/>
      <w:r w:rsidR="000D60B9">
        <w:rPr>
          <w:sz w:val="24"/>
          <w:szCs w:val="24"/>
        </w:rPr>
        <w:t>Complainant</w:t>
      </w:r>
      <w:proofErr w:type="gramEnd"/>
      <w:r w:rsidR="000D60B9">
        <w:rPr>
          <w:sz w:val="24"/>
          <w:szCs w:val="24"/>
        </w:rPr>
        <w:t xml:space="preserve"> also requests the continuance.</w:t>
      </w:r>
    </w:p>
    <w:p w14:paraId="6552093B" w14:textId="77777777" w:rsidR="003D1B2F" w:rsidRDefault="003D1B2F" w:rsidP="007D7585">
      <w:pPr>
        <w:spacing w:line="360" w:lineRule="auto"/>
        <w:rPr>
          <w:sz w:val="24"/>
          <w:szCs w:val="24"/>
        </w:rPr>
      </w:pPr>
    </w:p>
    <w:p w14:paraId="3783821F" w14:textId="77777777" w:rsidR="0036537F" w:rsidRDefault="003D1B2F" w:rsidP="00940E1D">
      <w:pPr>
        <w:spacing w:line="360" w:lineRule="auto"/>
        <w:rPr>
          <w:sz w:val="24"/>
          <w:szCs w:val="24"/>
        </w:rPr>
        <w:sectPr w:rsidR="0036537F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0E1D" w:rsidRPr="00940E1D">
        <w:rPr>
          <w:sz w:val="24"/>
          <w:szCs w:val="24"/>
        </w:rPr>
        <w:t>The Commission’s Rules of Administrative Practice and Procedure at 52 Pa. Code § 1.15(b) state that, “Only for good cause shown will requests for continuance be considered.”</w:t>
      </w:r>
      <w:r w:rsidR="0036537F">
        <w:rPr>
          <w:sz w:val="24"/>
          <w:szCs w:val="24"/>
        </w:rPr>
        <w:t xml:space="preserve"> </w:t>
      </w:r>
    </w:p>
    <w:p w14:paraId="446AEDD3" w14:textId="6647DD98" w:rsidR="00940E1D" w:rsidRDefault="00940E1D" w:rsidP="00940E1D">
      <w:pPr>
        <w:spacing w:line="360" w:lineRule="auto"/>
        <w:rPr>
          <w:sz w:val="24"/>
          <w:szCs w:val="24"/>
        </w:rPr>
      </w:pPr>
      <w:r w:rsidRPr="00940E1D">
        <w:rPr>
          <w:sz w:val="24"/>
          <w:szCs w:val="24"/>
        </w:rPr>
        <w:lastRenderedPageBreak/>
        <w:t xml:space="preserve">Good cause has been shown. </w:t>
      </w:r>
      <w:r w:rsidR="007B5EEE">
        <w:rPr>
          <w:sz w:val="24"/>
          <w:szCs w:val="24"/>
        </w:rPr>
        <w:t xml:space="preserve"> Good cause is established by the mutual agreement of the parties to attempt to resolve the Complaints, and the </w:t>
      </w:r>
      <w:r w:rsidR="00042F2E">
        <w:rPr>
          <w:sz w:val="24"/>
          <w:szCs w:val="24"/>
        </w:rPr>
        <w:t>(informal) Motion for Continuance is granted.</w:t>
      </w:r>
    </w:p>
    <w:p w14:paraId="7FD6B614" w14:textId="77777777" w:rsidR="00042F2E" w:rsidRDefault="00042F2E" w:rsidP="00940E1D">
      <w:pPr>
        <w:spacing w:line="360" w:lineRule="auto"/>
        <w:rPr>
          <w:sz w:val="24"/>
          <w:szCs w:val="24"/>
        </w:rPr>
      </w:pPr>
    </w:p>
    <w:p w14:paraId="7C488718" w14:textId="45F19CA7" w:rsidR="00042F2E" w:rsidRDefault="00042F2E" w:rsidP="00940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48DC480D" w14:textId="77777777" w:rsidR="00042F2E" w:rsidRDefault="00042F2E" w:rsidP="00940E1D">
      <w:pPr>
        <w:spacing w:line="360" w:lineRule="auto"/>
        <w:rPr>
          <w:sz w:val="24"/>
          <w:szCs w:val="24"/>
        </w:rPr>
      </w:pPr>
    </w:p>
    <w:p w14:paraId="2E321DA5" w14:textId="3F0D654E" w:rsidR="00042F2E" w:rsidRDefault="00042F2E" w:rsidP="00940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54FCBCA2" w14:textId="77777777" w:rsidR="00042F2E" w:rsidRDefault="00042F2E" w:rsidP="00940E1D">
      <w:pPr>
        <w:spacing w:line="360" w:lineRule="auto"/>
        <w:rPr>
          <w:sz w:val="24"/>
          <w:szCs w:val="24"/>
        </w:rPr>
      </w:pPr>
    </w:p>
    <w:p w14:paraId="1303ACEB" w14:textId="11950195" w:rsidR="00042F2E" w:rsidRDefault="00042F2E" w:rsidP="00940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That the </w:t>
      </w:r>
      <w:r w:rsidR="00B278FA">
        <w:rPr>
          <w:sz w:val="24"/>
          <w:szCs w:val="24"/>
        </w:rPr>
        <w:t>Motion for Continuance in these cases made by the parties is granted.</w:t>
      </w:r>
    </w:p>
    <w:p w14:paraId="3A011034" w14:textId="77777777" w:rsidR="00B278FA" w:rsidRDefault="00B278FA" w:rsidP="00940E1D">
      <w:pPr>
        <w:spacing w:line="360" w:lineRule="auto"/>
        <w:rPr>
          <w:sz w:val="24"/>
          <w:szCs w:val="24"/>
        </w:rPr>
      </w:pPr>
    </w:p>
    <w:p w14:paraId="44F9835D" w14:textId="748F5C43" w:rsidR="00B278FA" w:rsidRDefault="00B278FA" w:rsidP="00940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That the hearing in this case is continued for at least thirty (30) days from September 26, 2023</w:t>
      </w:r>
      <w:r w:rsidR="005D070F">
        <w:rPr>
          <w:sz w:val="24"/>
          <w:szCs w:val="24"/>
        </w:rPr>
        <w:t>.</w:t>
      </w:r>
    </w:p>
    <w:p w14:paraId="5B32DE5E" w14:textId="77777777" w:rsidR="005D070F" w:rsidRDefault="005D070F" w:rsidP="00940E1D">
      <w:pPr>
        <w:spacing w:line="360" w:lineRule="auto"/>
        <w:rPr>
          <w:sz w:val="24"/>
          <w:szCs w:val="24"/>
        </w:rPr>
      </w:pPr>
    </w:p>
    <w:p w14:paraId="3D8B453F" w14:textId="65A5206B" w:rsidR="005D070F" w:rsidRPr="00940E1D" w:rsidRDefault="005D070F" w:rsidP="00940E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That the parties apprise me of their progress </w:t>
      </w:r>
      <w:r w:rsidR="009576F6">
        <w:rPr>
          <w:sz w:val="24"/>
          <w:szCs w:val="24"/>
        </w:rPr>
        <w:t xml:space="preserve">by </w:t>
      </w:r>
      <w:r w:rsidR="0041104B">
        <w:rPr>
          <w:sz w:val="24"/>
          <w:szCs w:val="24"/>
        </w:rPr>
        <w:t xml:space="preserve">no later than </w:t>
      </w:r>
      <w:r w:rsidR="009576F6">
        <w:rPr>
          <w:sz w:val="24"/>
          <w:szCs w:val="24"/>
        </w:rPr>
        <w:t>November 1, 2023.</w:t>
      </w:r>
    </w:p>
    <w:p w14:paraId="55327FE2" w14:textId="77777777" w:rsidR="00940E1D" w:rsidRPr="00940E1D" w:rsidRDefault="00940E1D" w:rsidP="00940E1D">
      <w:pPr>
        <w:spacing w:line="360" w:lineRule="auto"/>
        <w:rPr>
          <w:sz w:val="24"/>
          <w:szCs w:val="24"/>
        </w:rPr>
      </w:pPr>
    </w:p>
    <w:p w14:paraId="7693EFFE" w14:textId="77777777" w:rsidR="00204105" w:rsidRPr="00631B25" w:rsidRDefault="00204105" w:rsidP="00204105">
      <w:pPr>
        <w:tabs>
          <w:tab w:val="left" w:pos="-720"/>
        </w:tabs>
        <w:suppressAutoHyphens/>
        <w:spacing w:line="360" w:lineRule="auto"/>
        <w:rPr>
          <w:spacing w:val="-3"/>
          <w:sz w:val="24"/>
          <w:szCs w:val="24"/>
        </w:rPr>
      </w:pPr>
    </w:p>
    <w:p w14:paraId="246AD6D1" w14:textId="478B2EDF" w:rsidR="00204105" w:rsidRPr="00631B25" w:rsidRDefault="00A317F8" w:rsidP="00204105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41104B">
        <w:rPr>
          <w:spacing w:val="-3"/>
          <w:sz w:val="24"/>
          <w:szCs w:val="24"/>
        </w:rPr>
        <w:t xml:space="preserve">Date:  </w:t>
      </w:r>
      <w:r w:rsidRPr="00A317F8">
        <w:rPr>
          <w:spacing w:val="-3"/>
          <w:sz w:val="24"/>
          <w:szCs w:val="24"/>
          <w:u w:val="single"/>
        </w:rPr>
        <w:t>September 20, 2023</w:t>
      </w:r>
      <w:r w:rsidR="00204105" w:rsidRPr="00631B25">
        <w:rPr>
          <w:spacing w:val="-3"/>
          <w:sz w:val="24"/>
          <w:szCs w:val="24"/>
        </w:rPr>
        <w:tab/>
      </w:r>
      <w:r w:rsidR="00204105" w:rsidRPr="00631B25">
        <w:rPr>
          <w:spacing w:val="-3"/>
          <w:sz w:val="24"/>
          <w:szCs w:val="24"/>
          <w:u w:val="single"/>
        </w:rPr>
        <w:tab/>
        <w:t>/s/</w:t>
      </w:r>
      <w:r w:rsidR="00204105" w:rsidRPr="00631B25">
        <w:rPr>
          <w:spacing w:val="-3"/>
          <w:sz w:val="24"/>
          <w:szCs w:val="24"/>
          <w:u w:val="single"/>
        </w:rPr>
        <w:tab/>
      </w:r>
      <w:r w:rsidR="00204105" w:rsidRPr="00631B25">
        <w:rPr>
          <w:spacing w:val="-3"/>
          <w:sz w:val="24"/>
          <w:szCs w:val="24"/>
          <w:u w:val="single"/>
        </w:rPr>
        <w:tab/>
      </w:r>
    </w:p>
    <w:p w14:paraId="31BFC700" w14:textId="1DEDDC08" w:rsidR="00204105" w:rsidRPr="00631B25" w:rsidRDefault="00204105" w:rsidP="0020410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="002018F7">
        <w:rPr>
          <w:spacing w:val="-3"/>
          <w:sz w:val="24"/>
          <w:szCs w:val="24"/>
        </w:rPr>
        <w:t>Dennis J. Buckley</w:t>
      </w:r>
    </w:p>
    <w:p w14:paraId="3A88A1DB" w14:textId="4F28D1BB" w:rsidR="00F71F35" w:rsidRDefault="00204105" w:rsidP="00A317F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</w:r>
      <w:r w:rsidRPr="00631B25">
        <w:rPr>
          <w:spacing w:val="-3"/>
          <w:sz w:val="24"/>
          <w:szCs w:val="24"/>
        </w:rPr>
        <w:tab/>
        <w:t>Administrative Law Judge</w:t>
      </w:r>
    </w:p>
    <w:p w14:paraId="2B73EEF3" w14:textId="77777777" w:rsidR="00A317F8" w:rsidRDefault="00A317F8" w:rsidP="00A317F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ED4303A" w14:textId="77777777" w:rsidR="00A317F8" w:rsidRDefault="00A317F8" w:rsidP="00A317F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B23B9DA" w14:textId="77777777" w:rsidR="0036537F" w:rsidRDefault="0036537F" w:rsidP="00A317F8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36537F" w:rsidSect="0036537F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3B424F" w14:textId="77777777" w:rsidR="0036537F" w:rsidRDefault="0036537F" w:rsidP="0036537F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F-2023-3039716 - BETH MINTZER v. PENNSYLVANIA-AMERICAN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BETH MINTZER</w:t>
      </w:r>
      <w:r>
        <w:rPr>
          <w:rFonts w:ascii="Microsoft Sans Serif" w:eastAsia="Microsoft Sans Serif" w:hAnsi="Microsoft Sans Serif" w:cs="Microsoft Sans Serif"/>
          <w:sz w:val="24"/>
        </w:rPr>
        <w:cr/>
        <w:t>1429 CLAIRE DRIVE</w:t>
      </w:r>
      <w:r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898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7740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413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8928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B85259">
          <w:rPr>
            <w:rStyle w:val="Hyperlink"/>
            <w:rFonts w:ascii="Microsoft Sans Serif" w:eastAsia="Microsoft Sans Serif" w:hAnsi="Microsoft Sans Serif" w:cs="Microsoft Sans Serif"/>
            <w:sz w:val="24"/>
          </w:rPr>
          <w:t>froggy19541@gmail.com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B85259">
          <w:rPr>
            <w:rStyle w:val="Hyperlink"/>
            <w:rFonts w:ascii="Microsoft Sans Serif" w:eastAsia="Microsoft Sans Serif" w:hAnsi="Microsoft Sans Serif" w:cs="Microsoft Sans Serif"/>
            <w:sz w:val="24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Pennsylvania-American Water Company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D6BC19E" w14:textId="77777777" w:rsidR="0036537F" w:rsidRDefault="0036537F" w:rsidP="0036537F"/>
    <w:p w14:paraId="3A41B69C" w14:textId="77777777" w:rsidR="00A317F8" w:rsidRDefault="00A317F8" w:rsidP="00A317F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sectPr w:rsidR="00A317F8" w:rsidSect="0036537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A5D3" w14:textId="77777777" w:rsidR="00B64350" w:rsidRDefault="00B64350" w:rsidP="00204105">
      <w:r>
        <w:separator/>
      </w:r>
    </w:p>
  </w:endnote>
  <w:endnote w:type="continuationSeparator" w:id="0">
    <w:p w14:paraId="3B437A3D" w14:textId="77777777" w:rsidR="00B64350" w:rsidRDefault="00B64350" w:rsidP="002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F94F" w14:textId="01B38817" w:rsidR="0036537F" w:rsidRDefault="0036537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643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1403F" w14:textId="77777777" w:rsidR="0036537F" w:rsidRDefault="00365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BA70" w14:textId="29082A48" w:rsidR="0036537F" w:rsidRDefault="003653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1DBD" w14:textId="77777777" w:rsidR="00B64350" w:rsidRDefault="00B64350" w:rsidP="00204105">
      <w:r>
        <w:separator/>
      </w:r>
    </w:p>
  </w:footnote>
  <w:footnote w:type="continuationSeparator" w:id="0">
    <w:p w14:paraId="5FDC4099" w14:textId="77777777" w:rsidR="00B64350" w:rsidRDefault="00B64350" w:rsidP="0020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97993"/>
    <w:multiLevelType w:val="multilevel"/>
    <w:tmpl w:val="ADC6F052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48FD64F1"/>
    <w:multiLevelType w:val="multilevel"/>
    <w:tmpl w:val="548AC4EA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8644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64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24900">
    <w:abstractNumId w:val="1"/>
  </w:num>
  <w:num w:numId="4" w16cid:durableId="169550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5"/>
    <w:rsid w:val="00042F2E"/>
    <w:rsid w:val="000A1C23"/>
    <w:rsid w:val="000D60B9"/>
    <w:rsid w:val="00125E21"/>
    <w:rsid w:val="001551A6"/>
    <w:rsid w:val="002018F7"/>
    <w:rsid w:val="00204105"/>
    <w:rsid w:val="002250FB"/>
    <w:rsid w:val="00281015"/>
    <w:rsid w:val="002A593B"/>
    <w:rsid w:val="002B3F35"/>
    <w:rsid w:val="002E3A3C"/>
    <w:rsid w:val="00314167"/>
    <w:rsid w:val="00335244"/>
    <w:rsid w:val="003372C1"/>
    <w:rsid w:val="00343876"/>
    <w:rsid w:val="00343CAA"/>
    <w:rsid w:val="00354333"/>
    <w:rsid w:val="0036537F"/>
    <w:rsid w:val="003D1B2F"/>
    <w:rsid w:val="00402D3C"/>
    <w:rsid w:val="00403A9F"/>
    <w:rsid w:val="0041104B"/>
    <w:rsid w:val="004334D2"/>
    <w:rsid w:val="00446040"/>
    <w:rsid w:val="00514E1F"/>
    <w:rsid w:val="005333B4"/>
    <w:rsid w:val="0056578D"/>
    <w:rsid w:val="005A1AB6"/>
    <w:rsid w:val="005B50C1"/>
    <w:rsid w:val="005C48AC"/>
    <w:rsid w:val="005C6F4E"/>
    <w:rsid w:val="005D070F"/>
    <w:rsid w:val="00622676"/>
    <w:rsid w:val="00680E50"/>
    <w:rsid w:val="006E333E"/>
    <w:rsid w:val="006F27FA"/>
    <w:rsid w:val="006F45BE"/>
    <w:rsid w:val="00705A78"/>
    <w:rsid w:val="007321E7"/>
    <w:rsid w:val="007A7F47"/>
    <w:rsid w:val="007B5EEE"/>
    <w:rsid w:val="007D6E4F"/>
    <w:rsid w:val="007D7585"/>
    <w:rsid w:val="0083450C"/>
    <w:rsid w:val="00852D43"/>
    <w:rsid w:val="00871557"/>
    <w:rsid w:val="008B033D"/>
    <w:rsid w:val="008C2065"/>
    <w:rsid w:val="00903FD4"/>
    <w:rsid w:val="00940E1D"/>
    <w:rsid w:val="009576F6"/>
    <w:rsid w:val="00992CE9"/>
    <w:rsid w:val="009B3C1D"/>
    <w:rsid w:val="00A317F8"/>
    <w:rsid w:val="00AB2148"/>
    <w:rsid w:val="00AF27BE"/>
    <w:rsid w:val="00B278FA"/>
    <w:rsid w:val="00B52A0C"/>
    <w:rsid w:val="00B64350"/>
    <w:rsid w:val="00B813DC"/>
    <w:rsid w:val="00BB52D3"/>
    <w:rsid w:val="00BC2B34"/>
    <w:rsid w:val="00C11711"/>
    <w:rsid w:val="00C149D0"/>
    <w:rsid w:val="00C86DB2"/>
    <w:rsid w:val="00C94467"/>
    <w:rsid w:val="00CC023D"/>
    <w:rsid w:val="00CD16EE"/>
    <w:rsid w:val="00DE0885"/>
    <w:rsid w:val="00E420A0"/>
    <w:rsid w:val="00EA0126"/>
    <w:rsid w:val="00F03EBF"/>
    <w:rsid w:val="00F050C6"/>
    <w:rsid w:val="00F71F35"/>
    <w:rsid w:val="00F81CB1"/>
    <w:rsid w:val="00F8600C"/>
    <w:rsid w:val="00FC1B47"/>
    <w:rsid w:val="00FC3C8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37C7"/>
  <w15:chartTrackingRefBased/>
  <w15:docId w15:val="{5F3691B3-629F-40AB-9309-AC82FC6E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41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0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04105"/>
  </w:style>
  <w:style w:type="paragraph" w:styleId="FootnoteText">
    <w:name w:val="footnote text"/>
    <w:basedOn w:val="Normal"/>
    <w:link w:val="FootnoteTextChar"/>
    <w:uiPriority w:val="99"/>
    <w:semiHidden/>
    <w:unhideWhenUsed/>
    <w:rsid w:val="0020410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1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4105"/>
    <w:rPr>
      <w:vertAlign w:val="superscript"/>
    </w:rPr>
  </w:style>
  <w:style w:type="paragraph" w:customStyle="1" w:styleId="Style">
    <w:name w:val="Style"/>
    <w:rsid w:val="00204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3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33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michael.gruin@stevensl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ggy1954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Cheskis, Joel</dc:creator>
  <cp:keywords/>
  <dc:description/>
  <cp:lastModifiedBy>Williams, Bobbie Jo</cp:lastModifiedBy>
  <cp:revision>2</cp:revision>
  <dcterms:created xsi:type="dcterms:W3CDTF">2023-09-20T15:24:00Z</dcterms:created>
  <dcterms:modified xsi:type="dcterms:W3CDTF">2023-09-20T15:24:00Z</dcterms:modified>
</cp:coreProperties>
</file>