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7B441D32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950C2F">
              <w:rPr>
                <w:rFonts w:ascii="Microsoft Sans Serif" w:hAnsi="Microsoft Sans Serif" w:cs="Microsoft Sans Serif"/>
                <w:sz w:val="24"/>
                <w:szCs w:val="24"/>
              </w:rPr>
              <w:t>September 21,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83B0D4A" w14:textId="6946104A" w:rsidR="00895B8B" w:rsidRPr="00620964" w:rsidRDefault="00895B8B" w:rsidP="00ED2244">
      <w:pPr>
        <w:suppressAutoHyphens/>
        <w:ind w:left="5760" w:firstLine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950C2F" w:rsidRPr="00950C2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C-2023-3041906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FF24F" w14:textId="70C3CE10" w:rsidR="003D57CB" w:rsidRDefault="00950C2F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50C2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Darcy &amp; Larry Jones </w:t>
      </w:r>
      <w:r w:rsidR="00BF7B29" w:rsidRPr="00BF7B2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="00F11DF5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4054BBC6" w14:textId="77777777" w:rsidR="00BF7B29" w:rsidRPr="00620964" w:rsidRDefault="00BF7B29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0A720F69" w:rsidR="00895B8B" w:rsidRPr="00620964" w:rsidRDefault="009324C7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324C7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0EB1D3C1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23539">
        <w:rPr>
          <w:rFonts w:ascii="Microsoft Sans Serif" w:hAnsi="Microsoft Sans Serif" w:cs="Microsoft Sans Serif"/>
          <w:sz w:val="24"/>
          <w:szCs w:val="24"/>
        </w:rPr>
        <w:t xml:space="preserve">Eranda Vero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23539">
        <w:rPr>
          <w:rFonts w:ascii="Microsoft Sans Serif" w:hAnsi="Microsoft Sans Serif" w:cs="Microsoft Sans Serif"/>
          <w:sz w:val="24"/>
          <w:szCs w:val="24"/>
        </w:rPr>
        <w:t>Vero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D6CF349" w14:textId="043C9F23" w:rsidR="0098525E" w:rsidRPr="0098525E" w:rsidRDefault="001F2B3C" w:rsidP="0098525E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98525E" w:rsidRPr="0098525E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C-2023-3041906 - DARCY &amp; LARRY JONES v. PECO ENERGY COMPANY</w:t>
      </w:r>
      <w:r w:rsidR="0098525E" w:rsidRPr="0098525E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8525E" w:rsidRPr="0098525E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8525E"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DARCY &amp; LARRY JONES</w:t>
      </w:r>
      <w:r w:rsidR="0098525E"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780 N REEDS ROAD</w:t>
      </w:r>
      <w:r w:rsidR="0098525E"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DOWNINGTOWN PA  19335</w:t>
      </w:r>
      <w:r w:rsidR="0098525E"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98525E" w:rsidRPr="0098525E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484.883.0830</w:t>
      </w:r>
      <w:r w:rsidR="0098525E"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hyperlink r:id="rId9" w:history="1">
        <w:r w:rsidR="0098525E" w:rsidRPr="0098525E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darcyoj@gmail.com</w:t>
        </w:r>
      </w:hyperlink>
      <w:r w:rsidR="0098525E"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="0098525E"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07BE25E5" w14:textId="77777777" w:rsidR="0098525E" w:rsidRPr="0098525E" w:rsidRDefault="0098525E" w:rsidP="0098525E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KHADIJAH SCOTT ESQUIRE</w:t>
      </w: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PECO ENERGY COMPANY</w:t>
      </w: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2301 MARKET STREET - S23-1</w:t>
      </w: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19103</w:t>
      </w: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8525E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267.533.1830</w:t>
      </w:r>
      <w:r w:rsidRPr="0098525E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98525E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Khadijah.Scott@exeloncorp.com</w:t>
        </w:r>
      </w:hyperlink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(Counsel for PECO Energy Company)</w:t>
      </w: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98525E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6596F7A6" w14:textId="24C064BC" w:rsidR="004353D3" w:rsidRPr="00620964" w:rsidRDefault="004353D3" w:rsidP="0098525E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0571" w14:textId="77777777" w:rsidR="00232686" w:rsidRDefault="00232686">
      <w:r>
        <w:separator/>
      </w:r>
    </w:p>
  </w:endnote>
  <w:endnote w:type="continuationSeparator" w:id="0">
    <w:p w14:paraId="2558A031" w14:textId="77777777" w:rsidR="00232686" w:rsidRDefault="002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2B1D" w14:textId="77777777" w:rsidR="00232686" w:rsidRDefault="00232686">
      <w:r>
        <w:separator/>
      </w:r>
    </w:p>
  </w:footnote>
  <w:footnote w:type="continuationSeparator" w:id="0">
    <w:p w14:paraId="1070E87A" w14:textId="77777777" w:rsidR="00232686" w:rsidRDefault="0023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D4A35"/>
    <w:rsid w:val="001073EC"/>
    <w:rsid w:val="0011633A"/>
    <w:rsid w:val="001209F1"/>
    <w:rsid w:val="00145160"/>
    <w:rsid w:val="00194482"/>
    <w:rsid w:val="001D420A"/>
    <w:rsid w:val="001F04C9"/>
    <w:rsid w:val="001F2B3C"/>
    <w:rsid w:val="0020113A"/>
    <w:rsid w:val="002229C3"/>
    <w:rsid w:val="00232686"/>
    <w:rsid w:val="00251FBD"/>
    <w:rsid w:val="00253AAB"/>
    <w:rsid w:val="00255A4A"/>
    <w:rsid w:val="00263F5D"/>
    <w:rsid w:val="00271354"/>
    <w:rsid w:val="002729FF"/>
    <w:rsid w:val="0029471C"/>
    <w:rsid w:val="002E1A24"/>
    <w:rsid w:val="002F1314"/>
    <w:rsid w:val="0030055D"/>
    <w:rsid w:val="00327537"/>
    <w:rsid w:val="003327CA"/>
    <w:rsid w:val="00342F49"/>
    <w:rsid w:val="0039117F"/>
    <w:rsid w:val="003A1B3E"/>
    <w:rsid w:val="003D57CB"/>
    <w:rsid w:val="003E2090"/>
    <w:rsid w:val="00427B18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5F694C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6D1681"/>
    <w:rsid w:val="006D5EA7"/>
    <w:rsid w:val="00701390"/>
    <w:rsid w:val="00737EDA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324C7"/>
    <w:rsid w:val="009465D5"/>
    <w:rsid w:val="00950C2F"/>
    <w:rsid w:val="00952A9D"/>
    <w:rsid w:val="009709B0"/>
    <w:rsid w:val="0098525E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23539"/>
    <w:rsid w:val="00B87EDD"/>
    <w:rsid w:val="00BE5119"/>
    <w:rsid w:val="00BF2E7C"/>
    <w:rsid w:val="00BF7B29"/>
    <w:rsid w:val="00C02F46"/>
    <w:rsid w:val="00C0331E"/>
    <w:rsid w:val="00C143E5"/>
    <w:rsid w:val="00C460E1"/>
    <w:rsid w:val="00C6183D"/>
    <w:rsid w:val="00C74A51"/>
    <w:rsid w:val="00C74AD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C3256"/>
    <w:rsid w:val="00DE6E3C"/>
    <w:rsid w:val="00E11CAB"/>
    <w:rsid w:val="00E463D7"/>
    <w:rsid w:val="00E52E11"/>
    <w:rsid w:val="00E54428"/>
    <w:rsid w:val="00E54E7D"/>
    <w:rsid w:val="00E55694"/>
    <w:rsid w:val="00E64FAF"/>
    <w:rsid w:val="00E945B1"/>
    <w:rsid w:val="00EB23E3"/>
    <w:rsid w:val="00EC208D"/>
    <w:rsid w:val="00ED2244"/>
    <w:rsid w:val="00F11DF5"/>
    <w:rsid w:val="00F20B8E"/>
    <w:rsid w:val="00F35A46"/>
    <w:rsid w:val="00F41914"/>
    <w:rsid w:val="00F45CB3"/>
    <w:rsid w:val="00F50D62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cyo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1353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2</cp:revision>
  <cp:lastPrinted>2022-10-27T20:07:00Z</cp:lastPrinted>
  <dcterms:created xsi:type="dcterms:W3CDTF">2023-09-21T20:33:00Z</dcterms:created>
  <dcterms:modified xsi:type="dcterms:W3CDTF">2023-09-21T20:33:00Z</dcterms:modified>
</cp:coreProperties>
</file>