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4C9E69"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F67E18">
        <w:rPr>
          <w:rFonts w:ascii="Arial" w:hAnsi="Arial" w:cs="Arial"/>
          <w:color w:val="000000"/>
          <w:szCs w:val="24"/>
        </w:rPr>
        <w:t>25</w:t>
      </w:r>
      <w:r w:rsidR="00355324">
        <w:rPr>
          <w:rFonts w:ascii="Arial" w:hAnsi="Arial" w:cs="Arial"/>
          <w:color w:val="000000"/>
          <w:szCs w:val="24"/>
        </w:rPr>
        <w:t>, 202</w:t>
      </w:r>
      <w:r w:rsidR="00F67E18">
        <w:rPr>
          <w:rFonts w:ascii="Arial" w:hAnsi="Arial" w:cs="Arial"/>
          <w:color w:val="000000"/>
          <w:szCs w:val="24"/>
        </w:rPr>
        <w:t>3</w:t>
      </w:r>
    </w:p>
    <w:p w14:paraId="66B54656" w14:textId="6DBB44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67E18" w:rsidRPr="00F67E18">
        <w:rPr>
          <w:rFonts w:ascii="Arial" w:hAnsi="Arial" w:cs="Arial"/>
          <w:noProof/>
          <w:sz w:val="24"/>
          <w:szCs w:val="24"/>
        </w:rPr>
        <w:t>A-2010-2192350</w:t>
      </w:r>
    </w:p>
    <w:p w14:paraId="53583C50" w14:textId="7B8411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67E18" w:rsidRPr="00F67E18">
        <w:rPr>
          <w:rFonts w:ascii="Arial" w:hAnsi="Arial" w:cs="Arial"/>
          <w:noProof/>
          <w:sz w:val="24"/>
          <w:szCs w:val="24"/>
        </w:rPr>
        <w:t>1112557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9C1656" w:rsidR="00355324" w:rsidRPr="006878DE" w:rsidRDefault="0094127F" w:rsidP="00355324">
      <w:pPr>
        <w:outlineLvl w:val="0"/>
        <w:rPr>
          <w:rFonts w:ascii="Arial" w:hAnsi="Arial" w:cs="Arial"/>
          <w:noProof/>
          <w:sz w:val="24"/>
          <w:szCs w:val="24"/>
          <w:highlight w:val="yellow"/>
        </w:rPr>
      </w:pPr>
      <w:r w:rsidRPr="0094127F">
        <w:rPr>
          <w:rFonts w:ascii="Arial" w:hAnsi="Arial" w:cs="Arial"/>
          <w:noProof/>
          <w:sz w:val="24"/>
          <w:szCs w:val="24"/>
        </w:rPr>
        <w:t>LEAH GIBBONS</w:t>
      </w:r>
    </w:p>
    <w:p w14:paraId="7E494CA7" w14:textId="1BC4ADAE" w:rsidR="00355324" w:rsidRPr="006878DE" w:rsidRDefault="00F67E18" w:rsidP="00355324">
      <w:pPr>
        <w:outlineLvl w:val="0"/>
        <w:rPr>
          <w:rFonts w:ascii="Arial" w:hAnsi="Arial" w:cs="Arial"/>
          <w:sz w:val="24"/>
          <w:szCs w:val="24"/>
          <w:highlight w:val="yellow"/>
        </w:rPr>
      </w:pPr>
      <w:r w:rsidRPr="00F67E18">
        <w:rPr>
          <w:rFonts w:ascii="Arial" w:hAnsi="Arial" w:cs="Arial"/>
          <w:noProof/>
          <w:sz w:val="24"/>
          <w:szCs w:val="24"/>
        </w:rPr>
        <w:t>RELIANT ENERGY NORTHEAST LLC</w:t>
      </w:r>
    </w:p>
    <w:p w14:paraId="5D0EA9B0" w14:textId="7F5EF758" w:rsidR="00355324" w:rsidRDefault="00B04F87" w:rsidP="00355324">
      <w:pPr>
        <w:outlineLvl w:val="0"/>
        <w:rPr>
          <w:rFonts w:ascii="Arial" w:hAnsi="Arial" w:cs="Arial"/>
          <w:sz w:val="24"/>
          <w:szCs w:val="24"/>
        </w:rPr>
      </w:pPr>
      <w:r w:rsidRPr="00B04F87">
        <w:rPr>
          <w:rFonts w:ascii="Arial" w:hAnsi="Arial" w:cs="Arial"/>
          <w:noProof/>
          <w:sz w:val="24"/>
          <w:szCs w:val="24"/>
        </w:rPr>
        <w:t>NERetailRegulatory@nrg.com; 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E8EC41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67E18" w:rsidRPr="00F67E18">
        <w:rPr>
          <w:rFonts w:ascii="Arial" w:hAnsi="Arial" w:cs="Arial"/>
          <w:noProof/>
          <w:sz w:val="24"/>
          <w:szCs w:val="24"/>
        </w:rPr>
        <w:t>October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67E18">
        <w:rPr>
          <w:rFonts w:ascii="Arial" w:hAnsi="Arial" w:cs="Arial"/>
          <w:sz w:val="24"/>
          <w:szCs w:val="24"/>
        </w:rPr>
        <w:t xml:space="preserve">on </w:t>
      </w:r>
      <w:r w:rsidR="00F67E18" w:rsidRPr="00F67E18">
        <w:rPr>
          <w:rFonts w:ascii="Arial" w:hAnsi="Arial" w:cs="Arial"/>
          <w:noProof/>
          <w:sz w:val="24"/>
          <w:szCs w:val="24"/>
        </w:rPr>
        <w:t>December</w:t>
      </w:r>
      <w:r w:rsidRPr="00F67E18">
        <w:rPr>
          <w:rFonts w:ascii="Arial" w:hAnsi="Arial" w:cs="Arial"/>
          <w:noProof/>
          <w:sz w:val="24"/>
          <w:szCs w:val="24"/>
        </w:rPr>
        <w:t xml:space="preserve"> </w:t>
      </w:r>
      <w:r w:rsidR="00F67E18" w:rsidRPr="00F67E18">
        <w:rPr>
          <w:rFonts w:ascii="Arial" w:hAnsi="Arial" w:cs="Arial"/>
          <w:noProof/>
          <w:sz w:val="24"/>
          <w:szCs w:val="24"/>
        </w:rPr>
        <w:t>14</w:t>
      </w:r>
      <w:r w:rsidRPr="00F67E18">
        <w:rPr>
          <w:rFonts w:ascii="Arial" w:hAnsi="Arial" w:cs="Arial"/>
          <w:noProof/>
          <w:sz w:val="24"/>
          <w:szCs w:val="24"/>
        </w:rPr>
        <w:t xml:space="preserve">, </w:t>
      </w:r>
      <w:r w:rsidR="00F67E18" w:rsidRPr="00F67E1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3695A725" w:rsidR="00355324" w:rsidRPr="00BB0668" w:rsidRDefault="00355324" w:rsidP="00355324">
      <w:pPr>
        <w:rPr>
          <w:rFonts w:ascii="Arial" w:hAnsi="Arial" w:cs="Arial"/>
          <w:snapToGrid w:val="0"/>
          <w:sz w:val="24"/>
          <w:szCs w:val="24"/>
        </w:rPr>
      </w:pPr>
      <w:r w:rsidRPr="00BB0668">
        <w:rPr>
          <w:rFonts w:ascii="Arial" w:hAnsi="Arial" w:cs="Arial"/>
          <w:sz w:val="24"/>
          <w:szCs w:val="24"/>
        </w:rPr>
        <w:t>Unless ordered by the Commission, EGS Broker and EGS Supplier Licensees are required to maintain minimum financial security levels of $10,000 and $250,000</w:t>
      </w:r>
      <w:r w:rsidR="00375A5F">
        <w:rPr>
          <w:rFonts w:ascii="Arial" w:hAnsi="Arial" w:cs="Arial"/>
          <w:sz w:val="24"/>
          <w:szCs w:val="24"/>
        </w:rPr>
        <w:t>,</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E60EDF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67E1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75A5F"/>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127F"/>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4F87"/>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67E18"/>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36</cp:revision>
  <cp:lastPrinted>2018-09-26T14:32:00Z</cp:lastPrinted>
  <dcterms:created xsi:type="dcterms:W3CDTF">2023-09-25T17:30:00Z</dcterms:created>
  <dcterms:modified xsi:type="dcterms:W3CDTF">2023-09-25T17:32:00Z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