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DB97" w14:textId="5350A399" w:rsidR="005E192D" w:rsidRPr="00D05A71" w:rsidRDefault="005E192D" w:rsidP="005E5991">
      <w:pPr>
        <w:suppressAutoHyphens/>
        <w:jc w:val="center"/>
        <w:outlineLvl w:val="0"/>
        <w:rPr>
          <w:b/>
          <w:bCs/>
          <w:sz w:val="24"/>
          <w:szCs w:val="24"/>
        </w:rPr>
      </w:pPr>
      <w:r w:rsidRPr="00D05A71">
        <w:rPr>
          <w:b/>
          <w:bCs/>
          <w:sz w:val="24"/>
          <w:szCs w:val="24"/>
        </w:rPr>
        <w:t>BEFORE THE</w:t>
      </w:r>
    </w:p>
    <w:p w14:paraId="199D032E" w14:textId="77777777" w:rsidR="005E192D" w:rsidRPr="00D05A71" w:rsidRDefault="005E192D" w:rsidP="001B2509">
      <w:pPr>
        <w:tabs>
          <w:tab w:val="left" w:pos="-720"/>
        </w:tabs>
        <w:suppressAutoHyphens/>
        <w:jc w:val="center"/>
        <w:outlineLvl w:val="0"/>
        <w:rPr>
          <w:b/>
          <w:bCs/>
          <w:sz w:val="24"/>
          <w:szCs w:val="24"/>
        </w:rPr>
      </w:pPr>
      <w:r w:rsidRPr="00D05A71">
        <w:rPr>
          <w:b/>
          <w:bCs/>
          <w:sz w:val="24"/>
          <w:szCs w:val="24"/>
        </w:rPr>
        <w:t>PENNSYLVANIA PUBLIC UTILITY COMMISSION</w:t>
      </w:r>
    </w:p>
    <w:p w14:paraId="378FAE97" w14:textId="77777777" w:rsidR="005E192D" w:rsidRPr="00D05A71" w:rsidRDefault="005E192D" w:rsidP="009C0EC8">
      <w:pPr>
        <w:tabs>
          <w:tab w:val="left" w:pos="-720"/>
        </w:tabs>
        <w:suppressAutoHyphens/>
        <w:jc w:val="center"/>
        <w:rPr>
          <w:b/>
          <w:bCs/>
          <w:sz w:val="24"/>
          <w:szCs w:val="24"/>
        </w:rPr>
      </w:pPr>
    </w:p>
    <w:p w14:paraId="1E299725" w14:textId="77777777" w:rsidR="005E192D" w:rsidRPr="00D05A71" w:rsidRDefault="005E192D" w:rsidP="009C0EC8">
      <w:pPr>
        <w:tabs>
          <w:tab w:val="left" w:pos="-720"/>
        </w:tabs>
        <w:suppressAutoHyphens/>
        <w:jc w:val="center"/>
        <w:rPr>
          <w:b/>
          <w:bCs/>
          <w:sz w:val="24"/>
          <w:szCs w:val="24"/>
        </w:rPr>
      </w:pPr>
    </w:p>
    <w:p w14:paraId="3C983A70" w14:textId="77777777" w:rsidR="005E192D" w:rsidRPr="00D05A71" w:rsidRDefault="005E192D" w:rsidP="009C0EC8">
      <w:pPr>
        <w:tabs>
          <w:tab w:val="left" w:pos="-720"/>
        </w:tabs>
        <w:suppressAutoHyphens/>
        <w:jc w:val="center"/>
        <w:rPr>
          <w:b/>
          <w:bCs/>
          <w:sz w:val="24"/>
          <w:szCs w:val="24"/>
        </w:rPr>
      </w:pPr>
    </w:p>
    <w:p w14:paraId="3706A5EB" w14:textId="66EDC200" w:rsidR="005E192D" w:rsidRPr="00D05A71" w:rsidRDefault="008650D5">
      <w:pPr>
        <w:tabs>
          <w:tab w:val="left" w:pos="-720"/>
        </w:tabs>
        <w:suppressAutoHyphens/>
        <w:rPr>
          <w:sz w:val="24"/>
          <w:szCs w:val="24"/>
        </w:rPr>
      </w:pPr>
      <w:r w:rsidRPr="00D05A71">
        <w:rPr>
          <w:sz w:val="24"/>
          <w:szCs w:val="24"/>
        </w:rPr>
        <w:t>Daniel and Kimberly Spence</w:t>
      </w:r>
      <w:r w:rsidR="005E192D" w:rsidRPr="00D05A71">
        <w:rPr>
          <w:sz w:val="24"/>
          <w:szCs w:val="24"/>
        </w:rPr>
        <w:tab/>
      </w:r>
      <w:r w:rsidR="005E192D" w:rsidRPr="00D05A71">
        <w:rPr>
          <w:sz w:val="24"/>
          <w:szCs w:val="24"/>
        </w:rPr>
        <w:tab/>
      </w:r>
      <w:r w:rsidR="007768A0" w:rsidRPr="00D05A71">
        <w:rPr>
          <w:sz w:val="24"/>
          <w:szCs w:val="24"/>
        </w:rPr>
        <w:tab/>
      </w:r>
      <w:r w:rsidR="007768A0" w:rsidRPr="00D05A71">
        <w:rPr>
          <w:sz w:val="24"/>
          <w:szCs w:val="24"/>
        </w:rPr>
        <w:tab/>
      </w:r>
      <w:r w:rsidR="005E192D" w:rsidRPr="00D05A71">
        <w:rPr>
          <w:sz w:val="24"/>
          <w:szCs w:val="24"/>
        </w:rPr>
        <w:t>:</w:t>
      </w:r>
    </w:p>
    <w:p w14:paraId="1517E9F0" w14:textId="77777777" w:rsidR="005E192D" w:rsidRPr="00D05A71" w:rsidRDefault="005E192D">
      <w:pPr>
        <w:tabs>
          <w:tab w:val="left" w:pos="-720"/>
        </w:tabs>
        <w:suppressAutoHyphens/>
        <w:rPr>
          <w:sz w:val="24"/>
          <w:szCs w:val="24"/>
        </w:rPr>
      </w:pP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t>:</w:t>
      </w:r>
    </w:p>
    <w:p w14:paraId="51764D31" w14:textId="2830E6F2" w:rsidR="005E192D" w:rsidRPr="00D05A71" w:rsidRDefault="005E192D">
      <w:pPr>
        <w:tabs>
          <w:tab w:val="left" w:pos="-720"/>
        </w:tabs>
        <w:suppressAutoHyphens/>
        <w:rPr>
          <w:sz w:val="24"/>
          <w:szCs w:val="24"/>
        </w:rPr>
      </w:pPr>
      <w:r w:rsidRPr="00D05A71">
        <w:rPr>
          <w:sz w:val="24"/>
          <w:szCs w:val="24"/>
        </w:rPr>
        <w:tab/>
        <w:t>v.</w:t>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t>:</w:t>
      </w:r>
      <w:r w:rsidRPr="00D05A71">
        <w:rPr>
          <w:sz w:val="24"/>
          <w:szCs w:val="24"/>
        </w:rPr>
        <w:tab/>
      </w:r>
      <w:r w:rsidRPr="00D05A71">
        <w:rPr>
          <w:sz w:val="24"/>
          <w:szCs w:val="24"/>
        </w:rPr>
        <w:tab/>
      </w:r>
      <w:r w:rsidR="007768A0" w:rsidRPr="00D05A71">
        <w:rPr>
          <w:sz w:val="24"/>
          <w:szCs w:val="24"/>
        </w:rPr>
        <w:t>C-</w:t>
      </w:r>
      <w:r w:rsidR="008650D5" w:rsidRPr="00D05A71">
        <w:rPr>
          <w:sz w:val="24"/>
          <w:szCs w:val="24"/>
        </w:rPr>
        <w:t>2023-3042094</w:t>
      </w:r>
    </w:p>
    <w:p w14:paraId="427C22B3" w14:textId="77777777" w:rsidR="005E192D" w:rsidRPr="00D05A71" w:rsidRDefault="005E192D">
      <w:pPr>
        <w:tabs>
          <w:tab w:val="left" w:pos="-720"/>
        </w:tabs>
        <w:suppressAutoHyphens/>
        <w:rPr>
          <w:sz w:val="24"/>
          <w:szCs w:val="24"/>
        </w:rPr>
      </w:pP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t>:</w:t>
      </w:r>
    </w:p>
    <w:p w14:paraId="2F4BF4F6" w14:textId="3ACD4E73" w:rsidR="005E192D" w:rsidRPr="00D05A71" w:rsidRDefault="008650D5">
      <w:pPr>
        <w:tabs>
          <w:tab w:val="left" w:pos="-720"/>
        </w:tabs>
        <w:suppressAutoHyphens/>
        <w:rPr>
          <w:sz w:val="24"/>
          <w:szCs w:val="24"/>
        </w:rPr>
      </w:pPr>
      <w:r w:rsidRPr="00D05A71">
        <w:rPr>
          <w:sz w:val="24"/>
          <w:szCs w:val="24"/>
        </w:rPr>
        <w:t>PPL Electric Utilities Corporation</w:t>
      </w:r>
      <w:r w:rsidR="006C729D" w:rsidRPr="00D05A71">
        <w:rPr>
          <w:sz w:val="24"/>
          <w:szCs w:val="24"/>
        </w:rPr>
        <w:tab/>
      </w:r>
      <w:r w:rsidR="005E192D" w:rsidRPr="00D05A71">
        <w:rPr>
          <w:sz w:val="24"/>
          <w:szCs w:val="24"/>
        </w:rPr>
        <w:tab/>
      </w:r>
      <w:r w:rsidR="005E192D" w:rsidRPr="00D05A71">
        <w:rPr>
          <w:sz w:val="24"/>
          <w:szCs w:val="24"/>
        </w:rPr>
        <w:tab/>
        <w:t>:</w:t>
      </w:r>
    </w:p>
    <w:p w14:paraId="1001433B" w14:textId="77777777" w:rsidR="00AB161E" w:rsidRPr="00D05A71" w:rsidRDefault="00AB161E">
      <w:pPr>
        <w:tabs>
          <w:tab w:val="left" w:pos="-720"/>
        </w:tabs>
        <w:suppressAutoHyphens/>
        <w:rPr>
          <w:sz w:val="24"/>
          <w:szCs w:val="24"/>
        </w:rPr>
      </w:pPr>
    </w:p>
    <w:p w14:paraId="1B7CFB50" w14:textId="77777777" w:rsidR="005E192D" w:rsidRPr="00D05A71" w:rsidRDefault="005E192D">
      <w:pPr>
        <w:tabs>
          <w:tab w:val="left" w:pos="-720"/>
        </w:tabs>
        <w:suppressAutoHyphens/>
        <w:rPr>
          <w:sz w:val="24"/>
          <w:szCs w:val="24"/>
        </w:rPr>
      </w:pPr>
    </w:p>
    <w:p w14:paraId="24C1ED7A" w14:textId="77777777" w:rsidR="008E10A2" w:rsidRPr="00D05A71" w:rsidRDefault="008E10A2" w:rsidP="008E10A2">
      <w:pPr>
        <w:jc w:val="both"/>
        <w:rPr>
          <w:sz w:val="24"/>
          <w:szCs w:val="24"/>
        </w:rPr>
      </w:pPr>
    </w:p>
    <w:p w14:paraId="3EC02AC0" w14:textId="77777777" w:rsidR="002D0108" w:rsidRPr="00D05A71" w:rsidRDefault="002D0108" w:rsidP="008E10A2">
      <w:pPr>
        <w:pStyle w:val="Heading1"/>
        <w:jc w:val="center"/>
        <w:rPr>
          <w:sz w:val="24"/>
          <w:szCs w:val="24"/>
          <w:u w:val="single"/>
        </w:rPr>
      </w:pPr>
      <w:r w:rsidRPr="00D05A71">
        <w:rPr>
          <w:sz w:val="24"/>
          <w:szCs w:val="24"/>
          <w:u w:val="single"/>
        </w:rPr>
        <w:t>FIRST INTERIM ORDER</w:t>
      </w:r>
    </w:p>
    <w:p w14:paraId="6D34E1E3" w14:textId="4CC32A01" w:rsidR="002D0108" w:rsidRPr="00D05A71" w:rsidRDefault="00F10D39" w:rsidP="008E10A2">
      <w:pPr>
        <w:pStyle w:val="Heading1"/>
        <w:jc w:val="center"/>
        <w:rPr>
          <w:sz w:val="24"/>
          <w:szCs w:val="24"/>
        </w:rPr>
      </w:pPr>
      <w:r w:rsidRPr="00D05A71">
        <w:rPr>
          <w:sz w:val="24"/>
          <w:szCs w:val="24"/>
        </w:rPr>
        <w:t>Concerning</w:t>
      </w:r>
      <w:r w:rsidR="002D0108" w:rsidRPr="00D05A71">
        <w:rPr>
          <w:sz w:val="24"/>
          <w:szCs w:val="24"/>
        </w:rPr>
        <w:t xml:space="preserve"> Respondent</w:t>
      </w:r>
      <w:r w:rsidR="00512840" w:rsidRPr="00D05A71">
        <w:rPr>
          <w:sz w:val="24"/>
          <w:szCs w:val="24"/>
        </w:rPr>
        <w:t>’s</w:t>
      </w:r>
      <w:r w:rsidR="002D0108" w:rsidRPr="00D05A71">
        <w:rPr>
          <w:sz w:val="24"/>
          <w:szCs w:val="24"/>
        </w:rPr>
        <w:t xml:space="preserve"> </w:t>
      </w:r>
    </w:p>
    <w:p w14:paraId="20CAAF03" w14:textId="77777777" w:rsidR="002D0108" w:rsidRPr="00D05A71" w:rsidRDefault="002D0108" w:rsidP="008E10A2">
      <w:pPr>
        <w:pStyle w:val="Heading1"/>
        <w:jc w:val="center"/>
        <w:rPr>
          <w:sz w:val="24"/>
          <w:szCs w:val="24"/>
        </w:rPr>
      </w:pPr>
      <w:r w:rsidRPr="00D05A71">
        <w:rPr>
          <w:sz w:val="24"/>
          <w:szCs w:val="24"/>
        </w:rPr>
        <w:t>Preliminary Objections</w:t>
      </w:r>
    </w:p>
    <w:p w14:paraId="1AA8CF26" w14:textId="77777777" w:rsidR="005E192D" w:rsidRPr="00D05A71" w:rsidRDefault="005E192D">
      <w:pPr>
        <w:tabs>
          <w:tab w:val="center" w:pos="4680"/>
        </w:tabs>
        <w:suppressAutoHyphens/>
        <w:jc w:val="center"/>
        <w:rPr>
          <w:b/>
          <w:bCs/>
          <w:sz w:val="24"/>
          <w:szCs w:val="24"/>
          <w:u w:val="single"/>
        </w:rPr>
      </w:pPr>
    </w:p>
    <w:p w14:paraId="591F9C1A" w14:textId="77777777" w:rsidR="00132CFA" w:rsidRPr="00D05A71" w:rsidRDefault="00132CFA">
      <w:pPr>
        <w:tabs>
          <w:tab w:val="center" w:pos="4680"/>
        </w:tabs>
        <w:suppressAutoHyphens/>
        <w:jc w:val="center"/>
        <w:rPr>
          <w:b/>
          <w:bCs/>
          <w:sz w:val="24"/>
          <w:szCs w:val="24"/>
          <w:u w:val="single"/>
        </w:rPr>
      </w:pPr>
    </w:p>
    <w:p w14:paraId="2CB46D3C" w14:textId="77777777" w:rsidR="005E192D" w:rsidRPr="00D05A71" w:rsidRDefault="005E192D" w:rsidP="00EC1CE5">
      <w:pPr>
        <w:tabs>
          <w:tab w:val="center" w:pos="4680"/>
        </w:tabs>
        <w:suppressAutoHyphens/>
        <w:jc w:val="center"/>
        <w:outlineLvl w:val="0"/>
        <w:rPr>
          <w:sz w:val="24"/>
          <w:szCs w:val="24"/>
        </w:rPr>
      </w:pPr>
      <w:r w:rsidRPr="00D05A71">
        <w:rPr>
          <w:sz w:val="24"/>
          <w:szCs w:val="24"/>
        </w:rPr>
        <w:t>Before</w:t>
      </w:r>
    </w:p>
    <w:p w14:paraId="20CF5DD5" w14:textId="77777777" w:rsidR="005E192D" w:rsidRPr="00D05A71" w:rsidRDefault="0021130D">
      <w:pPr>
        <w:tabs>
          <w:tab w:val="center" w:pos="4680"/>
        </w:tabs>
        <w:suppressAutoHyphens/>
        <w:jc w:val="center"/>
        <w:rPr>
          <w:sz w:val="24"/>
          <w:szCs w:val="24"/>
        </w:rPr>
      </w:pPr>
      <w:r w:rsidRPr="00D05A71">
        <w:rPr>
          <w:sz w:val="24"/>
          <w:szCs w:val="24"/>
        </w:rPr>
        <w:t>Katrina L. Dunderdale</w:t>
      </w:r>
    </w:p>
    <w:p w14:paraId="4E4F6F59" w14:textId="77777777" w:rsidR="005E192D" w:rsidRPr="00D05A71" w:rsidRDefault="005E192D">
      <w:pPr>
        <w:tabs>
          <w:tab w:val="center" w:pos="4680"/>
        </w:tabs>
        <w:suppressAutoHyphens/>
        <w:jc w:val="center"/>
        <w:rPr>
          <w:sz w:val="24"/>
          <w:szCs w:val="24"/>
        </w:rPr>
      </w:pPr>
      <w:r w:rsidRPr="00D05A71">
        <w:rPr>
          <w:sz w:val="24"/>
          <w:szCs w:val="24"/>
        </w:rPr>
        <w:t>Administrative Law Judge</w:t>
      </w:r>
    </w:p>
    <w:p w14:paraId="586F814C" w14:textId="77777777" w:rsidR="005E192D" w:rsidRPr="00D05A71" w:rsidRDefault="005E192D">
      <w:pPr>
        <w:tabs>
          <w:tab w:val="center" w:pos="4680"/>
        </w:tabs>
        <w:suppressAutoHyphens/>
        <w:jc w:val="center"/>
        <w:rPr>
          <w:sz w:val="24"/>
          <w:szCs w:val="24"/>
        </w:rPr>
      </w:pPr>
    </w:p>
    <w:p w14:paraId="48C023E4" w14:textId="77777777" w:rsidR="00D34F31" w:rsidRPr="00D05A71" w:rsidRDefault="00D34F31">
      <w:pPr>
        <w:tabs>
          <w:tab w:val="center" w:pos="4680"/>
        </w:tabs>
        <w:suppressAutoHyphens/>
        <w:jc w:val="center"/>
        <w:rPr>
          <w:sz w:val="24"/>
          <w:szCs w:val="24"/>
        </w:rPr>
      </w:pPr>
    </w:p>
    <w:p w14:paraId="1A1FD3AF" w14:textId="77777777" w:rsidR="005E192D" w:rsidRPr="00D05A71" w:rsidRDefault="005E192D" w:rsidP="00D34F31">
      <w:pPr>
        <w:spacing w:line="360" w:lineRule="auto"/>
        <w:jc w:val="center"/>
        <w:outlineLvl w:val="0"/>
        <w:rPr>
          <w:sz w:val="24"/>
          <w:szCs w:val="24"/>
          <w:u w:val="single"/>
        </w:rPr>
      </w:pPr>
      <w:r w:rsidRPr="00D05A71">
        <w:rPr>
          <w:sz w:val="24"/>
          <w:szCs w:val="24"/>
          <w:u w:val="single"/>
        </w:rPr>
        <w:t>HISTORY OF THE PROCEEDING</w:t>
      </w:r>
    </w:p>
    <w:p w14:paraId="5208A0F0" w14:textId="77777777" w:rsidR="005E192D" w:rsidRPr="00D05A71" w:rsidRDefault="005E192D" w:rsidP="00DA57D0">
      <w:pPr>
        <w:spacing w:line="360" w:lineRule="auto"/>
        <w:jc w:val="center"/>
        <w:rPr>
          <w:sz w:val="24"/>
          <w:szCs w:val="24"/>
          <w:u w:val="single"/>
        </w:rPr>
      </w:pPr>
    </w:p>
    <w:p w14:paraId="46AD9138" w14:textId="43556195" w:rsidR="005B4E44" w:rsidRPr="00D05A71" w:rsidRDefault="005E192D" w:rsidP="00DA57D0">
      <w:pPr>
        <w:spacing w:line="360" w:lineRule="auto"/>
        <w:ind w:firstLine="1440"/>
        <w:rPr>
          <w:sz w:val="24"/>
          <w:szCs w:val="24"/>
        </w:rPr>
      </w:pPr>
      <w:r w:rsidRPr="00D05A71">
        <w:rPr>
          <w:sz w:val="24"/>
          <w:szCs w:val="24"/>
        </w:rPr>
        <w:t>On</w:t>
      </w:r>
      <w:r w:rsidR="00530B19" w:rsidRPr="00D05A71">
        <w:rPr>
          <w:sz w:val="24"/>
          <w:szCs w:val="24"/>
        </w:rPr>
        <w:t xml:space="preserve"> </w:t>
      </w:r>
      <w:r w:rsidR="00C52C32" w:rsidRPr="00D05A71">
        <w:rPr>
          <w:sz w:val="24"/>
          <w:szCs w:val="24"/>
        </w:rPr>
        <w:t>August 8, 2023</w:t>
      </w:r>
      <w:r w:rsidR="004F319B" w:rsidRPr="00D05A71">
        <w:rPr>
          <w:sz w:val="24"/>
          <w:szCs w:val="24"/>
        </w:rPr>
        <w:t xml:space="preserve">, </w:t>
      </w:r>
      <w:r w:rsidR="00C52C32" w:rsidRPr="00D05A71">
        <w:rPr>
          <w:sz w:val="24"/>
          <w:szCs w:val="24"/>
        </w:rPr>
        <w:t>Daniel and Kimberly Spence</w:t>
      </w:r>
      <w:r w:rsidR="009C0EC8" w:rsidRPr="00D05A71">
        <w:rPr>
          <w:sz w:val="24"/>
          <w:szCs w:val="24"/>
        </w:rPr>
        <w:t xml:space="preserve"> </w:t>
      </w:r>
      <w:r w:rsidRPr="00D05A71">
        <w:rPr>
          <w:sz w:val="24"/>
          <w:szCs w:val="24"/>
        </w:rPr>
        <w:t>(</w:t>
      </w:r>
      <w:r w:rsidR="00C52C32" w:rsidRPr="00D05A71">
        <w:rPr>
          <w:sz w:val="24"/>
          <w:szCs w:val="24"/>
        </w:rPr>
        <w:t>Complainants</w:t>
      </w:r>
      <w:r w:rsidR="004F319B" w:rsidRPr="00D05A71">
        <w:rPr>
          <w:sz w:val="24"/>
          <w:szCs w:val="24"/>
        </w:rPr>
        <w:t xml:space="preserve"> or </w:t>
      </w:r>
      <w:r w:rsidR="00C52C32" w:rsidRPr="00D05A71">
        <w:rPr>
          <w:sz w:val="24"/>
          <w:szCs w:val="24"/>
        </w:rPr>
        <w:t>Mr./Ms. Spence</w:t>
      </w:r>
      <w:r w:rsidR="008D2C45" w:rsidRPr="00D05A71">
        <w:rPr>
          <w:sz w:val="24"/>
          <w:szCs w:val="24"/>
        </w:rPr>
        <w:t>) filed a formal complaint</w:t>
      </w:r>
      <w:r w:rsidR="0099279E" w:rsidRPr="00D05A71">
        <w:rPr>
          <w:sz w:val="24"/>
          <w:szCs w:val="24"/>
        </w:rPr>
        <w:t xml:space="preserve"> against </w:t>
      </w:r>
      <w:r w:rsidR="00C52C32" w:rsidRPr="00D05A71">
        <w:rPr>
          <w:sz w:val="24"/>
          <w:szCs w:val="24"/>
        </w:rPr>
        <w:t>PPL Electric Utilities Corporation</w:t>
      </w:r>
      <w:r w:rsidR="00B87B56" w:rsidRPr="00D05A71">
        <w:rPr>
          <w:sz w:val="24"/>
          <w:szCs w:val="24"/>
        </w:rPr>
        <w:t xml:space="preserve"> </w:t>
      </w:r>
      <w:r w:rsidR="0099279E" w:rsidRPr="00D05A71">
        <w:rPr>
          <w:sz w:val="24"/>
          <w:szCs w:val="24"/>
        </w:rPr>
        <w:t>(</w:t>
      </w:r>
      <w:r w:rsidR="0049417A" w:rsidRPr="00D05A71">
        <w:rPr>
          <w:sz w:val="24"/>
          <w:szCs w:val="24"/>
        </w:rPr>
        <w:t>Respondent</w:t>
      </w:r>
      <w:r w:rsidR="004F319B" w:rsidRPr="00D05A71">
        <w:rPr>
          <w:sz w:val="24"/>
          <w:szCs w:val="24"/>
        </w:rPr>
        <w:t xml:space="preserve"> or</w:t>
      </w:r>
      <w:r w:rsidR="0049417A" w:rsidRPr="00D05A71">
        <w:rPr>
          <w:sz w:val="24"/>
          <w:szCs w:val="24"/>
        </w:rPr>
        <w:t xml:space="preserve"> </w:t>
      </w:r>
      <w:r w:rsidR="00C52C32" w:rsidRPr="00D05A71">
        <w:rPr>
          <w:sz w:val="24"/>
          <w:szCs w:val="24"/>
        </w:rPr>
        <w:t>PPL</w:t>
      </w:r>
      <w:r w:rsidR="0099279E" w:rsidRPr="00D05A71">
        <w:rPr>
          <w:sz w:val="24"/>
          <w:szCs w:val="24"/>
        </w:rPr>
        <w:t>)</w:t>
      </w:r>
      <w:r w:rsidR="0049417A" w:rsidRPr="00D05A71">
        <w:rPr>
          <w:sz w:val="24"/>
          <w:szCs w:val="24"/>
        </w:rPr>
        <w:t xml:space="preserve"> </w:t>
      </w:r>
      <w:r w:rsidRPr="00D05A71">
        <w:rPr>
          <w:sz w:val="24"/>
          <w:szCs w:val="24"/>
        </w:rPr>
        <w:t xml:space="preserve">with the Pennsylvania Public </w:t>
      </w:r>
      <w:r w:rsidR="008D2C45" w:rsidRPr="00D05A71">
        <w:rPr>
          <w:sz w:val="24"/>
          <w:szCs w:val="24"/>
        </w:rPr>
        <w:t>Utility Commission (Commission)</w:t>
      </w:r>
      <w:r w:rsidRPr="00D05A71">
        <w:rPr>
          <w:sz w:val="24"/>
          <w:szCs w:val="24"/>
        </w:rPr>
        <w:t xml:space="preserve">.  </w:t>
      </w:r>
      <w:r w:rsidR="00C52C32" w:rsidRPr="00D05A71">
        <w:rPr>
          <w:sz w:val="24"/>
          <w:szCs w:val="24"/>
        </w:rPr>
        <w:t>Complainants</w:t>
      </w:r>
      <w:r w:rsidR="009C0EC8" w:rsidRPr="00D05A71">
        <w:rPr>
          <w:sz w:val="24"/>
          <w:szCs w:val="24"/>
        </w:rPr>
        <w:t xml:space="preserve"> </w:t>
      </w:r>
      <w:r w:rsidR="004F319B" w:rsidRPr="00D05A71">
        <w:rPr>
          <w:sz w:val="24"/>
          <w:szCs w:val="24"/>
        </w:rPr>
        <w:t>allege</w:t>
      </w:r>
      <w:r w:rsidR="00F10D39" w:rsidRPr="00D05A71">
        <w:rPr>
          <w:sz w:val="24"/>
          <w:szCs w:val="24"/>
        </w:rPr>
        <w:t>d</w:t>
      </w:r>
      <w:r w:rsidR="006C729D" w:rsidRPr="00D05A71">
        <w:rPr>
          <w:sz w:val="24"/>
          <w:szCs w:val="24"/>
        </w:rPr>
        <w:t xml:space="preserve"> </w:t>
      </w:r>
      <w:r w:rsidR="007F572E" w:rsidRPr="00D05A71">
        <w:rPr>
          <w:sz w:val="24"/>
          <w:szCs w:val="24"/>
        </w:rPr>
        <w:t xml:space="preserve">PPL damaged their </w:t>
      </w:r>
      <w:r w:rsidR="00C52C32" w:rsidRPr="00D05A71">
        <w:rPr>
          <w:sz w:val="24"/>
          <w:szCs w:val="24"/>
        </w:rPr>
        <w:t xml:space="preserve">property </w:t>
      </w:r>
      <w:r w:rsidR="007F572E" w:rsidRPr="00D05A71">
        <w:rPr>
          <w:sz w:val="24"/>
          <w:szCs w:val="24"/>
        </w:rPr>
        <w:t>when</w:t>
      </w:r>
      <w:r w:rsidR="006C729D" w:rsidRPr="00D05A71">
        <w:rPr>
          <w:sz w:val="24"/>
          <w:szCs w:val="24"/>
        </w:rPr>
        <w:t xml:space="preserve"> </w:t>
      </w:r>
      <w:r w:rsidR="00C52C32" w:rsidRPr="00D05A71">
        <w:rPr>
          <w:sz w:val="24"/>
          <w:szCs w:val="24"/>
        </w:rPr>
        <w:t xml:space="preserve">Respondent used Complainants’ property to access its right-of-way </w:t>
      </w:r>
      <w:r w:rsidR="007F572E" w:rsidRPr="00D05A71">
        <w:rPr>
          <w:sz w:val="24"/>
          <w:szCs w:val="24"/>
        </w:rPr>
        <w:t>to build</w:t>
      </w:r>
      <w:r w:rsidR="00C52C32" w:rsidRPr="00D05A71">
        <w:rPr>
          <w:sz w:val="24"/>
          <w:szCs w:val="24"/>
        </w:rPr>
        <w:t xml:space="preserve"> a transmission line in the Spring of 2022.  Mr./Ms. Spence</w:t>
      </w:r>
      <w:r w:rsidR="00F10D39" w:rsidRPr="00D05A71">
        <w:rPr>
          <w:sz w:val="24"/>
          <w:szCs w:val="24"/>
        </w:rPr>
        <w:t xml:space="preserve"> asked the Commission to </w:t>
      </w:r>
      <w:r w:rsidR="00C52C32" w:rsidRPr="00D05A71">
        <w:rPr>
          <w:sz w:val="24"/>
          <w:szCs w:val="24"/>
        </w:rPr>
        <w:t xml:space="preserve">order PPL to pay one-half of the total repair costs and </w:t>
      </w:r>
      <w:r w:rsidR="00097FE9" w:rsidRPr="00D05A71">
        <w:rPr>
          <w:sz w:val="24"/>
          <w:szCs w:val="24"/>
        </w:rPr>
        <w:t>also</w:t>
      </w:r>
      <w:r w:rsidR="00C52C32" w:rsidRPr="00D05A71">
        <w:rPr>
          <w:sz w:val="24"/>
          <w:szCs w:val="24"/>
        </w:rPr>
        <w:t xml:space="preserve"> penalize PPL for failing to correct the damage it caused.  </w:t>
      </w:r>
      <w:r w:rsidR="009D7EF3" w:rsidRPr="00D05A71">
        <w:rPr>
          <w:sz w:val="24"/>
          <w:szCs w:val="24"/>
        </w:rPr>
        <w:t xml:space="preserve">  </w:t>
      </w:r>
      <w:r w:rsidR="00F10D39" w:rsidRPr="00D05A71">
        <w:rPr>
          <w:sz w:val="24"/>
          <w:szCs w:val="24"/>
        </w:rPr>
        <w:t xml:space="preserve">  </w:t>
      </w:r>
    </w:p>
    <w:p w14:paraId="61E08946" w14:textId="77777777" w:rsidR="004F319B" w:rsidRPr="00D05A71" w:rsidRDefault="004F319B" w:rsidP="00DA57D0">
      <w:pPr>
        <w:spacing w:line="360" w:lineRule="auto"/>
        <w:rPr>
          <w:sz w:val="24"/>
          <w:szCs w:val="24"/>
        </w:rPr>
      </w:pPr>
    </w:p>
    <w:p w14:paraId="7DFF2ABA" w14:textId="7165E954" w:rsidR="00512840" w:rsidRPr="00D05A71" w:rsidRDefault="007902B0" w:rsidP="00DA57D0">
      <w:pPr>
        <w:spacing w:line="360" w:lineRule="auto"/>
        <w:ind w:firstLine="1440"/>
        <w:rPr>
          <w:sz w:val="24"/>
          <w:szCs w:val="24"/>
        </w:rPr>
      </w:pPr>
      <w:r w:rsidRPr="00D05A71">
        <w:rPr>
          <w:sz w:val="24"/>
          <w:szCs w:val="24"/>
        </w:rPr>
        <w:t xml:space="preserve">On </w:t>
      </w:r>
      <w:r w:rsidR="00C52C32" w:rsidRPr="00D05A71">
        <w:rPr>
          <w:sz w:val="24"/>
          <w:szCs w:val="24"/>
        </w:rPr>
        <w:t>August 28, 2023</w:t>
      </w:r>
      <w:r w:rsidRPr="00D05A71">
        <w:rPr>
          <w:sz w:val="24"/>
          <w:szCs w:val="24"/>
        </w:rPr>
        <w:t xml:space="preserve">, </w:t>
      </w:r>
      <w:r w:rsidR="00AB161E" w:rsidRPr="00D05A71">
        <w:rPr>
          <w:sz w:val="24"/>
          <w:szCs w:val="24"/>
        </w:rPr>
        <w:t>Respondent</w:t>
      </w:r>
      <w:r w:rsidRPr="00D05A71">
        <w:rPr>
          <w:sz w:val="24"/>
          <w:szCs w:val="24"/>
        </w:rPr>
        <w:t xml:space="preserve"> filed</w:t>
      </w:r>
      <w:r w:rsidR="00E269BB" w:rsidRPr="00D05A71">
        <w:rPr>
          <w:sz w:val="24"/>
          <w:szCs w:val="24"/>
        </w:rPr>
        <w:t xml:space="preserve"> and served</w:t>
      </w:r>
      <w:r w:rsidRPr="00D05A71">
        <w:rPr>
          <w:sz w:val="24"/>
          <w:szCs w:val="24"/>
        </w:rPr>
        <w:t xml:space="preserve"> its Answer</w:t>
      </w:r>
      <w:r w:rsidR="00C52C32" w:rsidRPr="00D05A71">
        <w:rPr>
          <w:sz w:val="24"/>
          <w:szCs w:val="24"/>
        </w:rPr>
        <w:t xml:space="preserve">, </w:t>
      </w:r>
      <w:r w:rsidR="00AE797D" w:rsidRPr="00D05A71">
        <w:rPr>
          <w:sz w:val="24"/>
          <w:szCs w:val="24"/>
        </w:rPr>
        <w:t>in addition to its Preliminary Objections</w:t>
      </w:r>
      <w:r w:rsidR="00512840" w:rsidRPr="00D05A71">
        <w:rPr>
          <w:sz w:val="24"/>
          <w:szCs w:val="24"/>
        </w:rPr>
        <w:t xml:space="preserve">, </w:t>
      </w:r>
      <w:r w:rsidR="006204F5" w:rsidRPr="00D05A71">
        <w:rPr>
          <w:sz w:val="24"/>
          <w:szCs w:val="24"/>
        </w:rPr>
        <w:t xml:space="preserve">endorsed </w:t>
      </w:r>
      <w:r w:rsidR="00512840" w:rsidRPr="00D05A71">
        <w:rPr>
          <w:sz w:val="24"/>
          <w:szCs w:val="24"/>
        </w:rPr>
        <w:t>with a Notice to Plead</w:t>
      </w:r>
      <w:r w:rsidR="00AE797D" w:rsidRPr="00D05A71">
        <w:rPr>
          <w:sz w:val="24"/>
          <w:szCs w:val="24"/>
        </w:rPr>
        <w:t xml:space="preserve">.  In its Answer, </w:t>
      </w:r>
      <w:r w:rsidR="00C52C32" w:rsidRPr="00D05A71">
        <w:rPr>
          <w:sz w:val="24"/>
          <w:szCs w:val="24"/>
        </w:rPr>
        <w:t>PPL</w:t>
      </w:r>
      <w:r w:rsidR="00512840" w:rsidRPr="00D05A71">
        <w:rPr>
          <w:sz w:val="24"/>
          <w:szCs w:val="24"/>
        </w:rPr>
        <w:t xml:space="preserve"> generally denied </w:t>
      </w:r>
      <w:r w:rsidR="00C52C32" w:rsidRPr="00D05A71">
        <w:rPr>
          <w:sz w:val="24"/>
          <w:szCs w:val="24"/>
        </w:rPr>
        <w:t>Complainants</w:t>
      </w:r>
      <w:r w:rsidR="00622F61" w:rsidRPr="00D05A71">
        <w:rPr>
          <w:sz w:val="24"/>
          <w:szCs w:val="24"/>
        </w:rPr>
        <w:t>’</w:t>
      </w:r>
      <w:r w:rsidR="008D2C45" w:rsidRPr="00D05A71">
        <w:rPr>
          <w:sz w:val="24"/>
          <w:szCs w:val="24"/>
        </w:rPr>
        <w:t xml:space="preserve"> allegations</w:t>
      </w:r>
      <w:r w:rsidR="005D3A87" w:rsidRPr="00D05A71">
        <w:rPr>
          <w:sz w:val="24"/>
          <w:szCs w:val="24"/>
        </w:rPr>
        <w:t>.</w:t>
      </w:r>
      <w:r w:rsidR="008D2C45" w:rsidRPr="00D05A71">
        <w:rPr>
          <w:sz w:val="24"/>
          <w:szCs w:val="24"/>
        </w:rPr>
        <w:t xml:space="preserve">  </w:t>
      </w:r>
      <w:r w:rsidR="00C52C32" w:rsidRPr="00D05A71">
        <w:rPr>
          <w:sz w:val="24"/>
          <w:szCs w:val="24"/>
        </w:rPr>
        <w:t>PPL</w:t>
      </w:r>
      <w:r w:rsidR="006204F5" w:rsidRPr="00D05A71">
        <w:rPr>
          <w:sz w:val="24"/>
          <w:szCs w:val="24"/>
        </w:rPr>
        <w:t xml:space="preserve"> </w:t>
      </w:r>
      <w:r w:rsidR="00D21FF2" w:rsidRPr="00D05A71">
        <w:rPr>
          <w:sz w:val="24"/>
          <w:szCs w:val="24"/>
        </w:rPr>
        <w:t xml:space="preserve">admitted it </w:t>
      </w:r>
      <w:r w:rsidR="00C52C32" w:rsidRPr="00D05A71">
        <w:rPr>
          <w:sz w:val="24"/>
          <w:szCs w:val="24"/>
        </w:rPr>
        <w:t>used Complainants’ driveway to gain access to the easement</w:t>
      </w:r>
      <w:r w:rsidR="006C3E00" w:rsidRPr="00D05A71">
        <w:rPr>
          <w:sz w:val="24"/>
          <w:szCs w:val="24"/>
        </w:rPr>
        <w:t xml:space="preserve"> on Complainants’ property during its rebuild of the Hunlock-Berwick 69 kV Transmission Line (Hunlock-Berwick Transmission Line or the Subject Line) in Salem Township, Luzerne County, Pennsylvania.  PPL denied it damaged Complainants’ driveway, </w:t>
      </w:r>
      <w:r w:rsidR="006C3E00" w:rsidRPr="00D05A71">
        <w:rPr>
          <w:sz w:val="24"/>
          <w:szCs w:val="24"/>
        </w:rPr>
        <w:lastRenderedPageBreak/>
        <w:t>after comparing photographs taken of the driveway on January 14, 2022, prior to the start of construction on January 20, 2022, with photographs taken on June 13, 2023, after the construction of the Subject Line was completed.  PPL</w:t>
      </w:r>
      <w:r w:rsidR="00B2050F" w:rsidRPr="00D05A71">
        <w:rPr>
          <w:sz w:val="24"/>
          <w:szCs w:val="24"/>
        </w:rPr>
        <w:t xml:space="preserve"> denied it failed to provide </w:t>
      </w:r>
      <w:r w:rsidR="007F572E" w:rsidRPr="00D05A71">
        <w:rPr>
          <w:sz w:val="24"/>
          <w:szCs w:val="24"/>
        </w:rPr>
        <w:t xml:space="preserve">reasonable and </w:t>
      </w:r>
      <w:r w:rsidR="00B2050F" w:rsidRPr="00D05A71">
        <w:rPr>
          <w:sz w:val="24"/>
          <w:szCs w:val="24"/>
        </w:rPr>
        <w:t>adequate service</w:t>
      </w:r>
      <w:r w:rsidR="006C3E00" w:rsidRPr="00D05A71">
        <w:rPr>
          <w:sz w:val="24"/>
          <w:szCs w:val="24"/>
        </w:rPr>
        <w:t xml:space="preserve"> and averred that its response</w:t>
      </w:r>
      <w:r w:rsidR="007F572E" w:rsidRPr="00D05A71">
        <w:rPr>
          <w:sz w:val="24"/>
          <w:szCs w:val="24"/>
        </w:rPr>
        <w:t>s</w:t>
      </w:r>
      <w:r w:rsidR="006C3E00" w:rsidRPr="00D05A71">
        <w:rPr>
          <w:sz w:val="24"/>
          <w:szCs w:val="24"/>
        </w:rPr>
        <w:t xml:space="preserve"> to Complainants’ </w:t>
      </w:r>
      <w:r w:rsidR="007F572E" w:rsidRPr="00D05A71">
        <w:rPr>
          <w:sz w:val="24"/>
          <w:szCs w:val="24"/>
        </w:rPr>
        <w:t>complaints</w:t>
      </w:r>
      <w:r w:rsidR="006C3E00" w:rsidRPr="00D05A71">
        <w:rPr>
          <w:sz w:val="24"/>
          <w:szCs w:val="24"/>
        </w:rPr>
        <w:t xml:space="preserve"> were reasonable and adequate</w:t>
      </w:r>
      <w:r w:rsidR="00D21FF2" w:rsidRPr="00D05A71">
        <w:rPr>
          <w:sz w:val="24"/>
          <w:szCs w:val="24"/>
        </w:rPr>
        <w:t xml:space="preserve">.  </w:t>
      </w:r>
      <w:r w:rsidR="00C52C32" w:rsidRPr="00D05A71">
        <w:rPr>
          <w:sz w:val="24"/>
          <w:szCs w:val="24"/>
        </w:rPr>
        <w:t>PPL</w:t>
      </w:r>
      <w:r w:rsidR="00D21FF2" w:rsidRPr="00D05A71">
        <w:rPr>
          <w:sz w:val="24"/>
          <w:szCs w:val="24"/>
        </w:rPr>
        <w:t xml:space="preserve"> </w:t>
      </w:r>
      <w:r w:rsidR="006C3E00" w:rsidRPr="00D05A71">
        <w:rPr>
          <w:sz w:val="24"/>
          <w:szCs w:val="24"/>
        </w:rPr>
        <w:t>asked</w:t>
      </w:r>
      <w:r w:rsidR="00F10D39" w:rsidRPr="00D05A71">
        <w:rPr>
          <w:sz w:val="24"/>
          <w:szCs w:val="24"/>
        </w:rPr>
        <w:t xml:space="preserve"> </w:t>
      </w:r>
      <w:r w:rsidR="006C729D" w:rsidRPr="00D05A71">
        <w:rPr>
          <w:sz w:val="24"/>
          <w:szCs w:val="24"/>
        </w:rPr>
        <w:t xml:space="preserve">the Commission </w:t>
      </w:r>
      <w:r w:rsidR="006C3E00" w:rsidRPr="00D05A71">
        <w:rPr>
          <w:sz w:val="24"/>
          <w:szCs w:val="24"/>
        </w:rPr>
        <w:t>to</w:t>
      </w:r>
      <w:r w:rsidR="006C729D" w:rsidRPr="00D05A71">
        <w:rPr>
          <w:sz w:val="24"/>
          <w:szCs w:val="24"/>
        </w:rPr>
        <w:t xml:space="preserve"> dismiss the </w:t>
      </w:r>
      <w:r w:rsidR="006C3E00" w:rsidRPr="00D05A71">
        <w:rPr>
          <w:sz w:val="24"/>
          <w:szCs w:val="24"/>
        </w:rPr>
        <w:t>Formal Complaint with prejudice</w:t>
      </w:r>
      <w:r w:rsidR="00D21FF2" w:rsidRPr="00D05A71">
        <w:rPr>
          <w:sz w:val="24"/>
          <w:szCs w:val="24"/>
        </w:rPr>
        <w:t>.</w:t>
      </w:r>
    </w:p>
    <w:p w14:paraId="41171BC7" w14:textId="77777777" w:rsidR="00512840" w:rsidRPr="00D05A71" w:rsidRDefault="00512840" w:rsidP="00DA57D0">
      <w:pPr>
        <w:spacing w:line="360" w:lineRule="auto"/>
        <w:ind w:firstLine="1440"/>
        <w:rPr>
          <w:sz w:val="24"/>
          <w:szCs w:val="24"/>
        </w:rPr>
      </w:pPr>
    </w:p>
    <w:p w14:paraId="2E918506" w14:textId="581E8691" w:rsidR="00A45DB0" w:rsidRPr="00D05A71" w:rsidRDefault="00AE797D" w:rsidP="00DA57D0">
      <w:pPr>
        <w:spacing w:line="360" w:lineRule="auto"/>
        <w:ind w:firstLine="1440"/>
        <w:rPr>
          <w:sz w:val="24"/>
          <w:szCs w:val="24"/>
        </w:rPr>
      </w:pPr>
      <w:r w:rsidRPr="00D05A71">
        <w:rPr>
          <w:sz w:val="24"/>
          <w:szCs w:val="24"/>
        </w:rPr>
        <w:t>In its</w:t>
      </w:r>
      <w:r w:rsidR="005D3A87" w:rsidRPr="00D05A71">
        <w:rPr>
          <w:sz w:val="24"/>
          <w:szCs w:val="24"/>
        </w:rPr>
        <w:t xml:space="preserve"> </w:t>
      </w:r>
      <w:r w:rsidR="00E269BB" w:rsidRPr="00D05A71">
        <w:rPr>
          <w:sz w:val="24"/>
          <w:szCs w:val="24"/>
        </w:rPr>
        <w:t xml:space="preserve">Preliminary </w:t>
      </w:r>
      <w:r w:rsidR="00E44CE9" w:rsidRPr="00D05A71">
        <w:rPr>
          <w:sz w:val="24"/>
          <w:szCs w:val="24"/>
        </w:rPr>
        <w:t>Objections</w:t>
      </w:r>
      <w:r w:rsidRPr="00D05A71">
        <w:rPr>
          <w:sz w:val="24"/>
          <w:szCs w:val="24"/>
        </w:rPr>
        <w:t xml:space="preserve">, filed </w:t>
      </w:r>
      <w:r w:rsidR="006204F5" w:rsidRPr="00D05A71">
        <w:rPr>
          <w:sz w:val="24"/>
          <w:szCs w:val="24"/>
        </w:rPr>
        <w:t>pursuant to 52 Pa.Code §</w:t>
      </w:r>
      <w:r w:rsidR="00C94618" w:rsidRPr="00D05A71">
        <w:rPr>
          <w:sz w:val="24"/>
          <w:szCs w:val="24"/>
        </w:rPr>
        <w:t> </w:t>
      </w:r>
      <w:r w:rsidR="006204F5" w:rsidRPr="00D05A71">
        <w:rPr>
          <w:sz w:val="24"/>
          <w:szCs w:val="24"/>
        </w:rPr>
        <w:t>5.101(</w:t>
      </w:r>
      <w:r w:rsidR="00D21FF2" w:rsidRPr="00D05A71">
        <w:rPr>
          <w:sz w:val="24"/>
          <w:szCs w:val="24"/>
        </w:rPr>
        <w:t>a</w:t>
      </w:r>
      <w:r w:rsidR="006204F5" w:rsidRPr="00D05A71">
        <w:rPr>
          <w:sz w:val="24"/>
          <w:szCs w:val="24"/>
        </w:rPr>
        <w:t>)</w:t>
      </w:r>
      <w:r w:rsidRPr="00D05A71">
        <w:rPr>
          <w:sz w:val="24"/>
          <w:szCs w:val="24"/>
        </w:rPr>
        <w:t xml:space="preserve">, </w:t>
      </w:r>
      <w:r w:rsidR="00C52C32" w:rsidRPr="00D05A71">
        <w:rPr>
          <w:sz w:val="24"/>
          <w:szCs w:val="24"/>
        </w:rPr>
        <w:t>PPL</w:t>
      </w:r>
      <w:r w:rsidRPr="00D05A71">
        <w:rPr>
          <w:sz w:val="24"/>
          <w:szCs w:val="24"/>
        </w:rPr>
        <w:t xml:space="preserve"> </w:t>
      </w:r>
      <w:r w:rsidR="006204F5" w:rsidRPr="00D05A71">
        <w:rPr>
          <w:sz w:val="24"/>
          <w:szCs w:val="24"/>
        </w:rPr>
        <w:t>averred</w:t>
      </w:r>
      <w:r w:rsidR="00D21FF2" w:rsidRPr="00D05A71">
        <w:rPr>
          <w:sz w:val="24"/>
          <w:szCs w:val="24"/>
        </w:rPr>
        <w:t xml:space="preserve"> its Preliminary Objections should be granted because the Commission lacks jurisdiction to grant or award any damages</w:t>
      </w:r>
      <w:r w:rsidR="0056495C" w:rsidRPr="00D05A71">
        <w:rPr>
          <w:sz w:val="24"/>
          <w:szCs w:val="24"/>
        </w:rPr>
        <w:t xml:space="preserve">.  </w:t>
      </w:r>
      <w:r w:rsidR="00910B27" w:rsidRPr="00D05A71">
        <w:rPr>
          <w:sz w:val="24"/>
          <w:szCs w:val="24"/>
        </w:rPr>
        <w:t xml:space="preserve">Respondent averred </w:t>
      </w:r>
      <w:r w:rsidR="00C52C32" w:rsidRPr="00D05A71">
        <w:rPr>
          <w:sz w:val="24"/>
          <w:szCs w:val="24"/>
        </w:rPr>
        <w:t>Complainants</w:t>
      </w:r>
      <w:r w:rsidR="00F10D39" w:rsidRPr="00D05A71">
        <w:rPr>
          <w:sz w:val="24"/>
          <w:szCs w:val="24"/>
        </w:rPr>
        <w:t xml:space="preserve"> did not request relief which the Commission can grant</w:t>
      </w:r>
      <w:r w:rsidR="00910B27" w:rsidRPr="00D05A71">
        <w:rPr>
          <w:sz w:val="24"/>
          <w:szCs w:val="24"/>
        </w:rPr>
        <w:t>.</w:t>
      </w:r>
      <w:r w:rsidR="00D21FF2" w:rsidRPr="00D05A71">
        <w:rPr>
          <w:sz w:val="24"/>
          <w:szCs w:val="24"/>
        </w:rPr>
        <w:t xml:space="preserve">  </w:t>
      </w:r>
      <w:r w:rsidR="006C3E00" w:rsidRPr="00D05A71">
        <w:rPr>
          <w:sz w:val="24"/>
          <w:szCs w:val="24"/>
        </w:rPr>
        <w:t>Further, Respondent alleged Complainants included details in the Formal Complaint about recent settlement negotiations between the parties</w:t>
      </w:r>
      <w:r w:rsidR="00077BCD" w:rsidRPr="00D05A71">
        <w:rPr>
          <w:sz w:val="24"/>
          <w:szCs w:val="24"/>
        </w:rPr>
        <w:t>,</w:t>
      </w:r>
      <w:r w:rsidR="006C3E00" w:rsidRPr="00D05A71">
        <w:rPr>
          <w:sz w:val="24"/>
          <w:szCs w:val="24"/>
        </w:rPr>
        <w:t xml:space="preserve"> which inclusions qualify as impertinent matter</w:t>
      </w:r>
      <w:r w:rsidR="007F572E" w:rsidRPr="00D05A71">
        <w:rPr>
          <w:sz w:val="24"/>
          <w:szCs w:val="24"/>
        </w:rPr>
        <w:t xml:space="preserve"> and should be stricken</w:t>
      </w:r>
      <w:r w:rsidR="006C3E00" w:rsidRPr="00D05A71">
        <w:rPr>
          <w:sz w:val="24"/>
          <w:szCs w:val="24"/>
        </w:rPr>
        <w:t>.</w:t>
      </w:r>
    </w:p>
    <w:p w14:paraId="3E96623B" w14:textId="2A434BF3" w:rsidR="00A1665A" w:rsidRPr="00D05A71" w:rsidRDefault="00A1665A" w:rsidP="00DA57D0">
      <w:pPr>
        <w:spacing w:line="360" w:lineRule="auto"/>
        <w:ind w:firstLine="1440"/>
        <w:rPr>
          <w:sz w:val="24"/>
          <w:szCs w:val="24"/>
        </w:rPr>
      </w:pPr>
    </w:p>
    <w:p w14:paraId="754CF96F" w14:textId="7DC98647" w:rsidR="002456B2" w:rsidRPr="00D05A71" w:rsidRDefault="002456B2" w:rsidP="00DA57D0">
      <w:pPr>
        <w:spacing w:line="360" w:lineRule="auto"/>
        <w:ind w:firstLine="1440"/>
        <w:outlineLvl w:val="0"/>
        <w:rPr>
          <w:sz w:val="24"/>
          <w:szCs w:val="24"/>
        </w:rPr>
      </w:pPr>
      <w:r w:rsidRPr="00D05A71">
        <w:rPr>
          <w:sz w:val="24"/>
          <w:szCs w:val="24"/>
        </w:rPr>
        <w:t>On October 1, 202</w:t>
      </w:r>
      <w:r w:rsidR="00077BCD" w:rsidRPr="00D05A71">
        <w:rPr>
          <w:sz w:val="24"/>
          <w:szCs w:val="24"/>
        </w:rPr>
        <w:t>3</w:t>
      </w:r>
      <w:r w:rsidRPr="00D05A71">
        <w:rPr>
          <w:sz w:val="24"/>
          <w:szCs w:val="24"/>
        </w:rPr>
        <w:t xml:space="preserve">, </w:t>
      </w:r>
      <w:r w:rsidR="00C07F36" w:rsidRPr="00D05A71">
        <w:rPr>
          <w:sz w:val="24"/>
          <w:szCs w:val="24"/>
        </w:rPr>
        <w:t xml:space="preserve">the </w:t>
      </w:r>
      <w:r w:rsidR="00C07F36" w:rsidRPr="00D05A71">
        <w:rPr>
          <w:color w:val="000000"/>
          <w:w w:val="107"/>
          <w:sz w:val="24"/>
          <w:szCs w:val="24"/>
        </w:rPr>
        <w:t xml:space="preserve">matter was assigned to the </w:t>
      </w:r>
      <w:r w:rsidR="00077BCD" w:rsidRPr="00D05A71">
        <w:rPr>
          <w:color w:val="000000"/>
          <w:w w:val="107"/>
          <w:sz w:val="24"/>
          <w:szCs w:val="24"/>
        </w:rPr>
        <w:t xml:space="preserve">undersigned </w:t>
      </w:r>
      <w:r w:rsidR="00C07F36" w:rsidRPr="00D05A71">
        <w:rPr>
          <w:color w:val="000000"/>
          <w:w w:val="107"/>
          <w:sz w:val="24"/>
          <w:szCs w:val="24"/>
        </w:rPr>
        <w:t>presiding officer</w:t>
      </w:r>
      <w:r w:rsidR="00077BCD" w:rsidRPr="00D05A71">
        <w:rPr>
          <w:color w:val="000000"/>
          <w:w w:val="107"/>
          <w:sz w:val="24"/>
          <w:szCs w:val="24"/>
        </w:rPr>
        <w:t>.  T</w:t>
      </w:r>
      <w:r w:rsidR="00C07F36" w:rsidRPr="00D05A71">
        <w:rPr>
          <w:color w:val="000000"/>
          <w:w w:val="107"/>
          <w:sz w:val="24"/>
          <w:szCs w:val="24"/>
        </w:rPr>
        <w:t>his</w:t>
      </w:r>
      <w:r w:rsidR="00077BCD" w:rsidRPr="00D05A71">
        <w:rPr>
          <w:color w:val="000000"/>
          <w:w w:val="107"/>
          <w:sz w:val="24"/>
          <w:szCs w:val="24"/>
        </w:rPr>
        <w:t xml:space="preserve"> preliminary</w:t>
      </w:r>
      <w:r w:rsidR="00C07F36" w:rsidRPr="00D05A71">
        <w:rPr>
          <w:color w:val="000000"/>
          <w:w w:val="107"/>
          <w:sz w:val="24"/>
          <w:szCs w:val="24"/>
        </w:rPr>
        <w:t xml:space="preserve"> matter is now ripe for a final disposition on Respondent’s Preliminary Objections.</w:t>
      </w:r>
    </w:p>
    <w:p w14:paraId="1D6A36FF" w14:textId="73224D95" w:rsidR="00F10D39" w:rsidRPr="00D05A71" w:rsidRDefault="00F10D39" w:rsidP="00DA57D0">
      <w:pPr>
        <w:autoSpaceDE/>
        <w:autoSpaceDN/>
        <w:spacing w:line="360" w:lineRule="auto"/>
        <w:rPr>
          <w:sz w:val="24"/>
          <w:szCs w:val="24"/>
          <w:u w:val="single"/>
        </w:rPr>
      </w:pPr>
    </w:p>
    <w:p w14:paraId="3DD3902A" w14:textId="6ACEDFBD" w:rsidR="005E192D" w:rsidRPr="00D05A71" w:rsidRDefault="005E192D" w:rsidP="00DA57D0">
      <w:pPr>
        <w:spacing w:line="360" w:lineRule="auto"/>
        <w:jc w:val="center"/>
        <w:outlineLvl w:val="0"/>
        <w:rPr>
          <w:sz w:val="24"/>
          <w:szCs w:val="24"/>
        </w:rPr>
      </w:pPr>
      <w:r w:rsidRPr="00D05A71">
        <w:rPr>
          <w:sz w:val="24"/>
          <w:szCs w:val="24"/>
          <w:u w:val="single"/>
        </w:rPr>
        <w:t>DISCUSSION</w:t>
      </w:r>
    </w:p>
    <w:p w14:paraId="2BF5E30C" w14:textId="77777777" w:rsidR="00F10D39" w:rsidRPr="00D05A71" w:rsidRDefault="00F10D39" w:rsidP="00DA57D0">
      <w:pPr>
        <w:tabs>
          <w:tab w:val="center" w:pos="4680"/>
        </w:tabs>
        <w:suppressAutoHyphens/>
        <w:spacing w:line="360" w:lineRule="auto"/>
        <w:rPr>
          <w:sz w:val="24"/>
          <w:szCs w:val="24"/>
        </w:rPr>
      </w:pPr>
    </w:p>
    <w:p w14:paraId="131409A5" w14:textId="3947ED8E" w:rsidR="00F10D39" w:rsidRPr="00D05A71" w:rsidRDefault="00F10D39" w:rsidP="00DA57D0">
      <w:pPr>
        <w:suppressAutoHyphens/>
        <w:spacing w:line="360" w:lineRule="auto"/>
        <w:rPr>
          <w:sz w:val="24"/>
          <w:szCs w:val="24"/>
        </w:rPr>
      </w:pPr>
      <w:r w:rsidRPr="00D05A71">
        <w:rPr>
          <w:sz w:val="24"/>
          <w:szCs w:val="24"/>
        </w:rPr>
        <w:tab/>
      </w:r>
      <w:r w:rsidRPr="00D05A71">
        <w:rPr>
          <w:sz w:val="24"/>
          <w:szCs w:val="24"/>
        </w:rPr>
        <w:tab/>
        <w:t xml:space="preserve">This Interim Order grants in part the Preliminary Objections of </w:t>
      </w:r>
      <w:r w:rsidR="00C52C32" w:rsidRPr="00D05A71">
        <w:rPr>
          <w:sz w:val="24"/>
          <w:szCs w:val="24"/>
        </w:rPr>
        <w:t>PPL</w:t>
      </w:r>
      <w:r w:rsidRPr="00D05A71">
        <w:rPr>
          <w:sz w:val="24"/>
          <w:szCs w:val="24"/>
        </w:rPr>
        <w:t xml:space="preserve"> to the extent </w:t>
      </w:r>
      <w:r w:rsidR="00077BCD" w:rsidRPr="00D05A71">
        <w:rPr>
          <w:sz w:val="24"/>
          <w:szCs w:val="24"/>
        </w:rPr>
        <w:t>the Formal Complaint</w:t>
      </w:r>
      <w:r w:rsidRPr="00D05A71">
        <w:rPr>
          <w:sz w:val="24"/>
          <w:szCs w:val="24"/>
        </w:rPr>
        <w:t xml:space="preserve"> alleges claims related to </w:t>
      </w:r>
      <w:r w:rsidR="00077BCD" w:rsidRPr="00D05A71">
        <w:rPr>
          <w:sz w:val="24"/>
          <w:szCs w:val="24"/>
        </w:rPr>
        <w:t xml:space="preserve">monetary </w:t>
      </w:r>
      <w:r w:rsidRPr="00D05A71">
        <w:rPr>
          <w:sz w:val="24"/>
          <w:szCs w:val="24"/>
        </w:rPr>
        <w:t xml:space="preserve">damages because </w:t>
      </w:r>
      <w:r w:rsidR="00077BCD" w:rsidRPr="00D05A71">
        <w:rPr>
          <w:sz w:val="24"/>
          <w:szCs w:val="24"/>
        </w:rPr>
        <w:t xml:space="preserve">monetary </w:t>
      </w:r>
      <w:r w:rsidR="000A64BD" w:rsidRPr="00D05A71">
        <w:rPr>
          <w:sz w:val="24"/>
          <w:szCs w:val="24"/>
        </w:rPr>
        <w:t>damages are</w:t>
      </w:r>
      <w:r w:rsidRPr="00D05A71">
        <w:rPr>
          <w:sz w:val="24"/>
          <w:szCs w:val="24"/>
        </w:rPr>
        <w:t xml:space="preserve"> outside the jurisdiction of the Commission</w:t>
      </w:r>
      <w:r w:rsidR="00077BCD" w:rsidRPr="00D05A71">
        <w:rPr>
          <w:sz w:val="24"/>
          <w:szCs w:val="24"/>
        </w:rPr>
        <w:t xml:space="preserve"> and because the Formal Complaint contains details about recent settlement discussions between the parties</w:t>
      </w:r>
      <w:r w:rsidRPr="00D05A71">
        <w:rPr>
          <w:sz w:val="24"/>
          <w:szCs w:val="24"/>
        </w:rPr>
        <w:t xml:space="preserve">.  This Interim Order denies in part the Preliminary Objections of </w:t>
      </w:r>
      <w:r w:rsidR="00C52C32" w:rsidRPr="00D05A71">
        <w:rPr>
          <w:sz w:val="24"/>
          <w:szCs w:val="24"/>
        </w:rPr>
        <w:t>PPL</w:t>
      </w:r>
      <w:r w:rsidRPr="00D05A71">
        <w:rPr>
          <w:sz w:val="24"/>
          <w:szCs w:val="24"/>
        </w:rPr>
        <w:t xml:space="preserve"> to the extent </w:t>
      </w:r>
      <w:r w:rsidR="00077BCD" w:rsidRPr="00D05A71">
        <w:rPr>
          <w:sz w:val="24"/>
          <w:szCs w:val="24"/>
        </w:rPr>
        <w:t>the Formal Complaint</w:t>
      </w:r>
      <w:r w:rsidRPr="00D05A71">
        <w:rPr>
          <w:sz w:val="24"/>
          <w:szCs w:val="24"/>
        </w:rPr>
        <w:t xml:space="preserve"> alleges </w:t>
      </w:r>
      <w:r w:rsidR="00C52C32" w:rsidRPr="00D05A71">
        <w:rPr>
          <w:sz w:val="24"/>
          <w:szCs w:val="24"/>
        </w:rPr>
        <w:t>PPL</w:t>
      </w:r>
      <w:r w:rsidRPr="00D05A71">
        <w:rPr>
          <w:sz w:val="24"/>
          <w:szCs w:val="24"/>
        </w:rPr>
        <w:t xml:space="preserve"> </w:t>
      </w:r>
      <w:r w:rsidR="00A1665A" w:rsidRPr="00D05A71">
        <w:rPr>
          <w:sz w:val="24"/>
          <w:szCs w:val="24"/>
        </w:rPr>
        <w:t>failed to provide</w:t>
      </w:r>
      <w:r w:rsidRPr="00D05A71">
        <w:rPr>
          <w:sz w:val="24"/>
          <w:szCs w:val="24"/>
        </w:rPr>
        <w:t xml:space="preserve"> adequate and reasonable service </w:t>
      </w:r>
      <w:r w:rsidR="00077BCD" w:rsidRPr="00D05A71">
        <w:rPr>
          <w:sz w:val="24"/>
          <w:szCs w:val="24"/>
        </w:rPr>
        <w:t>resulting in damage to Complainants’ driveway when constructing the Subject Line</w:t>
      </w:r>
      <w:r w:rsidRPr="00D05A71">
        <w:rPr>
          <w:sz w:val="24"/>
          <w:szCs w:val="24"/>
        </w:rPr>
        <w:t>.</w:t>
      </w:r>
    </w:p>
    <w:p w14:paraId="787E2E7D" w14:textId="1DB19904" w:rsidR="00D05A71" w:rsidRDefault="00D05A71" w:rsidP="00DA57D0">
      <w:pPr>
        <w:autoSpaceDE/>
        <w:autoSpaceDN/>
        <w:spacing w:line="360" w:lineRule="auto"/>
        <w:rPr>
          <w:sz w:val="24"/>
          <w:szCs w:val="24"/>
        </w:rPr>
      </w:pPr>
    </w:p>
    <w:p w14:paraId="693BF8F9" w14:textId="76D22FBC" w:rsidR="004B205B" w:rsidRPr="00D05A71" w:rsidRDefault="004B205B" w:rsidP="00DA57D0">
      <w:pPr>
        <w:spacing w:line="360" w:lineRule="auto"/>
        <w:rPr>
          <w:sz w:val="24"/>
          <w:szCs w:val="24"/>
        </w:rPr>
      </w:pPr>
      <w:r w:rsidRPr="00D05A71">
        <w:rPr>
          <w:sz w:val="24"/>
          <w:szCs w:val="24"/>
        </w:rPr>
        <w:tab/>
      </w:r>
      <w:r w:rsidRPr="00D05A71">
        <w:rPr>
          <w:sz w:val="24"/>
          <w:szCs w:val="24"/>
        </w:rPr>
        <w:tab/>
        <w:t>The Commission’s Rules of Administrative Practice and Procedure permit the filing of Preliminary Motions.</w:t>
      </w:r>
      <w:r w:rsidR="000A64BD" w:rsidRPr="00D05A71">
        <w:rPr>
          <w:rStyle w:val="FootnoteReference"/>
          <w:sz w:val="24"/>
          <w:szCs w:val="24"/>
        </w:rPr>
        <w:footnoteReference w:id="1"/>
      </w:r>
      <w:r w:rsidRPr="00D05A71">
        <w:rPr>
          <w:sz w:val="24"/>
          <w:szCs w:val="24"/>
        </w:rPr>
        <w:t xml:space="preserve">  Commission preliminary motion practice is similar to </w:t>
      </w:r>
      <w:r w:rsidRPr="00D05A71">
        <w:rPr>
          <w:sz w:val="24"/>
          <w:szCs w:val="24"/>
        </w:rPr>
        <w:lastRenderedPageBreak/>
        <w:t>Pennsylvania civil practice respecting the filing of preliminary objections.</w:t>
      </w:r>
      <w:r w:rsidRPr="00D05A71">
        <w:rPr>
          <w:rStyle w:val="FootnoteReference"/>
          <w:sz w:val="24"/>
          <w:szCs w:val="24"/>
        </w:rPr>
        <w:footnoteReference w:id="2"/>
      </w:r>
      <w:r w:rsidRPr="00D05A71">
        <w:rPr>
          <w:sz w:val="24"/>
          <w:szCs w:val="24"/>
        </w:rPr>
        <w:t xml:space="preserve">  Commission regulations permit the filing of a preliminary motion questioning the jurisdiction of the Commission.</w:t>
      </w:r>
      <w:r w:rsidR="000A64BD" w:rsidRPr="00D05A71">
        <w:rPr>
          <w:rStyle w:val="FootnoteReference"/>
          <w:sz w:val="24"/>
          <w:szCs w:val="24"/>
        </w:rPr>
        <w:footnoteReference w:id="3"/>
      </w:r>
      <w:r w:rsidRPr="00D05A71">
        <w:rPr>
          <w:sz w:val="24"/>
          <w:szCs w:val="24"/>
        </w:rPr>
        <w:t xml:space="preserve">  In ruling on a motion to dismiss, the Commission must assume, for decisional purposes only, that the factual allegations of </w:t>
      </w:r>
      <w:r w:rsidR="00077BCD" w:rsidRPr="00D05A71">
        <w:rPr>
          <w:sz w:val="24"/>
          <w:szCs w:val="24"/>
        </w:rPr>
        <w:t>the Formal Complaint</w:t>
      </w:r>
      <w:r w:rsidRPr="00D05A71">
        <w:rPr>
          <w:sz w:val="24"/>
          <w:szCs w:val="24"/>
        </w:rPr>
        <w:t xml:space="preserve"> are true.</w:t>
      </w:r>
      <w:r w:rsidRPr="00D05A71">
        <w:rPr>
          <w:rStyle w:val="FootnoteReference"/>
          <w:sz w:val="24"/>
          <w:szCs w:val="24"/>
        </w:rPr>
        <w:footnoteReference w:id="4"/>
      </w:r>
      <w:r w:rsidRPr="00D05A71">
        <w:rPr>
          <w:sz w:val="24"/>
          <w:szCs w:val="24"/>
          <w:vertAlign w:val="superscript"/>
        </w:rPr>
        <w:t xml:space="preserve"> </w:t>
      </w:r>
      <w:r w:rsidRPr="00D05A71">
        <w:rPr>
          <w:sz w:val="24"/>
          <w:szCs w:val="24"/>
        </w:rPr>
        <w:t xml:space="preserve">  The motion may be granted only if the moving party prevails as a matter of law.</w:t>
      </w:r>
      <w:r w:rsidRPr="00D05A71">
        <w:rPr>
          <w:rStyle w:val="FootnoteReference"/>
          <w:sz w:val="24"/>
          <w:szCs w:val="24"/>
        </w:rPr>
        <w:footnoteReference w:id="5"/>
      </w:r>
      <w:r w:rsidRPr="00D05A71">
        <w:rPr>
          <w:sz w:val="24"/>
          <w:szCs w:val="24"/>
        </w:rPr>
        <w:t xml:space="preserve">  </w:t>
      </w:r>
    </w:p>
    <w:p w14:paraId="3F95CEFD" w14:textId="4A2AE638" w:rsidR="005B4E44" w:rsidRPr="00D05A71" w:rsidRDefault="005B4E44" w:rsidP="00DA57D0">
      <w:pPr>
        <w:autoSpaceDE/>
        <w:autoSpaceDN/>
        <w:spacing w:line="360" w:lineRule="auto"/>
        <w:rPr>
          <w:sz w:val="24"/>
          <w:szCs w:val="24"/>
          <w:u w:val="single"/>
        </w:rPr>
      </w:pPr>
    </w:p>
    <w:p w14:paraId="118F882D" w14:textId="6B5F3C36" w:rsidR="005B4E44" w:rsidRPr="00D05A71" w:rsidRDefault="005B4E44" w:rsidP="00DA57D0">
      <w:pPr>
        <w:spacing w:line="360" w:lineRule="auto"/>
        <w:outlineLvl w:val="0"/>
        <w:rPr>
          <w:sz w:val="24"/>
          <w:szCs w:val="24"/>
          <w:u w:val="single"/>
        </w:rPr>
      </w:pPr>
      <w:r w:rsidRPr="00D05A71">
        <w:rPr>
          <w:sz w:val="24"/>
          <w:szCs w:val="24"/>
          <w:u w:val="single"/>
        </w:rPr>
        <w:t>Preliminary Objections</w:t>
      </w:r>
    </w:p>
    <w:p w14:paraId="3EF05906" w14:textId="77777777" w:rsidR="005B4E44" w:rsidRPr="00D05A71" w:rsidRDefault="005B4E44" w:rsidP="00DA57D0">
      <w:pPr>
        <w:spacing w:line="360" w:lineRule="auto"/>
        <w:rPr>
          <w:sz w:val="24"/>
          <w:szCs w:val="24"/>
        </w:rPr>
      </w:pPr>
    </w:p>
    <w:p w14:paraId="6DD85CCA" w14:textId="13184D9B" w:rsidR="008E10A2" w:rsidRPr="00D05A71" w:rsidRDefault="008E10A2" w:rsidP="00DA57D0">
      <w:pPr>
        <w:spacing w:line="360" w:lineRule="auto"/>
        <w:rPr>
          <w:sz w:val="24"/>
          <w:szCs w:val="24"/>
        </w:rPr>
      </w:pPr>
      <w:r w:rsidRPr="00D05A71">
        <w:rPr>
          <w:sz w:val="24"/>
          <w:szCs w:val="24"/>
        </w:rPr>
        <w:tab/>
      </w:r>
      <w:r w:rsidRPr="00D05A71">
        <w:rPr>
          <w:sz w:val="24"/>
          <w:szCs w:val="24"/>
        </w:rPr>
        <w:tab/>
      </w:r>
      <w:r w:rsidR="00665C80" w:rsidRPr="00D05A71">
        <w:rPr>
          <w:sz w:val="24"/>
          <w:szCs w:val="24"/>
        </w:rPr>
        <w:t>Preliminary objections, under t</w:t>
      </w:r>
      <w:r w:rsidRPr="00D05A71">
        <w:rPr>
          <w:sz w:val="24"/>
          <w:szCs w:val="24"/>
        </w:rPr>
        <w:t>he Commission’s regulations</w:t>
      </w:r>
      <w:r w:rsidR="00665C80" w:rsidRPr="00D05A71">
        <w:rPr>
          <w:sz w:val="24"/>
          <w:szCs w:val="24"/>
        </w:rPr>
        <w:t xml:space="preserve">, are </w:t>
      </w:r>
      <w:r w:rsidRPr="00D05A71">
        <w:rPr>
          <w:sz w:val="24"/>
          <w:szCs w:val="24"/>
        </w:rPr>
        <w:t>available to parties and allow for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14:paraId="2665FCD1" w14:textId="77777777" w:rsidR="005E5991" w:rsidRPr="00D05A71" w:rsidRDefault="005E5991" w:rsidP="005E5991">
      <w:pPr>
        <w:spacing w:line="360" w:lineRule="auto"/>
        <w:rPr>
          <w:sz w:val="24"/>
          <w:szCs w:val="24"/>
        </w:rPr>
      </w:pPr>
    </w:p>
    <w:p w14:paraId="206CB0B0" w14:textId="77777777" w:rsidR="008E10A2" w:rsidRPr="00D05A71" w:rsidRDefault="008E10A2" w:rsidP="00FE5D90">
      <w:pPr>
        <w:numPr>
          <w:ilvl w:val="0"/>
          <w:numId w:val="1"/>
        </w:numPr>
        <w:autoSpaceDE/>
        <w:autoSpaceDN/>
        <w:ind w:right="720" w:firstLine="0"/>
        <w:rPr>
          <w:sz w:val="24"/>
          <w:szCs w:val="24"/>
        </w:rPr>
      </w:pPr>
      <w:r w:rsidRPr="00D05A71">
        <w:rPr>
          <w:sz w:val="24"/>
          <w:szCs w:val="24"/>
        </w:rPr>
        <w:t>Lack of Commission jurisdiction or improper service of the pleading initiating the proceeding.</w:t>
      </w:r>
    </w:p>
    <w:p w14:paraId="04C31ACB" w14:textId="77777777" w:rsidR="00FE5D90" w:rsidRPr="00D05A71" w:rsidRDefault="00FE5D90" w:rsidP="00FE5D90">
      <w:pPr>
        <w:autoSpaceDE/>
        <w:autoSpaceDN/>
        <w:ind w:left="1440" w:right="720"/>
        <w:rPr>
          <w:sz w:val="24"/>
          <w:szCs w:val="24"/>
        </w:rPr>
      </w:pPr>
    </w:p>
    <w:p w14:paraId="4BE7A2D4" w14:textId="77777777" w:rsidR="008E10A2" w:rsidRPr="00D05A71" w:rsidRDefault="008E10A2" w:rsidP="00FE5D90">
      <w:pPr>
        <w:numPr>
          <w:ilvl w:val="0"/>
          <w:numId w:val="1"/>
        </w:numPr>
        <w:autoSpaceDE/>
        <w:autoSpaceDN/>
        <w:ind w:right="720" w:firstLine="0"/>
        <w:rPr>
          <w:sz w:val="24"/>
          <w:szCs w:val="24"/>
        </w:rPr>
      </w:pPr>
      <w:r w:rsidRPr="00D05A71">
        <w:rPr>
          <w:sz w:val="24"/>
          <w:szCs w:val="24"/>
        </w:rPr>
        <w:t>Failure of a pleading to conform to Chapter 5, Title 52 of the Pennsylvania Code, or include scandalous or impertinent matter.</w:t>
      </w:r>
    </w:p>
    <w:p w14:paraId="105E8AFE" w14:textId="77777777" w:rsidR="00FE5D90" w:rsidRPr="00D05A71" w:rsidRDefault="00FE5D90" w:rsidP="00FE5D90">
      <w:pPr>
        <w:pStyle w:val="ListParagraph"/>
        <w:ind w:right="720"/>
        <w:rPr>
          <w:sz w:val="24"/>
          <w:szCs w:val="24"/>
        </w:rPr>
      </w:pPr>
    </w:p>
    <w:p w14:paraId="1606DBF0" w14:textId="77777777" w:rsidR="00FE5D90" w:rsidRPr="00D05A71" w:rsidRDefault="008E10A2" w:rsidP="00FE5D90">
      <w:pPr>
        <w:numPr>
          <w:ilvl w:val="0"/>
          <w:numId w:val="1"/>
        </w:numPr>
        <w:autoSpaceDE/>
        <w:autoSpaceDN/>
        <w:ind w:right="720" w:firstLine="0"/>
        <w:rPr>
          <w:sz w:val="24"/>
          <w:szCs w:val="24"/>
        </w:rPr>
      </w:pPr>
      <w:r w:rsidRPr="00D05A71">
        <w:rPr>
          <w:sz w:val="24"/>
          <w:szCs w:val="24"/>
        </w:rPr>
        <w:t>Insufficient specificity of a pleading.</w:t>
      </w:r>
    </w:p>
    <w:p w14:paraId="2030395E" w14:textId="77777777" w:rsidR="00FE5D90" w:rsidRPr="00D05A71" w:rsidRDefault="00FE5D90" w:rsidP="00FE5D90">
      <w:pPr>
        <w:autoSpaceDE/>
        <w:autoSpaceDN/>
        <w:ind w:left="1440" w:right="720"/>
        <w:rPr>
          <w:sz w:val="24"/>
          <w:szCs w:val="24"/>
        </w:rPr>
      </w:pPr>
    </w:p>
    <w:p w14:paraId="751580F2" w14:textId="77777777" w:rsidR="008E10A2" w:rsidRPr="00D05A71" w:rsidRDefault="008E10A2" w:rsidP="00FE5D90">
      <w:pPr>
        <w:numPr>
          <w:ilvl w:val="0"/>
          <w:numId w:val="1"/>
        </w:numPr>
        <w:autoSpaceDE/>
        <w:autoSpaceDN/>
        <w:ind w:right="720" w:firstLine="0"/>
        <w:rPr>
          <w:sz w:val="24"/>
          <w:szCs w:val="24"/>
        </w:rPr>
      </w:pPr>
      <w:r w:rsidRPr="00D05A71">
        <w:rPr>
          <w:sz w:val="24"/>
          <w:szCs w:val="24"/>
        </w:rPr>
        <w:t>Legal insufficiency of a pleading.</w:t>
      </w:r>
    </w:p>
    <w:p w14:paraId="5500ADC9" w14:textId="77777777" w:rsidR="00FE5D90" w:rsidRPr="00D05A71" w:rsidRDefault="00FE5D90" w:rsidP="00FE5D90">
      <w:pPr>
        <w:autoSpaceDE/>
        <w:autoSpaceDN/>
        <w:ind w:left="1440" w:right="720"/>
        <w:rPr>
          <w:sz w:val="24"/>
          <w:szCs w:val="24"/>
        </w:rPr>
      </w:pPr>
    </w:p>
    <w:p w14:paraId="1617EB30" w14:textId="77777777" w:rsidR="008E10A2" w:rsidRPr="00D05A71" w:rsidRDefault="008E10A2" w:rsidP="00FE5D90">
      <w:pPr>
        <w:numPr>
          <w:ilvl w:val="0"/>
          <w:numId w:val="1"/>
        </w:numPr>
        <w:autoSpaceDE/>
        <w:autoSpaceDN/>
        <w:ind w:right="720" w:firstLine="0"/>
        <w:rPr>
          <w:sz w:val="24"/>
          <w:szCs w:val="24"/>
        </w:rPr>
      </w:pPr>
      <w:r w:rsidRPr="00D05A71">
        <w:rPr>
          <w:sz w:val="24"/>
          <w:szCs w:val="24"/>
        </w:rPr>
        <w:t xml:space="preserve">Lack of capacity to sue, nonjoinder of a necessary party or misjoinder of a cause of action.  </w:t>
      </w:r>
    </w:p>
    <w:p w14:paraId="2EA64AE2" w14:textId="77777777" w:rsidR="00FE5D90" w:rsidRPr="00D05A71" w:rsidRDefault="00FE5D90" w:rsidP="00FE5D90">
      <w:pPr>
        <w:autoSpaceDE/>
        <w:autoSpaceDN/>
        <w:ind w:left="1440" w:right="720"/>
        <w:rPr>
          <w:sz w:val="24"/>
          <w:szCs w:val="24"/>
        </w:rPr>
      </w:pPr>
    </w:p>
    <w:p w14:paraId="3C938DA7" w14:textId="77777777" w:rsidR="008E10A2" w:rsidRPr="00D05A71" w:rsidRDefault="008E10A2" w:rsidP="00FE5D90">
      <w:pPr>
        <w:numPr>
          <w:ilvl w:val="0"/>
          <w:numId w:val="1"/>
        </w:numPr>
        <w:autoSpaceDE/>
        <w:autoSpaceDN/>
        <w:ind w:right="720" w:firstLine="0"/>
        <w:rPr>
          <w:sz w:val="24"/>
          <w:szCs w:val="24"/>
        </w:rPr>
      </w:pPr>
      <w:r w:rsidRPr="00D05A71">
        <w:rPr>
          <w:sz w:val="24"/>
          <w:szCs w:val="24"/>
        </w:rPr>
        <w:t>Pendency of a prior proceeding or agreement for alternative dispute resolution.</w:t>
      </w:r>
    </w:p>
    <w:p w14:paraId="03AE1970" w14:textId="77777777" w:rsidR="00FE5D90" w:rsidRPr="00D05A71" w:rsidRDefault="00FE5D90" w:rsidP="00FE5D90">
      <w:pPr>
        <w:autoSpaceDE/>
        <w:autoSpaceDN/>
        <w:ind w:left="1440"/>
        <w:rPr>
          <w:sz w:val="24"/>
          <w:szCs w:val="24"/>
        </w:rPr>
      </w:pPr>
    </w:p>
    <w:p w14:paraId="49128207" w14:textId="77777777" w:rsidR="00FA39D8" w:rsidRPr="00D05A71" w:rsidRDefault="00FA39D8" w:rsidP="00FA39D8">
      <w:pPr>
        <w:pStyle w:val="ListParagraph"/>
        <w:numPr>
          <w:ilvl w:val="0"/>
          <w:numId w:val="1"/>
        </w:numPr>
        <w:autoSpaceDE/>
        <w:autoSpaceDN/>
        <w:ind w:firstLine="0"/>
        <w:rPr>
          <w:sz w:val="24"/>
          <w:szCs w:val="24"/>
        </w:rPr>
      </w:pPr>
      <w:r w:rsidRPr="00D05A71">
        <w:rPr>
          <w:sz w:val="24"/>
          <w:szCs w:val="24"/>
        </w:rPr>
        <w:lastRenderedPageBreak/>
        <w:t>Standing of a party to participate in the proceeding.</w:t>
      </w:r>
    </w:p>
    <w:p w14:paraId="6613240D" w14:textId="77777777" w:rsidR="00FA39D8" w:rsidRPr="00D05A71" w:rsidRDefault="00FA39D8" w:rsidP="00FA39D8">
      <w:pPr>
        <w:pStyle w:val="ListParagraph"/>
        <w:autoSpaceDE/>
        <w:autoSpaceDN/>
        <w:ind w:left="1440"/>
        <w:rPr>
          <w:sz w:val="24"/>
          <w:szCs w:val="24"/>
        </w:rPr>
      </w:pPr>
    </w:p>
    <w:p w14:paraId="075AFAF1" w14:textId="77777777" w:rsidR="008E10A2" w:rsidRPr="00D05A71" w:rsidRDefault="008E10A2" w:rsidP="008E10A2">
      <w:pPr>
        <w:spacing w:line="360" w:lineRule="auto"/>
        <w:rPr>
          <w:sz w:val="24"/>
          <w:szCs w:val="24"/>
        </w:rPr>
      </w:pPr>
      <w:r w:rsidRPr="00D05A71">
        <w:rPr>
          <w:sz w:val="24"/>
          <w:szCs w:val="24"/>
        </w:rPr>
        <w:t>52 Pa.Code §</w:t>
      </w:r>
      <w:r w:rsidR="00163537" w:rsidRPr="00D05A71">
        <w:rPr>
          <w:sz w:val="24"/>
          <w:szCs w:val="24"/>
        </w:rPr>
        <w:t xml:space="preserve"> </w:t>
      </w:r>
      <w:r w:rsidRPr="00D05A71">
        <w:rPr>
          <w:sz w:val="24"/>
          <w:szCs w:val="24"/>
        </w:rPr>
        <w:t>5.101(a).</w:t>
      </w:r>
    </w:p>
    <w:p w14:paraId="48599876" w14:textId="77777777" w:rsidR="008E10A2" w:rsidRPr="00D05A71" w:rsidRDefault="008E10A2" w:rsidP="005E5991">
      <w:pPr>
        <w:spacing w:line="360" w:lineRule="auto"/>
        <w:rPr>
          <w:sz w:val="24"/>
          <w:szCs w:val="24"/>
        </w:rPr>
      </w:pPr>
    </w:p>
    <w:p w14:paraId="303AC773" w14:textId="77777777" w:rsidR="008E10A2" w:rsidRPr="00D05A71" w:rsidRDefault="008E10A2" w:rsidP="00DA57D0">
      <w:pPr>
        <w:spacing w:line="360" w:lineRule="auto"/>
        <w:rPr>
          <w:sz w:val="24"/>
          <w:szCs w:val="24"/>
        </w:rPr>
      </w:pPr>
      <w:r w:rsidRPr="00D05A71">
        <w:rPr>
          <w:sz w:val="24"/>
          <w:szCs w:val="24"/>
        </w:rPr>
        <w:tab/>
      </w:r>
      <w:r w:rsidRPr="00D05A71">
        <w:rPr>
          <w:sz w:val="24"/>
          <w:szCs w:val="24"/>
        </w:rPr>
        <w:tab/>
        <w:t xml:space="preserve">The party against whom preliminary objections are filed </w:t>
      </w:r>
      <w:r w:rsidR="00665C80" w:rsidRPr="00D05A71">
        <w:rPr>
          <w:sz w:val="24"/>
          <w:szCs w:val="24"/>
          <w:u w:val="single"/>
        </w:rPr>
        <w:t>may</w:t>
      </w:r>
      <w:r w:rsidRPr="00D05A71">
        <w:rPr>
          <w:sz w:val="24"/>
          <w:szCs w:val="24"/>
        </w:rPr>
        <w:t xml:space="preserve"> file an answer to the preliminary objections but the answer must be filed within ten days of the date </w:t>
      </w:r>
      <w:r w:rsidR="00B31E9F" w:rsidRPr="00D05A71">
        <w:rPr>
          <w:sz w:val="24"/>
          <w:szCs w:val="24"/>
        </w:rPr>
        <w:t>when the preliminary objections are served</w:t>
      </w:r>
      <w:r w:rsidRPr="00D05A71">
        <w:rPr>
          <w:sz w:val="24"/>
          <w:szCs w:val="24"/>
        </w:rPr>
        <w:t>.  52 Pa.Code §</w:t>
      </w:r>
      <w:r w:rsidR="00B31E9F" w:rsidRPr="00D05A71">
        <w:rPr>
          <w:sz w:val="24"/>
          <w:szCs w:val="24"/>
        </w:rPr>
        <w:t xml:space="preserve"> </w:t>
      </w:r>
      <w:r w:rsidRPr="00D05A71">
        <w:rPr>
          <w:sz w:val="24"/>
          <w:szCs w:val="24"/>
        </w:rPr>
        <w:t>5.101(f)(1).  Then the presiding officer will decide the preliminary objections within thirty days of the date the preliminary objection is assigned to the presiding officer.  52 Pa.Code §</w:t>
      </w:r>
      <w:r w:rsidR="00B31E9F" w:rsidRPr="00D05A71">
        <w:rPr>
          <w:sz w:val="24"/>
          <w:szCs w:val="24"/>
        </w:rPr>
        <w:t xml:space="preserve"> </w:t>
      </w:r>
      <w:r w:rsidRPr="00D05A71">
        <w:rPr>
          <w:sz w:val="24"/>
          <w:szCs w:val="24"/>
        </w:rPr>
        <w:t>5.101(g).</w:t>
      </w:r>
    </w:p>
    <w:p w14:paraId="5A0265C9" w14:textId="77777777" w:rsidR="00D54B7B" w:rsidRPr="00D05A71" w:rsidRDefault="00D54B7B" w:rsidP="00DA57D0">
      <w:pPr>
        <w:spacing w:line="360" w:lineRule="auto"/>
        <w:ind w:firstLine="1440"/>
        <w:rPr>
          <w:sz w:val="24"/>
          <w:szCs w:val="24"/>
        </w:rPr>
      </w:pPr>
    </w:p>
    <w:p w14:paraId="2907B626" w14:textId="0C1929CC" w:rsidR="00D54B7B" w:rsidRPr="00D05A71" w:rsidRDefault="00D54B7B" w:rsidP="00DA57D0">
      <w:pPr>
        <w:spacing w:line="360" w:lineRule="auto"/>
        <w:ind w:firstLine="1440"/>
        <w:rPr>
          <w:sz w:val="24"/>
          <w:szCs w:val="24"/>
        </w:rPr>
      </w:pPr>
      <w:r w:rsidRPr="00D05A71">
        <w:rPr>
          <w:sz w:val="24"/>
          <w:szCs w:val="24"/>
        </w:rPr>
        <w:t>The moving party may not rely on its own factual assertions, but must accept</w:t>
      </w:r>
      <w:r w:rsidR="002D0108" w:rsidRPr="00D05A71">
        <w:rPr>
          <w:sz w:val="24"/>
          <w:szCs w:val="24"/>
        </w:rPr>
        <w:t>,</w:t>
      </w:r>
      <w:r w:rsidRPr="00D05A71">
        <w:rPr>
          <w:sz w:val="24"/>
          <w:szCs w:val="24"/>
        </w:rPr>
        <w:t xml:space="preserve"> for the purposes of disposition of the preliminary objection, all well-pleaded, material facts of the other party, as well as every inference fairly deducible from those facts.</w:t>
      </w:r>
      <w:r w:rsidR="002D0108" w:rsidRPr="00D05A71">
        <w:rPr>
          <w:rStyle w:val="FootnoteReference"/>
          <w:sz w:val="24"/>
          <w:szCs w:val="24"/>
        </w:rPr>
        <w:footnoteReference w:id="6"/>
      </w:r>
      <w:r w:rsidRPr="00D05A71">
        <w:rPr>
          <w:sz w:val="24"/>
          <w:szCs w:val="24"/>
        </w:rPr>
        <w:t xml:space="preserve">  Therefore, in ruling on a preliminary objection, the Commission must assume, for decisional purposes only, that </w:t>
      </w:r>
      <w:r w:rsidR="002D0108" w:rsidRPr="00D05A71">
        <w:rPr>
          <w:sz w:val="24"/>
          <w:szCs w:val="24"/>
        </w:rPr>
        <w:t xml:space="preserve">the factual allegations </w:t>
      </w:r>
      <w:r w:rsidR="00077BCD" w:rsidRPr="00D05A71">
        <w:rPr>
          <w:sz w:val="24"/>
          <w:szCs w:val="24"/>
        </w:rPr>
        <w:t>in</w:t>
      </w:r>
      <w:r w:rsidR="002D0108" w:rsidRPr="00D05A71">
        <w:rPr>
          <w:sz w:val="24"/>
          <w:szCs w:val="24"/>
        </w:rPr>
        <w:t xml:space="preserve"> the c</w:t>
      </w:r>
      <w:r w:rsidRPr="00D05A71">
        <w:rPr>
          <w:sz w:val="24"/>
          <w:szCs w:val="24"/>
        </w:rPr>
        <w:t>omplaint are true.</w:t>
      </w:r>
      <w:r w:rsidR="002D0108" w:rsidRPr="00D05A71">
        <w:rPr>
          <w:rStyle w:val="FootnoteReference"/>
          <w:sz w:val="24"/>
          <w:szCs w:val="24"/>
        </w:rPr>
        <w:footnoteReference w:id="7"/>
      </w:r>
      <w:r w:rsidRPr="00D05A71">
        <w:rPr>
          <w:sz w:val="24"/>
          <w:szCs w:val="24"/>
        </w:rPr>
        <w:t xml:space="preserve">  The preliminary objection may be granted only if the moving party prevails as a matter of law.</w:t>
      </w:r>
      <w:r w:rsidR="002D0108" w:rsidRPr="00D05A71">
        <w:rPr>
          <w:rStyle w:val="FootnoteReference"/>
          <w:sz w:val="24"/>
          <w:szCs w:val="24"/>
        </w:rPr>
        <w:footnoteReference w:id="8"/>
      </w:r>
      <w:r w:rsidRPr="00D05A71">
        <w:rPr>
          <w:sz w:val="24"/>
          <w:szCs w:val="24"/>
        </w:rPr>
        <w:t xml:space="preserve">  Any doubt must be resolved in favor of the non-moving party by refusing to sustain the preliminary objections.</w:t>
      </w:r>
      <w:r w:rsidR="002D0108" w:rsidRPr="00D05A71">
        <w:rPr>
          <w:rStyle w:val="FootnoteReference"/>
          <w:sz w:val="24"/>
          <w:szCs w:val="24"/>
        </w:rPr>
        <w:footnoteReference w:id="9"/>
      </w:r>
      <w:r w:rsidRPr="00D05A71">
        <w:rPr>
          <w:sz w:val="24"/>
          <w:szCs w:val="24"/>
        </w:rPr>
        <w:t xml:space="preserve">    </w:t>
      </w:r>
    </w:p>
    <w:p w14:paraId="27E39963" w14:textId="77777777" w:rsidR="008E10A2" w:rsidRPr="00D05A71" w:rsidRDefault="008E10A2" w:rsidP="00DA57D0">
      <w:pPr>
        <w:spacing w:line="360" w:lineRule="auto"/>
        <w:rPr>
          <w:sz w:val="24"/>
          <w:szCs w:val="24"/>
        </w:rPr>
      </w:pPr>
    </w:p>
    <w:p w14:paraId="61802CAD" w14:textId="77777777" w:rsidR="00D54B7B" w:rsidRPr="00D05A71" w:rsidRDefault="008E10A2" w:rsidP="00DA57D0">
      <w:pPr>
        <w:spacing w:line="360" w:lineRule="auto"/>
        <w:ind w:firstLine="1440"/>
        <w:rPr>
          <w:sz w:val="24"/>
          <w:szCs w:val="24"/>
        </w:rPr>
      </w:pPr>
      <w:r w:rsidRPr="00D05A71">
        <w:rPr>
          <w:sz w:val="24"/>
          <w:szCs w:val="24"/>
        </w:rPr>
        <w:t>The Commission has the discretion to “dismiss any complaint without hearing if, in its opinion, a hearing is not nece</w:t>
      </w:r>
      <w:r w:rsidR="00FB4DC9" w:rsidRPr="00D05A71">
        <w:rPr>
          <w:sz w:val="24"/>
          <w:szCs w:val="24"/>
        </w:rPr>
        <w:t>ssary in the public interest.”</w:t>
      </w:r>
      <w:r w:rsidR="00FB4DC9" w:rsidRPr="00D05A71">
        <w:rPr>
          <w:rStyle w:val="FootnoteReference"/>
          <w:sz w:val="24"/>
          <w:szCs w:val="24"/>
        </w:rPr>
        <w:footnoteReference w:id="10"/>
      </w:r>
      <w:r w:rsidR="00FB4DC9" w:rsidRPr="00D05A71">
        <w:rPr>
          <w:sz w:val="24"/>
          <w:szCs w:val="24"/>
        </w:rPr>
        <w:t xml:space="preserve">  </w:t>
      </w:r>
      <w:r w:rsidRPr="00D05A71">
        <w:rPr>
          <w:sz w:val="24"/>
          <w:szCs w:val="24"/>
        </w:rPr>
        <w:t>A hearing is necessary only to res</w:t>
      </w:r>
      <w:r w:rsidR="00B31E9F" w:rsidRPr="00D05A71">
        <w:rPr>
          <w:sz w:val="24"/>
          <w:szCs w:val="24"/>
        </w:rPr>
        <w:t>olve disputed questions of fact</w:t>
      </w:r>
      <w:r w:rsidRPr="00D05A71">
        <w:rPr>
          <w:sz w:val="24"/>
          <w:szCs w:val="24"/>
        </w:rPr>
        <w:t xml:space="preserve"> and</w:t>
      </w:r>
      <w:r w:rsidR="00B31E9F" w:rsidRPr="00D05A71">
        <w:rPr>
          <w:sz w:val="24"/>
          <w:szCs w:val="24"/>
        </w:rPr>
        <w:t>,</w:t>
      </w:r>
      <w:r w:rsidRPr="00D05A71">
        <w:rPr>
          <w:sz w:val="24"/>
          <w:szCs w:val="24"/>
        </w:rPr>
        <w:t xml:space="preserve"> when the question presented is solely one of law, the </w:t>
      </w:r>
      <w:r w:rsidRPr="00D05A71">
        <w:rPr>
          <w:sz w:val="24"/>
          <w:szCs w:val="24"/>
        </w:rPr>
        <w:lastRenderedPageBreak/>
        <w:t>Commission need not hold a hearing.</w:t>
      </w:r>
      <w:r w:rsidRPr="00D05A71">
        <w:rPr>
          <w:rStyle w:val="FootnoteReference"/>
          <w:sz w:val="24"/>
          <w:szCs w:val="24"/>
        </w:rPr>
        <w:footnoteReference w:id="11"/>
      </w:r>
      <w:r w:rsidR="00D54B7B" w:rsidRPr="00D05A71">
        <w:rPr>
          <w:sz w:val="24"/>
          <w:szCs w:val="24"/>
        </w:rPr>
        <w:t xml:space="preserve">  The public interest does not require a hearing in a case which would be a fruitless exercise and, therefore, not necessary or in the public interest.</w:t>
      </w:r>
      <w:r w:rsidR="00D54B7B" w:rsidRPr="00D05A71">
        <w:rPr>
          <w:rStyle w:val="FootnoteReference"/>
          <w:sz w:val="24"/>
          <w:szCs w:val="24"/>
        </w:rPr>
        <w:footnoteReference w:id="12"/>
      </w:r>
    </w:p>
    <w:p w14:paraId="7E887FB8" w14:textId="77777777" w:rsidR="005B4E44" w:rsidRPr="00D05A71" w:rsidRDefault="005B4E44" w:rsidP="00DA57D0">
      <w:pPr>
        <w:spacing w:line="360" w:lineRule="auto"/>
        <w:rPr>
          <w:sz w:val="24"/>
          <w:szCs w:val="24"/>
        </w:rPr>
      </w:pPr>
    </w:p>
    <w:p w14:paraId="5598A32A" w14:textId="1F4E27AC" w:rsidR="005B4E44" w:rsidRPr="00D05A71" w:rsidRDefault="005B4E44" w:rsidP="00DA57D0">
      <w:pPr>
        <w:spacing w:line="360" w:lineRule="auto"/>
        <w:rPr>
          <w:sz w:val="24"/>
          <w:szCs w:val="24"/>
        </w:rPr>
      </w:pPr>
      <w:r w:rsidRPr="00D05A71">
        <w:rPr>
          <w:sz w:val="24"/>
          <w:szCs w:val="24"/>
        </w:rPr>
        <w:tab/>
      </w:r>
      <w:r w:rsidRPr="00D05A71">
        <w:rPr>
          <w:sz w:val="24"/>
          <w:szCs w:val="24"/>
        </w:rPr>
        <w:tab/>
        <w:t xml:space="preserve">Pursuant to Section 501 of the Code, 66 </w:t>
      </w:r>
      <w:r w:rsidR="007768A0" w:rsidRPr="00D05A71">
        <w:rPr>
          <w:sz w:val="24"/>
          <w:szCs w:val="24"/>
        </w:rPr>
        <w:t>Pa.C.S.</w:t>
      </w:r>
      <w:r w:rsidRPr="00D05A71">
        <w:rPr>
          <w:sz w:val="24"/>
          <w:szCs w:val="24"/>
        </w:rPr>
        <w:t xml:space="preserve"> § 501, the Commission must “enforce, execute and carry out, by its regulations, orders or otherwise” all the provisions of the Code.  Section 701 of the Code, 66 </w:t>
      </w:r>
      <w:r w:rsidR="007768A0" w:rsidRPr="00D05A71">
        <w:rPr>
          <w:sz w:val="24"/>
          <w:szCs w:val="24"/>
        </w:rPr>
        <w:t>Pa.C.S.</w:t>
      </w:r>
      <w:r w:rsidRPr="00D05A71">
        <w:rPr>
          <w:sz w:val="24"/>
          <w:szCs w:val="24"/>
        </w:rPr>
        <w:t xml:space="preserve"> §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w:t>
      </w:r>
      <w:r w:rsidRPr="00D05A71">
        <w:rPr>
          <w:rStyle w:val="FootnoteReference"/>
          <w:sz w:val="24"/>
          <w:szCs w:val="24"/>
        </w:rPr>
        <w:footnoteReference w:id="13"/>
      </w:r>
      <w:r w:rsidRPr="00D05A71">
        <w:rPr>
          <w:sz w:val="24"/>
          <w:szCs w:val="24"/>
          <w:vertAlign w:val="superscript"/>
        </w:rPr>
        <w:t xml:space="preserve"> </w:t>
      </w:r>
      <w:r w:rsidRPr="00D05A71">
        <w:rPr>
          <w:sz w:val="24"/>
          <w:szCs w:val="24"/>
        </w:rPr>
        <w:t xml:space="preserve">   </w:t>
      </w:r>
    </w:p>
    <w:p w14:paraId="0A8D6811" w14:textId="77777777" w:rsidR="00AC53A4" w:rsidRPr="00D05A71" w:rsidRDefault="00AC53A4" w:rsidP="00DA57D0">
      <w:pPr>
        <w:spacing w:line="360" w:lineRule="auto"/>
        <w:rPr>
          <w:sz w:val="24"/>
          <w:szCs w:val="24"/>
        </w:rPr>
      </w:pPr>
    </w:p>
    <w:p w14:paraId="6DDDFE22" w14:textId="77777777" w:rsidR="00AC53A4" w:rsidRPr="00D05A71" w:rsidRDefault="00AC53A4" w:rsidP="00DA57D0">
      <w:pPr>
        <w:spacing w:line="360" w:lineRule="auto"/>
        <w:rPr>
          <w:sz w:val="24"/>
          <w:szCs w:val="24"/>
          <w:u w:val="single"/>
        </w:rPr>
      </w:pPr>
      <w:r w:rsidRPr="00D05A71">
        <w:rPr>
          <w:sz w:val="24"/>
          <w:szCs w:val="24"/>
          <w:u w:val="single"/>
        </w:rPr>
        <w:t>Disposition</w:t>
      </w:r>
    </w:p>
    <w:p w14:paraId="5BB85CB2" w14:textId="08062EFA" w:rsidR="005B4E44" w:rsidRPr="00D05A71" w:rsidRDefault="005B4E44" w:rsidP="00DA57D0">
      <w:pPr>
        <w:spacing w:line="360" w:lineRule="auto"/>
        <w:rPr>
          <w:sz w:val="24"/>
          <w:szCs w:val="24"/>
        </w:rPr>
      </w:pPr>
    </w:p>
    <w:p w14:paraId="01421621" w14:textId="356689D2" w:rsidR="007F572E" w:rsidRPr="00D05A71" w:rsidRDefault="007F572E" w:rsidP="00DA57D0">
      <w:pPr>
        <w:spacing w:line="360" w:lineRule="auto"/>
        <w:ind w:firstLine="1440"/>
        <w:rPr>
          <w:sz w:val="24"/>
          <w:szCs w:val="24"/>
        </w:rPr>
      </w:pPr>
      <w:r w:rsidRPr="00D05A71">
        <w:rPr>
          <w:sz w:val="24"/>
          <w:szCs w:val="24"/>
        </w:rPr>
        <w:t xml:space="preserve">In this proceeding, Complainants request the Commission find PPL failed to provide reasonable and adequate service when it failed to repair the damage it caused to the driveway, and then order PPL to cover one-half of the costs to repair the property damaged during the construction of the Subject Line.  Complainants contend these damages were the result of poor service by Respondent and Respondent further failed to provide service in how it handled Complainants’ request for repairs.  </w:t>
      </w:r>
    </w:p>
    <w:p w14:paraId="7F97E53B" w14:textId="77777777" w:rsidR="007F572E" w:rsidRPr="00D05A71" w:rsidRDefault="007F572E" w:rsidP="00DA57D0">
      <w:pPr>
        <w:spacing w:line="360" w:lineRule="auto"/>
        <w:ind w:firstLine="1440"/>
        <w:rPr>
          <w:sz w:val="24"/>
          <w:szCs w:val="24"/>
        </w:rPr>
      </w:pPr>
    </w:p>
    <w:p w14:paraId="6750FC8E" w14:textId="37061672" w:rsidR="00C07F36" w:rsidRPr="00D05A71" w:rsidRDefault="00C52C32" w:rsidP="00DA57D0">
      <w:pPr>
        <w:spacing w:line="360" w:lineRule="auto"/>
        <w:ind w:firstLine="1440"/>
        <w:rPr>
          <w:sz w:val="24"/>
          <w:szCs w:val="24"/>
        </w:rPr>
      </w:pPr>
      <w:r w:rsidRPr="00D05A71">
        <w:rPr>
          <w:sz w:val="24"/>
          <w:szCs w:val="24"/>
        </w:rPr>
        <w:t>Mr./Ms. Spence</w:t>
      </w:r>
      <w:r w:rsidR="00C87D74" w:rsidRPr="00D05A71">
        <w:rPr>
          <w:sz w:val="24"/>
          <w:szCs w:val="24"/>
        </w:rPr>
        <w:t xml:space="preserve"> </w:t>
      </w:r>
      <w:r w:rsidR="00110020" w:rsidRPr="00D05A71">
        <w:rPr>
          <w:sz w:val="24"/>
          <w:szCs w:val="24"/>
        </w:rPr>
        <w:t>contend</w:t>
      </w:r>
      <w:r w:rsidR="00077BCD" w:rsidRPr="00D05A71">
        <w:rPr>
          <w:sz w:val="24"/>
          <w:szCs w:val="24"/>
        </w:rPr>
        <w:t xml:space="preserve"> they</w:t>
      </w:r>
      <w:r w:rsidR="00C07F36" w:rsidRPr="00D05A71">
        <w:rPr>
          <w:sz w:val="24"/>
          <w:szCs w:val="24"/>
        </w:rPr>
        <w:t xml:space="preserve"> want</w:t>
      </w:r>
      <w:r w:rsidR="00110020" w:rsidRPr="00D05A71">
        <w:rPr>
          <w:sz w:val="24"/>
          <w:szCs w:val="24"/>
        </w:rPr>
        <w:t xml:space="preserve"> the Commission to </w:t>
      </w:r>
      <w:r w:rsidR="00077BCD" w:rsidRPr="00D05A71">
        <w:rPr>
          <w:sz w:val="24"/>
          <w:szCs w:val="24"/>
        </w:rPr>
        <w:t>order Respondent to be responsible for the damage it caused but they do not trust Respondent will do a quality job of making those repairs.  Accordingly, Complainants request the Commissi</w:t>
      </w:r>
      <w:r w:rsidR="00336E70" w:rsidRPr="00D05A71">
        <w:rPr>
          <w:sz w:val="24"/>
          <w:szCs w:val="24"/>
        </w:rPr>
        <w:t>o</w:t>
      </w:r>
      <w:r w:rsidR="00077BCD" w:rsidRPr="00D05A71">
        <w:rPr>
          <w:sz w:val="24"/>
          <w:szCs w:val="24"/>
        </w:rPr>
        <w:t>n grant their</w:t>
      </w:r>
      <w:r w:rsidR="00110020" w:rsidRPr="00D05A71">
        <w:rPr>
          <w:sz w:val="24"/>
          <w:szCs w:val="24"/>
        </w:rPr>
        <w:t xml:space="preserve"> request for monetary damages and </w:t>
      </w:r>
      <w:r w:rsidR="00336E70" w:rsidRPr="00D05A71">
        <w:rPr>
          <w:sz w:val="24"/>
          <w:szCs w:val="24"/>
        </w:rPr>
        <w:t>penalize</w:t>
      </w:r>
      <w:r w:rsidR="00110020" w:rsidRPr="00D05A71">
        <w:rPr>
          <w:sz w:val="24"/>
          <w:szCs w:val="24"/>
        </w:rPr>
        <w:t xml:space="preserve"> </w:t>
      </w:r>
      <w:r w:rsidRPr="00D05A71">
        <w:rPr>
          <w:sz w:val="24"/>
          <w:szCs w:val="24"/>
        </w:rPr>
        <w:t>PPL</w:t>
      </w:r>
      <w:r w:rsidR="00110020" w:rsidRPr="00D05A71">
        <w:rPr>
          <w:sz w:val="24"/>
          <w:szCs w:val="24"/>
        </w:rPr>
        <w:t xml:space="preserve"> </w:t>
      </w:r>
      <w:r w:rsidR="00336E70" w:rsidRPr="00D05A71">
        <w:rPr>
          <w:sz w:val="24"/>
          <w:szCs w:val="24"/>
        </w:rPr>
        <w:t>for its failure to fix the damage it caused</w:t>
      </w:r>
      <w:r w:rsidR="00110020" w:rsidRPr="00D05A71">
        <w:rPr>
          <w:sz w:val="24"/>
          <w:szCs w:val="24"/>
        </w:rPr>
        <w:t>.</w:t>
      </w:r>
      <w:r w:rsidR="00A1665A" w:rsidRPr="00D05A71">
        <w:rPr>
          <w:sz w:val="24"/>
          <w:szCs w:val="24"/>
        </w:rPr>
        <w:t xml:space="preserve">  </w:t>
      </w:r>
      <w:r w:rsidR="00336E70" w:rsidRPr="00D05A71">
        <w:rPr>
          <w:sz w:val="24"/>
          <w:szCs w:val="24"/>
        </w:rPr>
        <w:t>In response</w:t>
      </w:r>
      <w:r w:rsidR="00C07F36" w:rsidRPr="00D05A71">
        <w:rPr>
          <w:sz w:val="24"/>
          <w:szCs w:val="24"/>
        </w:rPr>
        <w:t>,</w:t>
      </w:r>
      <w:r w:rsidR="00622F61" w:rsidRPr="00D05A71">
        <w:rPr>
          <w:sz w:val="24"/>
          <w:szCs w:val="24"/>
        </w:rPr>
        <w:t xml:space="preserve"> </w:t>
      </w:r>
      <w:r w:rsidRPr="00D05A71">
        <w:rPr>
          <w:sz w:val="24"/>
          <w:szCs w:val="24"/>
        </w:rPr>
        <w:t>PPL</w:t>
      </w:r>
      <w:r w:rsidR="00A1665A" w:rsidRPr="00D05A71">
        <w:rPr>
          <w:sz w:val="24"/>
          <w:szCs w:val="24"/>
        </w:rPr>
        <w:t xml:space="preserve"> avers </w:t>
      </w:r>
      <w:r w:rsidR="00077BCD" w:rsidRPr="00D05A71">
        <w:rPr>
          <w:sz w:val="24"/>
          <w:szCs w:val="24"/>
        </w:rPr>
        <w:t>the Formal Complaint</w:t>
      </w:r>
      <w:r w:rsidR="00A1665A" w:rsidRPr="00D05A71">
        <w:rPr>
          <w:sz w:val="24"/>
          <w:szCs w:val="24"/>
        </w:rPr>
        <w:t xml:space="preserve"> does not specify a cause of action upon which the Commission can grant relief</w:t>
      </w:r>
      <w:r w:rsidR="00336E70" w:rsidRPr="00D05A71">
        <w:rPr>
          <w:sz w:val="24"/>
          <w:szCs w:val="24"/>
        </w:rPr>
        <w:t xml:space="preserve"> (i.e., the granting of damages), and it contains impertinent matter in the form of details about settlement negotiations</w:t>
      </w:r>
      <w:r w:rsidR="00A1665A" w:rsidRPr="00D05A71">
        <w:rPr>
          <w:sz w:val="24"/>
          <w:szCs w:val="24"/>
        </w:rPr>
        <w:t xml:space="preserve">.  </w:t>
      </w:r>
    </w:p>
    <w:p w14:paraId="4AC8FBB8" w14:textId="05CA9ACD" w:rsidR="005B4E44" w:rsidRPr="00D05A71" w:rsidRDefault="007F572E" w:rsidP="00DA57D0">
      <w:pPr>
        <w:spacing w:line="360" w:lineRule="auto"/>
        <w:ind w:firstLine="1440"/>
        <w:rPr>
          <w:sz w:val="24"/>
          <w:szCs w:val="24"/>
          <w:vertAlign w:val="superscript"/>
        </w:rPr>
      </w:pPr>
      <w:r w:rsidRPr="00D05A71">
        <w:rPr>
          <w:sz w:val="24"/>
          <w:szCs w:val="24"/>
        </w:rPr>
        <w:lastRenderedPageBreak/>
        <w:t>First, the regulations permit PPL to file preliminary objections to dismiss a pleading for lack of jurisdiction and/or for inclusion of scandalous or impertinent matter.</w:t>
      </w:r>
      <w:r w:rsidRPr="00D05A71">
        <w:rPr>
          <w:rStyle w:val="FootnoteReference"/>
          <w:sz w:val="24"/>
          <w:szCs w:val="24"/>
        </w:rPr>
        <w:footnoteReference w:id="14"/>
      </w:r>
      <w:r w:rsidRPr="00D05A71">
        <w:rPr>
          <w:sz w:val="24"/>
          <w:szCs w:val="24"/>
        </w:rPr>
        <w:t xml:space="preserve">  </w:t>
      </w:r>
      <w:r w:rsidR="005B4E44" w:rsidRPr="00D05A71">
        <w:rPr>
          <w:sz w:val="24"/>
          <w:szCs w:val="24"/>
        </w:rPr>
        <w:t>Respondent is correct when it states the Commission cannot exceed its jurisdiction and must act within it.</w:t>
      </w:r>
      <w:r w:rsidR="005B4E44" w:rsidRPr="00D05A71">
        <w:rPr>
          <w:rStyle w:val="FootnoteReference"/>
          <w:sz w:val="24"/>
          <w:szCs w:val="24"/>
        </w:rPr>
        <w:footnoteReference w:id="15"/>
      </w:r>
      <w:r w:rsidR="005B4E44" w:rsidRPr="00D05A71">
        <w:rPr>
          <w:sz w:val="24"/>
          <w:szCs w:val="24"/>
          <w:vertAlign w:val="superscript"/>
        </w:rPr>
        <w:t xml:space="preserve"> </w:t>
      </w:r>
      <w:r w:rsidR="005B4E44" w:rsidRPr="00D05A71">
        <w:rPr>
          <w:sz w:val="24"/>
          <w:szCs w:val="24"/>
        </w:rPr>
        <w:t xml:space="preserve"> Jurisdiction may not be conferred by the parties where none exists.</w:t>
      </w:r>
      <w:r w:rsidR="005B4E44" w:rsidRPr="00D05A71">
        <w:rPr>
          <w:rStyle w:val="FootnoteReference"/>
          <w:sz w:val="24"/>
          <w:szCs w:val="24"/>
        </w:rPr>
        <w:footnoteReference w:id="16"/>
      </w:r>
      <w:r w:rsidR="005B4E44" w:rsidRPr="00D05A71">
        <w:rPr>
          <w:sz w:val="24"/>
          <w:szCs w:val="24"/>
          <w:vertAlign w:val="superscript"/>
        </w:rPr>
        <w:t xml:space="preserve">  </w:t>
      </w:r>
      <w:r w:rsidR="005B4E44" w:rsidRPr="00D05A71">
        <w:rPr>
          <w:sz w:val="24"/>
          <w:szCs w:val="24"/>
        </w:rPr>
        <w:t>The Commission has initial jurisdiction over “matters involving the reasonableness, adequacy or sufficiency of a public utility’s service, facilities or rates.”</w:t>
      </w:r>
      <w:r w:rsidR="005B4E44" w:rsidRPr="00D05A71">
        <w:rPr>
          <w:rStyle w:val="FootnoteReference"/>
          <w:sz w:val="24"/>
          <w:szCs w:val="24"/>
        </w:rPr>
        <w:footnoteReference w:id="17"/>
      </w:r>
      <w:r w:rsidR="005B4E44" w:rsidRPr="00D05A71">
        <w:rPr>
          <w:sz w:val="24"/>
          <w:szCs w:val="24"/>
          <w:vertAlign w:val="superscript"/>
        </w:rPr>
        <w:t xml:space="preserve"> </w:t>
      </w:r>
      <w:r w:rsidR="005B4E44" w:rsidRPr="00D05A71">
        <w:rPr>
          <w:sz w:val="24"/>
          <w:szCs w:val="24"/>
        </w:rPr>
        <w:t xml:space="preserve"> </w:t>
      </w:r>
      <w:r w:rsidR="00097FE9">
        <w:rPr>
          <w:sz w:val="24"/>
          <w:szCs w:val="24"/>
        </w:rPr>
        <w:t xml:space="preserve"> </w:t>
      </w:r>
      <w:r w:rsidR="005B4E44" w:rsidRPr="00D05A71">
        <w:rPr>
          <w:sz w:val="24"/>
          <w:szCs w:val="24"/>
        </w:rPr>
        <w:t>Subject matter jurisdiction is a prerequisite to the exercise of the power to decide a controversy.</w:t>
      </w:r>
      <w:r w:rsidR="005B4E44" w:rsidRPr="00D05A71">
        <w:rPr>
          <w:rStyle w:val="FootnoteReference"/>
          <w:sz w:val="24"/>
          <w:szCs w:val="24"/>
        </w:rPr>
        <w:footnoteReference w:id="18"/>
      </w:r>
      <w:r w:rsidR="005B4E44" w:rsidRPr="00D05A71">
        <w:rPr>
          <w:sz w:val="24"/>
          <w:szCs w:val="24"/>
          <w:vertAlign w:val="superscript"/>
        </w:rPr>
        <w:t xml:space="preserve">  </w:t>
      </w:r>
    </w:p>
    <w:p w14:paraId="7949F687" w14:textId="57D759BC" w:rsidR="005B4E44" w:rsidRPr="00D05A71" w:rsidRDefault="005B4E44" w:rsidP="00DA57D0">
      <w:pPr>
        <w:spacing w:line="360" w:lineRule="auto"/>
        <w:rPr>
          <w:sz w:val="24"/>
          <w:szCs w:val="24"/>
        </w:rPr>
      </w:pPr>
    </w:p>
    <w:p w14:paraId="6E5EC016" w14:textId="1C0A972B" w:rsidR="00AC53A4" w:rsidRPr="00D05A71" w:rsidRDefault="00336E70" w:rsidP="00DA57D0">
      <w:pPr>
        <w:tabs>
          <w:tab w:val="left" w:pos="720"/>
        </w:tabs>
        <w:spacing w:line="360" w:lineRule="auto"/>
        <w:ind w:firstLine="1440"/>
        <w:rPr>
          <w:sz w:val="24"/>
          <w:szCs w:val="24"/>
        </w:rPr>
      </w:pPr>
      <w:r w:rsidRPr="00D05A71">
        <w:rPr>
          <w:sz w:val="24"/>
          <w:szCs w:val="24"/>
        </w:rPr>
        <w:t>Respondent is correct t</w:t>
      </w:r>
      <w:r w:rsidR="00AC53A4" w:rsidRPr="00D05A71">
        <w:rPr>
          <w:sz w:val="24"/>
          <w:szCs w:val="24"/>
        </w:rPr>
        <w:t xml:space="preserve">he Commission lacks jurisdiction over </w:t>
      </w:r>
      <w:r w:rsidRPr="00D05A71">
        <w:rPr>
          <w:sz w:val="24"/>
          <w:szCs w:val="24"/>
        </w:rPr>
        <w:t xml:space="preserve">ordering monetary </w:t>
      </w:r>
      <w:r w:rsidR="00AC53A4" w:rsidRPr="00D05A71">
        <w:rPr>
          <w:sz w:val="24"/>
          <w:szCs w:val="24"/>
        </w:rPr>
        <w:t>payment</w:t>
      </w:r>
      <w:r w:rsidRPr="00D05A71">
        <w:rPr>
          <w:sz w:val="24"/>
          <w:szCs w:val="24"/>
        </w:rPr>
        <w:t>s</w:t>
      </w:r>
      <w:r w:rsidR="00AC53A4" w:rsidRPr="00D05A71">
        <w:rPr>
          <w:sz w:val="24"/>
          <w:szCs w:val="24"/>
        </w:rPr>
        <w:t xml:space="preserve"> for damages suffered.  To the extent </w:t>
      </w:r>
      <w:r w:rsidR="00C52C32" w:rsidRPr="00D05A71">
        <w:rPr>
          <w:sz w:val="24"/>
          <w:szCs w:val="24"/>
        </w:rPr>
        <w:t>Complainants</w:t>
      </w:r>
      <w:r w:rsidR="00AC53A4" w:rsidRPr="00D05A71">
        <w:rPr>
          <w:sz w:val="24"/>
          <w:szCs w:val="24"/>
        </w:rPr>
        <w:t xml:space="preserve"> request</w:t>
      </w:r>
      <w:r w:rsidR="00C07F36" w:rsidRPr="00D05A71">
        <w:rPr>
          <w:sz w:val="24"/>
          <w:szCs w:val="24"/>
        </w:rPr>
        <w:t>s</w:t>
      </w:r>
      <w:r w:rsidR="00AC53A4" w:rsidRPr="00D05A71">
        <w:rPr>
          <w:sz w:val="24"/>
          <w:szCs w:val="24"/>
        </w:rPr>
        <w:t xml:space="preserve"> monetary damages, Respondent’s Preliminary Objections </w:t>
      </w:r>
      <w:r w:rsidR="00622F61" w:rsidRPr="00D05A71">
        <w:rPr>
          <w:sz w:val="24"/>
          <w:szCs w:val="24"/>
        </w:rPr>
        <w:t>will be</w:t>
      </w:r>
      <w:r w:rsidR="00AC53A4" w:rsidRPr="00D05A71">
        <w:rPr>
          <w:sz w:val="24"/>
          <w:szCs w:val="24"/>
        </w:rPr>
        <w:t xml:space="preserve"> granted and </w:t>
      </w:r>
      <w:r w:rsidR="00C52C32" w:rsidRPr="00D05A71">
        <w:rPr>
          <w:sz w:val="24"/>
          <w:szCs w:val="24"/>
        </w:rPr>
        <w:t>Complainants</w:t>
      </w:r>
      <w:r w:rsidR="000A64BD" w:rsidRPr="00D05A71">
        <w:rPr>
          <w:sz w:val="24"/>
          <w:szCs w:val="24"/>
        </w:rPr>
        <w:t>’</w:t>
      </w:r>
      <w:r w:rsidR="00AC53A4" w:rsidRPr="00D05A71">
        <w:rPr>
          <w:sz w:val="24"/>
          <w:szCs w:val="24"/>
        </w:rPr>
        <w:t xml:space="preserve"> request for money damages </w:t>
      </w:r>
      <w:r w:rsidR="00622F61" w:rsidRPr="00D05A71">
        <w:rPr>
          <w:sz w:val="24"/>
          <w:szCs w:val="24"/>
        </w:rPr>
        <w:t>will be</w:t>
      </w:r>
      <w:r w:rsidR="00AC53A4" w:rsidRPr="00D05A71">
        <w:rPr>
          <w:sz w:val="24"/>
          <w:szCs w:val="24"/>
        </w:rPr>
        <w:t xml:space="preserve"> dismissed in part without a hearing because this request is beyond the scope of the Commission’s jurisdiction.  </w:t>
      </w:r>
    </w:p>
    <w:p w14:paraId="43FC0BE5" w14:textId="77777777" w:rsidR="00AC53A4" w:rsidRPr="00D05A71" w:rsidRDefault="00AC53A4" w:rsidP="00DA57D0">
      <w:pPr>
        <w:spacing w:line="360" w:lineRule="auto"/>
        <w:rPr>
          <w:sz w:val="24"/>
          <w:szCs w:val="24"/>
        </w:rPr>
      </w:pPr>
    </w:p>
    <w:p w14:paraId="37612C6E" w14:textId="37902366" w:rsidR="00AC53A4" w:rsidRPr="00D05A71" w:rsidRDefault="00AC53A4" w:rsidP="00DA57D0">
      <w:pPr>
        <w:spacing w:line="360" w:lineRule="auto"/>
        <w:ind w:firstLine="1440"/>
        <w:rPr>
          <w:sz w:val="24"/>
          <w:szCs w:val="24"/>
        </w:rPr>
      </w:pPr>
      <w:r w:rsidRPr="00D05A71">
        <w:rPr>
          <w:sz w:val="24"/>
          <w:szCs w:val="24"/>
        </w:rPr>
        <w:t xml:space="preserve">However, the Commission retains jurisdiction over the </w:t>
      </w:r>
      <w:r w:rsidR="00336E70" w:rsidRPr="00D05A71">
        <w:rPr>
          <w:sz w:val="24"/>
          <w:szCs w:val="24"/>
        </w:rPr>
        <w:t>service</w:t>
      </w:r>
      <w:r w:rsidRPr="00D05A71">
        <w:rPr>
          <w:sz w:val="24"/>
          <w:szCs w:val="24"/>
        </w:rPr>
        <w:t xml:space="preserve"> allegation</w:t>
      </w:r>
      <w:r w:rsidR="00336E70" w:rsidRPr="00D05A71">
        <w:rPr>
          <w:sz w:val="24"/>
          <w:szCs w:val="24"/>
        </w:rPr>
        <w:t>s</w:t>
      </w:r>
      <w:r w:rsidR="000A64BD" w:rsidRPr="00D05A71">
        <w:rPr>
          <w:sz w:val="24"/>
          <w:szCs w:val="24"/>
        </w:rPr>
        <w:t>,</w:t>
      </w:r>
      <w:r w:rsidRPr="00D05A71">
        <w:rPr>
          <w:sz w:val="24"/>
          <w:szCs w:val="24"/>
        </w:rPr>
        <w:t xml:space="preserve"> which form the basis of </w:t>
      </w:r>
      <w:r w:rsidR="00C52C32" w:rsidRPr="00D05A71">
        <w:rPr>
          <w:sz w:val="24"/>
          <w:szCs w:val="24"/>
        </w:rPr>
        <w:t>Mr./Ms. Spence</w:t>
      </w:r>
      <w:r w:rsidR="00232DDC" w:rsidRPr="00D05A71">
        <w:rPr>
          <w:sz w:val="24"/>
          <w:szCs w:val="24"/>
        </w:rPr>
        <w:t>’s</w:t>
      </w:r>
      <w:r w:rsidRPr="00D05A71">
        <w:rPr>
          <w:sz w:val="24"/>
          <w:szCs w:val="24"/>
        </w:rPr>
        <w:t xml:space="preserve"> </w:t>
      </w:r>
      <w:r w:rsidR="00336E70" w:rsidRPr="00D05A71">
        <w:rPr>
          <w:sz w:val="24"/>
          <w:szCs w:val="24"/>
        </w:rPr>
        <w:t>Formal C</w:t>
      </w:r>
      <w:r w:rsidRPr="00D05A71">
        <w:rPr>
          <w:sz w:val="24"/>
          <w:szCs w:val="24"/>
        </w:rPr>
        <w:t xml:space="preserve">omplaint.  That portion of </w:t>
      </w:r>
      <w:r w:rsidR="00077BCD" w:rsidRPr="00D05A71">
        <w:rPr>
          <w:sz w:val="24"/>
          <w:szCs w:val="24"/>
        </w:rPr>
        <w:t>the Formal Complaint</w:t>
      </w:r>
      <w:r w:rsidRPr="00D05A71">
        <w:rPr>
          <w:sz w:val="24"/>
          <w:szCs w:val="24"/>
        </w:rPr>
        <w:t xml:space="preserve"> – which alleges Respondent </w:t>
      </w:r>
      <w:r w:rsidR="007F572E" w:rsidRPr="00D05A71">
        <w:rPr>
          <w:sz w:val="24"/>
          <w:szCs w:val="24"/>
        </w:rPr>
        <w:t>acted unreasonably and inadequately</w:t>
      </w:r>
      <w:r w:rsidR="000A64BD" w:rsidRPr="00D05A71">
        <w:rPr>
          <w:sz w:val="24"/>
          <w:szCs w:val="24"/>
        </w:rPr>
        <w:t xml:space="preserve"> resulting in </w:t>
      </w:r>
      <w:r w:rsidR="00622F61" w:rsidRPr="00D05A71">
        <w:rPr>
          <w:sz w:val="24"/>
          <w:szCs w:val="24"/>
        </w:rPr>
        <w:t xml:space="preserve">a </w:t>
      </w:r>
      <w:r w:rsidR="00336E70" w:rsidRPr="00D05A71">
        <w:rPr>
          <w:sz w:val="24"/>
          <w:szCs w:val="24"/>
        </w:rPr>
        <w:t>damaged driveway</w:t>
      </w:r>
      <w:r w:rsidR="00C07F36" w:rsidRPr="00D05A71">
        <w:rPr>
          <w:sz w:val="24"/>
          <w:szCs w:val="24"/>
        </w:rPr>
        <w:t xml:space="preserve"> </w:t>
      </w:r>
      <w:r w:rsidRPr="00D05A71">
        <w:rPr>
          <w:sz w:val="24"/>
          <w:szCs w:val="24"/>
        </w:rPr>
        <w:t>– remains a valid subject matter for consideration by the Commission.</w:t>
      </w:r>
      <w:r w:rsidR="00336E70" w:rsidRPr="00D05A71">
        <w:rPr>
          <w:sz w:val="24"/>
          <w:szCs w:val="24"/>
        </w:rPr>
        <w:t xml:space="preserve">  While the Commission cannot award monetary damages to Complainants, the Commission can determine if Respondent is responsible for the current condition of the driveway and, if so determined, Complainants can proceed to the local Court of Common Pleas to request monetary damages.</w:t>
      </w:r>
      <w:r w:rsidRPr="00D05A71">
        <w:rPr>
          <w:sz w:val="24"/>
          <w:szCs w:val="24"/>
        </w:rPr>
        <w:t xml:space="preserve">  </w:t>
      </w:r>
      <w:r w:rsidR="007F572E" w:rsidRPr="00D05A71">
        <w:rPr>
          <w:sz w:val="24"/>
          <w:szCs w:val="24"/>
        </w:rPr>
        <w:t>Additionally, if the C</w:t>
      </w:r>
      <w:r w:rsidR="00D05A71" w:rsidRPr="00D05A71">
        <w:rPr>
          <w:sz w:val="24"/>
          <w:szCs w:val="24"/>
        </w:rPr>
        <w:t>o</w:t>
      </w:r>
      <w:r w:rsidR="007F572E" w:rsidRPr="00D05A71">
        <w:rPr>
          <w:sz w:val="24"/>
          <w:szCs w:val="24"/>
        </w:rPr>
        <w:t>mmission determines Respondent failed to act reasonably and adequately, the Commission may determine a civil penalty is appropriate</w:t>
      </w:r>
      <w:r w:rsidR="00D05A71" w:rsidRPr="00D05A71">
        <w:rPr>
          <w:sz w:val="24"/>
          <w:szCs w:val="24"/>
        </w:rPr>
        <w:t>, given the circumstance.</w:t>
      </w:r>
      <w:r w:rsidRPr="00D05A71">
        <w:rPr>
          <w:sz w:val="24"/>
          <w:szCs w:val="24"/>
        </w:rPr>
        <w:t xml:space="preserve">  </w:t>
      </w:r>
    </w:p>
    <w:p w14:paraId="25F24271" w14:textId="77777777" w:rsidR="00AC53A4" w:rsidRPr="00D05A71" w:rsidRDefault="00AC53A4" w:rsidP="00DA57D0">
      <w:pPr>
        <w:spacing w:line="360" w:lineRule="auto"/>
        <w:rPr>
          <w:sz w:val="24"/>
          <w:szCs w:val="24"/>
          <w:u w:val="single"/>
        </w:rPr>
      </w:pPr>
    </w:p>
    <w:p w14:paraId="59EBB1A8" w14:textId="5C56A875" w:rsidR="00AC53A4" w:rsidRPr="00D05A71" w:rsidRDefault="00AC53A4" w:rsidP="00DA57D0">
      <w:pPr>
        <w:spacing w:line="360" w:lineRule="auto"/>
        <w:ind w:firstLine="1440"/>
        <w:rPr>
          <w:sz w:val="24"/>
          <w:szCs w:val="24"/>
        </w:rPr>
      </w:pPr>
      <w:r w:rsidRPr="00D05A71">
        <w:rPr>
          <w:sz w:val="24"/>
          <w:szCs w:val="24"/>
        </w:rPr>
        <w:lastRenderedPageBreak/>
        <w:t>This matter involves a complaint filed by</w:t>
      </w:r>
      <w:r w:rsidR="00C07F36" w:rsidRPr="00D05A71">
        <w:rPr>
          <w:sz w:val="24"/>
          <w:szCs w:val="24"/>
        </w:rPr>
        <w:t xml:space="preserve"> </w:t>
      </w:r>
      <w:r w:rsidRPr="00D05A71">
        <w:rPr>
          <w:i/>
          <w:sz w:val="24"/>
          <w:szCs w:val="24"/>
        </w:rPr>
        <w:t xml:space="preserve">pro se </w:t>
      </w:r>
      <w:r w:rsidRPr="00D05A71">
        <w:rPr>
          <w:sz w:val="24"/>
          <w:szCs w:val="24"/>
        </w:rPr>
        <w:t>individual</w:t>
      </w:r>
      <w:r w:rsidR="00336E70" w:rsidRPr="00D05A71">
        <w:rPr>
          <w:sz w:val="24"/>
          <w:szCs w:val="24"/>
        </w:rPr>
        <w:t>s</w:t>
      </w:r>
      <w:r w:rsidRPr="00D05A71">
        <w:rPr>
          <w:sz w:val="24"/>
          <w:szCs w:val="24"/>
        </w:rPr>
        <w:t xml:space="preserve"> who allege faulty </w:t>
      </w:r>
      <w:r w:rsidR="000A64BD" w:rsidRPr="00D05A71">
        <w:rPr>
          <w:sz w:val="24"/>
          <w:szCs w:val="24"/>
        </w:rPr>
        <w:t>customer service</w:t>
      </w:r>
      <w:r w:rsidRPr="00D05A71">
        <w:rPr>
          <w:sz w:val="24"/>
          <w:szCs w:val="24"/>
        </w:rPr>
        <w:t xml:space="preserve"> by </w:t>
      </w:r>
      <w:r w:rsidR="00C52C32" w:rsidRPr="00D05A71">
        <w:rPr>
          <w:sz w:val="24"/>
          <w:szCs w:val="24"/>
        </w:rPr>
        <w:t>PPL</w:t>
      </w:r>
      <w:r w:rsidRPr="00D05A71">
        <w:rPr>
          <w:sz w:val="24"/>
          <w:szCs w:val="24"/>
        </w:rPr>
        <w:t xml:space="preserve"> </w:t>
      </w:r>
      <w:r w:rsidR="00C07F36" w:rsidRPr="00D05A71">
        <w:rPr>
          <w:sz w:val="24"/>
          <w:szCs w:val="24"/>
        </w:rPr>
        <w:t>resulting in</w:t>
      </w:r>
      <w:r w:rsidR="00232DDC" w:rsidRPr="00D05A71">
        <w:rPr>
          <w:sz w:val="24"/>
          <w:szCs w:val="24"/>
        </w:rPr>
        <w:t xml:space="preserve"> damage, according to the complaint.  </w:t>
      </w:r>
      <w:r w:rsidRPr="00D05A71">
        <w:rPr>
          <w:sz w:val="24"/>
          <w:szCs w:val="24"/>
        </w:rPr>
        <w:t xml:space="preserve">The facts </w:t>
      </w:r>
      <w:r w:rsidR="00C07F36" w:rsidRPr="00D05A71">
        <w:rPr>
          <w:sz w:val="24"/>
          <w:szCs w:val="24"/>
        </w:rPr>
        <w:t xml:space="preserve">which </w:t>
      </w:r>
      <w:r w:rsidR="00C52C32" w:rsidRPr="00D05A71">
        <w:rPr>
          <w:sz w:val="24"/>
          <w:szCs w:val="24"/>
        </w:rPr>
        <w:t>Mr./Ms. Spence</w:t>
      </w:r>
      <w:r w:rsidRPr="00D05A71">
        <w:rPr>
          <w:sz w:val="24"/>
          <w:szCs w:val="24"/>
        </w:rPr>
        <w:t xml:space="preserve"> allege are sufficient to show</w:t>
      </w:r>
      <w:r w:rsidR="00C87D74" w:rsidRPr="00D05A71">
        <w:rPr>
          <w:sz w:val="24"/>
          <w:szCs w:val="24"/>
        </w:rPr>
        <w:t>,</w:t>
      </w:r>
      <w:r w:rsidRPr="00D05A71">
        <w:rPr>
          <w:sz w:val="24"/>
          <w:szCs w:val="24"/>
        </w:rPr>
        <w:t xml:space="preserve"> </w:t>
      </w:r>
      <w:r w:rsidR="00343B49" w:rsidRPr="00D05A71">
        <w:rPr>
          <w:sz w:val="24"/>
          <w:szCs w:val="24"/>
        </w:rPr>
        <w:t>if proven</w:t>
      </w:r>
      <w:r w:rsidR="00C87D74" w:rsidRPr="00D05A71">
        <w:rPr>
          <w:sz w:val="24"/>
          <w:szCs w:val="24"/>
        </w:rPr>
        <w:t>,</w:t>
      </w:r>
      <w:r w:rsidRPr="00D05A71">
        <w:rPr>
          <w:sz w:val="24"/>
          <w:szCs w:val="24"/>
        </w:rPr>
        <w:t xml:space="preserve"> </w:t>
      </w:r>
      <w:r w:rsidR="00343B49" w:rsidRPr="00D05A71">
        <w:rPr>
          <w:sz w:val="24"/>
          <w:szCs w:val="24"/>
        </w:rPr>
        <w:t xml:space="preserve">that </w:t>
      </w:r>
      <w:r w:rsidR="00C52C32" w:rsidRPr="00D05A71">
        <w:rPr>
          <w:sz w:val="24"/>
          <w:szCs w:val="24"/>
        </w:rPr>
        <w:t>PPL</w:t>
      </w:r>
      <w:r w:rsidRPr="00D05A71">
        <w:rPr>
          <w:sz w:val="24"/>
          <w:szCs w:val="24"/>
        </w:rPr>
        <w:t xml:space="preserve"> failed to provide reasonable and adequate customer service</w:t>
      </w:r>
      <w:r w:rsidR="000A64BD" w:rsidRPr="00D05A71">
        <w:rPr>
          <w:sz w:val="24"/>
          <w:szCs w:val="24"/>
        </w:rPr>
        <w:t xml:space="preserve"> </w:t>
      </w:r>
      <w:r w:rsidR="00343B49" w:rsidRPr="00D05A71">
        <w:rPr>
          <w:sz w:val="24"/>
          <w:szCs w:val="24"/>
        </w:rPr>
        <w:t xml:space="preserve">by failing to </w:t>
      </w:r>
      <w:r w:rsidR="00336E70" w:rsidRPr="00D05A71">
        <w:rPr>
          <w:sz w:val="24"/>
          <w:szCs w:val="24"/>
        </w:rPr>
        <w:t>correct damage caused when constructing the Subject Line</w:t>
      </w:r>
      <w:r w:rsidRPr="00D05A71">
        <w:rPr>
          <w:sz w:val="24"/>
          <w:szCs w:val="24"/>
        </w:rPr>
        <w:t xml:space="preserve">.  Whether </w:t>
      </w:r>
      <w:r w:rsidR="00C52C32" w:rsidRPr="00D05A71">
        <w:rPr>
          <w:sz w:val="24"/>
          <w:szCs w:val="24"/>
        </w:rPr>
        <w:t>Complainants</w:t>
      </w:r>
      <w:r w:rsidRPr="00D05A71">
        <w:rPr>
          <w:sz w:val="24"/>
          <w:szCs w:val="24"/>
        </w:rPr>
        <w:t xml:space="preserve"> can prove </w:t>
      </w:r>
      <w:r w:rsidR="000A64BD" w:rsidRPr="00D05A71">
        <w:rPr>
          <w:sz w:val="24"/>
          <w:szCs w:val="24"/>
        </w:rPr>
        <w:t>their</w:t>
      </w:r>
      <w:r w:rsidRPr="00D05A71">
        <w:rPr>
          <w:sz w:val="24"/>
          <w:szCs w:val="24"/>
        </w:rPr>
        <w:t xml:space="preserve"> allegation</w:t>
      </w:r>
      <w:r w:rsidR="000A64BD" w:rsidRPr="00D05A71">
        <w:rPr>
          <w:sz w:val="24"/>
          <w:szCs w:val="24"/>
        </w:rPr>
        <w:t>s</w:t>
      </w:r>
      <w:r w:rsidRPr="00D05A71">
        <w:rPr>
          <w:sz w:val="24"/>
          <w:szCs w:val="24"/>
        </w:rPr>
        <w:t xml:space="preserve"> is not material to the disposition of these Preliminary Objections.  When there is a </w:t>
      </w:r>
      <w:r w:rsidRPr="00D05A71">
        <w:rPr>
          <w:sz w:val="24"/>
          <w:szCs w:val="24"/>
          <w:u w:val="single"/>
        </w:rPr>
        <w:t>factual</w:t>
      </w:r>
      <w:r w:rsidRPr="00D05A71">
        <w:rPr>
          <w:sz w:val="24"/>
          <w:szCs w:val="24"/>
        </w:rPr>
        <w:t xml:space="preserve"> dispute concerning the </w:t>
      </w:r>
      <w:r w:rsidR="00336E70" w:rsidRPr="00D05A71">
        <w:rPr>
          <w:sz w:val="24"/>
          <w:szCs w:val="24"/>
        </w:rPr>
        <w:t>adequacy of</w:t>
      </w:r>
      <w:r w:rsidRPr="00D05A71">
        <w:rPr>
          <w:sz w:val="24"/>
          <w:szCs w:val="24"/>
        </w:rPr>
        <w:t xml:space="preserve"> the public utility’s services, the proceeding cannot be dismissed on the </w:t>
      </w:r>
      <w:r w:rsidR="00097FE9" w:rsidRPr="00D05A71">
        <w:rPr>
          <w:sz w:val="24"/>
          <w:szCs w:val="24"/>
        </w:rPr>
        <w:t>grounds that</w:t>
      </w:r>
      <w:r w:rsidRPr="00D05A71">
        <w:rPr>
          <w:sz w:val="24"/>
          <w:szCs w:val="24"/>
        </w:rPr>
        <w:t xml:space="preserve"> </w:t>
      </w:r>
      <w:r w:rsidR="00232DDC" w:rsidRPr="00D05A71">
        <w:rPr>
          <w:sz w:val="24"/>
          <w:szCs w:val="24"/>
        </w:rPr>
        <w:t>a complainant</w:t>
      </w:r>
      <w:r w:rsidRPr="00D05A71">
        <w:rPr>
          <w:sz w:val="24"/>
          <w:szCs w:val="24"/>
        </w:rPr>
        <w:t xml:space="preserve"> failed to allege an issue within the Commission’s jurisdiction</w:t>
      </w:r>
      <w:r w:rsidR="00343B49" w:rsidRPr="00D05A71">
        <w:rPr>
          <w:sz w:val="24"/>
          <w:szCs w:val="24"/>
        </w:rPr>
        <w:t xml:space="preserve">.  In fact, a complainant </w:t>
      </w:r>
      <w:r w:rsidR="00D05A71" w:rsidRPr="00D05A71">
        <w:rPr>
          <w:sz w:val="24"/>
          <w:szCs w:val="24"/>
        </w:rPr>
        <w:t>who</w:t>
      </w:r>
      <w:r w:rsidR="00343B49" w:rsidRPr="00D05A71">
        <w:rPr>
          <w:sz w:val="24"/>
          <w:szCs w:val="24"/>
        </w:rPr>
        <w:t xml:space="preserve"> alleges a public utility failed to provide adequate service </w:t>
      </w:r>
      <w:r w:rsidRPr="00D05A71">
        <w:rPr>
          <w:sz w:val="24"/>
          <w:szCs w:val="24"/>
          <w:u w:val="single"/>
        </w:rPr>
        <w:t>has</w:t>
      </w:r>
      <w:r w:rsidRPr="00D05A71">
        <w:rPr>
          <w:sz w:val="24"/>
          <w:szCs w:val="24"/>
        </w:rPr>
        <w:t xml:space="preserve"> alleged an issue</w:t>
      </w:r>
      <w:r w:rsidR="00343B49" w:rsidRPr="00D05A71">
        <w:rPr>
          <w:sz w:val="24"/>
          <w:szCs w:val="24"/>
        </w:rPr>
        <w:t xml:space="preserve"> within the Commission’s jurisdiction.  That issue – which remains herein – </w:t>
      </w:r>
      <w:r w:rsidR="00D05A71">
        <w:rPr>
          <w:sz w:val="24"/>
          <w:szCs w:val="24"/>
        </w:rPr>
        <w:t>concerns whether Respondent failed</w:t>
      </w:r>
      <w:r w:rsidR="00681EC0" w:rsidRPr="00D05A71">
        <w:rPr>
          <w:sz w:val="24"/>
          <w:szCs w:val="24"/>
        </w:rPr>
        <w:t xml:space="preserve"> to provide </w:t>
      </w:r>
      <w:r w:rsidR="00336E70" w:rsidRPr="00D05A71">
        <w:rPr>
          <w:sz w:val="24"/>
          <w:szCs w:val="24"/>
        </w:rPr>
        <w:t>adequate service when constructing the Subject Line starting in January 2022</w:t>
      </w:r>
      <w:r w:rsidRPr="00D05A71">
        <w:rPr>
          <w:sz w:val="24"/>
          <w:szCs w:val="24"/>
        </w:rPr>
        <w:t>.</w:t>
      </w:r>
    </w:p>
    <w:p w14:paraId="420B543F" w14:textId="77777777" w:rsidR="00AC53A4" w:rsidRPr="00D05A71" w:rsidRDefault="00AC53A4" w:rsidP="00DA57D0">
      <w:pPr>
        <w:widowControl w:val="0"/>
        <w:adjustRightInd w:val="0"/>
        <w:spacing w:line="360" w:lineRule="auto"/>
        <w:ind w:firstLine="1440"/>
        <w:rPr>
          <w:sz w:val="24"/>
          <w:szCs w:val="24"/>
        </w:rPr>
      </w:pPr>
    </w:p>
    <w:p w14:paraId="47ABC309" w14:textId="6E42DF19" w:rsidR="00AC53A4" w:rsidRPr="00D05A71" w:rsidRDefault="00110020" w:rsidP="00DA57D0">
      <w:pPr>
        <w:widowControl w:val="0"/>
        <w:adjustRightInd w:val="0"/>
        <w:spacing w:line="360" w:lineRule="auto"/>
        <w:ind w:firstLine="1440"/>
        <w:rPr>
          <w:color w:val="000000"/>
          <w:w w:val="106"/>
          <w:sz w:val="24"/>
          <w:szCs w:val="24"/>
        </w:rPr>
      </w:pPr>
      <w:r w:rsidRPr="00D05A71">
        <w:rPr>
          <w:sz w:val="24"/>
          <w:szCs w:val="24"/>
        </w:rPr>
        <w:t>A</w:t>
      </w:r>
      <w:r w:rsidR="00AC53A4" w:rsidRPr="00D05A71">
        <w:rPr>
          <w:color w:val="000000"/>
          <w:w w:val="106"/>
          <w:sz w:val="24"/>
          <w:szCs w:val="24"/>
        </w:rPr>
        <w:t xml:space="preserve">ccepting as true all well-pleaded facts in </w:t>
      </w:r>
      <w:r w:rsidR="00077BCD" w:rsidRPr="00D05A71">
        <w:rPr>
          <w:color w:val="000000"/>
          <w:w w:val="106"/>
          <w:sz w:val="24"/>
          <w:szCs w:val="24"/>
        </w:rPr>
        <w:t>the Formal Complaint</w:t>
      </w:r>
      <w:r w:rsidR="00AC53A4" w:rsidRPr="00D05A71">
        <w:rPr>
          <w:color w:val="000000"/>
          <w:w w:val="106"/>
          <w:sz w:val="24"/>
          <w:szCs w:val="24"/>
        </w:rPr>
        <w:t xml:space="preserve">, I find </w:t>
      </w:r>
      <w:r w:rsidR="00C52C32" w:rsidRPr="00D05A71">
        <w:rPr>
          <w:color w:val="000000"/>
          <w:w w:val="106"/>
          <w:sz w:val="24"/>
          <w:szCs w:val="24"/>
        </w:rPr>
        <w:t>Complainants</w:t>
      </w:r>
      <w:r w:rsidR="00AC53A4" w:rsidRPr="00D05A71">
        <w:rPr>
          <w:color w:val="000000"/>
          <w:w w:val="106"/>
          <w:sz w:val="24"/>
          <w:szCs w:val="24"/>
        </w:rPr>
        <w:t xml:space="preserve"> alleged sufficient facts that, </w:t>
      </w:r>
      <w:r w:rsidR="00AC53A4" w:rsidRPr="00D05A71">
        <w:rPr>
          <w:color w:val="000000"/>
          <w:w w:val="106"/>
          <w:sz w:val="24"/>
          <w:szCs w:val="24"/>
          <w:u w:val="single"/>
        </w:rPr>
        <w:t>if proven</w:t>
      </w:r>
      <w:r w:rsidR="00AC53A4" w:rsidRPr="00D05A71">
        <w:rPr>
          <w:color w:val="000000"/>
          <w:w w:val="106"/>
          <w:sz w:val="24"/>
          <w:szCs w:val="24"/>
        </w:rPr>
        <w:t xml:space="preserve">, would justify the issuance of an Initial Decision which finds </w:t>
      </w:r>
      <w:r w:rsidR="00C52C32" w:rsidRPr="00D05A71">
        <w:rPr>
          <w:color w:val="000000"/>
          <w:w w:val="106"/>
          <w:sz w:val="24"/>
          <w:szCs w:val="24"/>
        </w:rPr>
        <w:t>PPL</w:t>
      </w:r>
      <w:r w:rsidR="00AC53A4" w:rsidRPr="00D05A71">
        <w:rPr>
          <w:color w:val="000000"/>
          <w:w w:val="106"/>
          <w:sz w:val="24"/>
          <w:szCs w:val="24"/>
        </w:rPr>
        <w:t xml:space="preserve"> failed to provide</w:t>
      </w:r>
      <w:r w:rsidR="00681EC0" w:rsidRPr="00D05A71">
        <w:rPr>
          <w:color w:val="000000"/>
          <w:w w:val="106"/>
          <w:sz w:val="24"/>
          <w:szCs w:val="24"/>
        </w:rPr>
        <w:t xml:space="preserve"> </w:t>
      </w:r>
      <w:r w:rsidR="002107C2" w:rsidRPr="00D05A71">
        <w:rPr>
          <w:color w:val="000000"/>
          <w:w w:val="106"/>
          <w:sz w:val="24"/>
          <w:szCs w:val="24"/>
        </w:rPr>
        <w:t>reasonable and adequate</w:t>
      </w:r>
      <w:r w:rsidR="00681EC0" w:rsidRPr="00D05A71">
        <w:rPr>
          <w:color w:val="000000"/>
          <w:w w:val="106"/>
          <w:sz w:val="24"/>
          <w:szCs w:val="24"/>
        </w:rPr>
        <w:t xml:space="preserve"> service</w:t>
      </w:r>
      <w:r w:rsidR="00AC53A4" w:rsidRPr="00D05A71">
        <w:rPr>
          <w:color w:val="000000"/>
          <w:w w:val="106"/>
          <w:sz w:val="24"/>
          <w:szCs w:val="24"/>
        </w:rPr>
        <w:t xml:space="preserve">, in contravention to 66 </w:t>
      </w:r>
      <w:r w:rsidR="007768A0" w:rsidRPr="00D05A71">
        <w:rPr>
          <w:color w:val="000000"/>
          <w:w w:val="106"/>
          <w:sz w:val="24"/>
          <w:szCs w:val="24"/>
        </w:rPr>
        <w:t>Pa.C.S.</w:t>
      </w:r>
      <w:r w:rsidR="00AC53A4" w:rsidRPr="00D05A71">
        <w:rPr>
          <w:color w:val="000000"/>
          <w:w w:val="106"/>
          <w:sz w:val="24"/>
          <w:szCs w:val="24"/>
        </w:rPr>
        <w:t xml:space="preserve"> §</w:t>
      </w:r>
      <w:r w:rsidRPr="00D05A71">
        <w:rPr>
          <w:color w:val="000000"/>
          <w:w w:val="106"/>
          <w:sz w:val="24"/>
          <w:szCs w:val="24"/>
        </w:rPr>
        <w:t xml:space="preserve"> </w:t>
      </w:r>
      <w:r w:rsidR="00AC53A4" w:rsidRPr="00D05A71">
        <w:rPr>
          <w:color w:val="000000"/>
          <w:w w:val="106"/>
          <w:sz w:val="24"/>
          <w:szCs w:val="24"/>
        </w:rPr>
        <w:t xml:space="preserve">1501.  </w:t>
      </w:r>
      <w:r w:rsidR="002107C2" w:rsidRPr="00D05A71">
        <w:rPr>
          <w:color w:val="000000"/>
          <w:w w:val="106"/>
          <w:sz w:val="24"/>
          <w:szCs w:val="24"/>
        </w:rPr>
        <w:t xml:space="preserve">Furthermore, </w:t>
      </w:r>
      <w:r w:rsidR="002107C2" w:rsidRPr="00D05A71">
        <w:rPr>
          <w:sz w:val="24"/>
          <w:szCs w:val="24"/>
        </w:rPr>
        <w:t>pursuant to Section 501 of the Code, 66</w:t>
      </w:r>
      <w:r w:rsidR="00097FE9">
        <w:rPr>
          <w:sz w:val="24"/>
          <w:szCs w:val="24"/>
        </w:rPr>
        <w:t> </w:t>
      </w:r>
      <w:r w:rsidR="002107C2" w:rsidRPr="00D05A71">
        <w:rPr>
          <w:sz w:val="24"/>
          <w:szCs w:val="24"/>
        </w:rPr>
        <w:t>Pa.</w:t>
      </w:r>
      <w:r w:rsidR="00097FE9">
        <w:t> </w:t>
      </w:r>
      <w:r w:rsidR="002107C2" w:rsidRPr="00D05A71">
        <w:rPr>
          <w:sz w:val="24"/>
          <w:szCs w:val="24"/>
        </w:rPr>
        <w:t xml:space="preserve">C.S. § 501, the Commission must “enforce, execute and carry out, by its regulations, orders or otherwise” all the provisions of the Code, including ordering a utility to return to a work site to make repairs, if appropriate.  </w:t>
      </w:r>
      <w:r w:rsidR="00AC53A4" w:rsidRPr="00D05A71">
        <w:rPr>
          <w:color w:val="000000"/>
          <w:w w:val="106"/>
          <w:sz w:val="24"/>
          <w:szCs w:val="24"/>
        </w:rPr>
        <w:t xml:space="preserve">Therefore, there is </w:t>
      </w:r>
      <w:r w:rsidR="006E4E31" w:rsidRPr="00D05A71">
        <w:rPr>
          <w:color w:val="000000"/>
          <w:w w:val="106"/>
          <w:sz w:val="24"/>
          <w:szCs w:val="24"/>
        </w:rPr>
        <w:t xml:space="preserve">a </w:t>
      </w:r>
      <w:r w:rsidR="00AC53A4" w:rsidRPr="00D05A71">
        <w:rPr>
          <w:color w:val="000000"/>
          <w:w w:val="106"/>
          <w:sz w:val="24"/>
          <w:szCs w:val="24"/>
        </w:rPr>
        <w:t xml:space="preserve">sufficient basis to </w:t>
      </w:r>
      <w:r w:rsidR="006E4E31" w:rsidRPr="00D05A71">
        <w:rPr>
          <w:color w:val="000000"/>
          <w:w w:val="106"/>
          <w:sz w:val="24"/>
          <w:szCs w:val="24"/>
        </w:rPr>
        <w:t>provide</w:t>
      </w:r>
      <w:r w:rsidR="00AC53A4" w:rsidRPr="00D05A71">
        <w:rPr>
          <w:color w:val="000000"/>
          <w:w w:val="106"/>
          <w:sz w:val="24"/>
          <w:szCs w:val="24"/>
        </w:rPr>
        <w:t xml:space="preserve"> </w:t>
      </w:r>
      <w:r w:rsidR="00C52C32" w:rsidRPr="00D05A71">
        <w:rPr>
          <w:color w:val="000000"/>
          <w:w w:val="106"/>
          <w:sz w:val="24"/>
          <w:szCs w:val="24"/>
        </w:rPr>
        <w:t>Complainants</w:t>
      </w:r>
      <w:r w:rsidR="00AC53A4" w:rsidRPr="00D05A71">
        <w:rPr>
          <w:color w:val="000000"/>
          <w:w w:val="106"/>
          <w:sz w:val="24"/>
          <w:szCs w:val="24"/>
        </w:rPr>
        <w:t xml:space="preserve"> </w:t>
      </w:r>
      <w:r w:rsidR="006E4E31" w:rsidRPr="00D05A71">
        <w:rPr>
          <w:color w:val="000000"/>
          <w:w w:val="106"/>
          <w:sz w:val="24"/>
          <w:szCs w:val="24"/>
        </w:rPr>
        <w:t xml:space="preserve">with </w:t>
      </w:r>
      <w:r w:rsidR="00AC53A4" w:rsidRPr="00D05A71">
        <w:rPr>
          <w:color w:val="000000"/>
          <w:w w:val="106"/>
          <w:sz w:val="24"/>
          <w:szCs w:val="24"/>
        </w:rPr>
        <w:t xml:space="preserve">the opportunity to proceed with </w:t>
      </w:r>
      <w:r w:rsidR="00077BCD" w:rsidRPr="00D05A71">
        <w:rPr>
          <w:color w:val="000000"/>
          <w:w w:val="106"/>
          <w:sz w:val="24"/>
          <w:szCs w:val="24"/>
        </w:rPr>
        <w:t>the Formal Complaint</w:t>
      </w:r>
      <w:r w:rsidR="00AC53A4" w:rsidRPr="00D05A71">
        <w:rPr>
          <w:color w:val="000000"/>
          <w:w w:val="106"/>
          <w:sz w:val="24"/>
          <w:szCs w:val="24"/>
        </w:rPr>
        <w:t xml:space="preserve">, and an opportunity to present evidence, if any there is, which would support </w:t>
      </w:r>
      <w:r w:rsidRPr="00D05A71">
        <w:rPr>
          <w:color w:val="000000"/>
          <w:w w:val="106"/>
          <w:sz w:val="24"/>
          <w:szCs w:val="24"/>
        </w:rPr>
        <w:t>the</w:t>
      </w:r>
      <w:r w:rsidR="00AC53A4" w:rsidRPr="00D05A71">
        <w:rPr>
          <w:color w:val="000000"/>
          <w:w w:val="106"/>
          <w:sz w:val="24"/>
          <w:szCs w:val="24"/>
        </w:rPr>
        <w:t xml:space="preserve"> allegations.</w:t>
      </w:r>
    </w:p>
    <w:p w14:paraId="5E9CFBC5" w14:textId="77777777" w:rsidR="001B2791" w:rsidRPr="00D05A71" w:rsidRDefault="001B2791" w:rsidP="00DA57D0">
      <w:pPr>
        <w:widowControl w:val="0"/>
        <w:adjustRightInd w:val="0"/>
        <w:spacing w:line="360" w:lineRule="auto"/>
        <w:ind w:firstLine="1440"/>
        <w:rPr>
          <w:color w:val="000000"/>
          <w:w w:val="106"/>
          <w:sz w:val="24"/>
          <w:szCs w:val="24"/>
        </w:rPr>
      </w:pPr>
    </w:p>
    <w:p w14:paraId="3BF9461A" w14:textId="4E0EB07F" w:rsidR="001B2791" w:rsidRPr="00D05A71" w:rsidRDefault="001B2791" w:rsidP="00DA57D0">
      <w:pPr>
        <w:widowControl w:val="0"/>
        <w:adjustRightInd w:val="0"/>
        <w:spacing w:line="360" w:lineRule="auto"/>
        <w:ind w:firstLine="1440"/>
        <w:rPr>
          <w:color w:val="000000"/>
          <w:w w:val="106"/>
          <w:sz w:val="24"/>
          <w:szCs w:val="24"/>
        </w:rPr>
      </w:pPr>
      <w:r w:rsidRPr="00D05A71">
        <w:rPr>
          <w:color w:val="000000"/>
          <w:w w:val="106"/>
          <w:sz w:val="24"/>
          <w:szCs w:val="24"/>
        </w:rPr>
        <w:t xml:space="preserve">Finally, </w:t>
      </w:r>
      <w:r w:rsidR="00591F3A" w:rsidRPr="00D05A71">
        <w:rPr>
          <w:color w:val="000000"/>
          <w:w w:val="106"/>
          <w:sz w:val="24"/>
          <w:szCs w:val="24"/>
        </w:rPr>
        <w:t>Respondent alleges the Formal Complaint contains impertinent information about recent settlement negotiations.  The Formal Complaint contains a two-page addendum which purports to be a proposal to prepare and pave approximately 1,016 square feet of the driveway</w:t>
      </w:r>
      <w:r w:rsidR="00D05A71" w:rsidRPr="00D05A71">
        <w:rPr>
          <w:color w:val="000000"/>
          <w:w w:val="106"/>
          <w:sz w:val="24"/>
          <w:szCs w:val="24"/>
        </w:rPr>
        <w:t>.  U</w:t>
      </w:r>
      <w:r w:rsidR="009F2DD8" w:rsidRPr="00D05A71">
        <w:rPr>
          <w:color w:val="000000"/>
          <w:w w:val="106"/>
          <w:sz w:val="24"/>
          <w:szCs w:val="24"/>
        </w:rPr>
        <w:t xml:space="preserve">nder Requested Relief, Complainants allege Respondent made various statements about repair work and an offer to pay a sum of money towards the cost of repairs.  </w:t>
      </w:r>
      <w:r w:rsidR="002107C2" w:rsidRPr="00D05A71">
        <w:rPr>
          <w:color w:val="000000"/>
          <w:w w:val="106"/>
          <w:sz w:val="24"/>
          <w:szCs w:val="24"/>
        </w:rPr>
        <w:t>On August 8 and 10, 2023</w:t>
      </w:r>
      <w:r w:rsidR="00591F3A" w:rsidRPr="00D05A71">
        <w:rPr>
          <w:color w:val="000000"/>
          <w:w w:val="106"/>
          <w:sz w:val="24"/>
          <w:szCs w:val="24"/>
        </w:rPr>
        <w:t>, Complainants filed two set</w:t>
      </w:r>
      <w:r w:rsidR="00D05A71" w:rsidRPr="00D05A71">
        <w:rPr>
          <w:color w:val="000000"/>
          <w:w w:val="106"/>
          <w:sz w:val="24"/>
          <w:szCs w:val="24"/>
        </w:rPr>
        <w:t>s</w:t>
      </w:r>
      <w:r w:rsidR="00591F3A" w:rsidRPr="00D05A71">
        <w:rPr>
          <w:color w:val="000000"/>
          <w:w w:val="106"/>
          <w:sz w:val="24"/>
          <w:szCs w:val="24"/>
        </w:rPr>
        <w:t xml:space="preserve"> of supplementary documents</w:t>
      </w:r>
      <w:r w:rsidR="00654FCD" w:rsidRPr="00D05A71">
        <w:rPr>
          <w:color w:val="000000"/>
          <w:w w:val="106"/>
          <w:sz w:val="24"/>
          <w:szCs w:val="24"/>
        </w:rPr>
        <w:t xml:space="preserve">, </w:t>
      </w:r>
      <w:r w:rsidR="002107C2" w:rsidRPr="00D05A71">
        <w:rPr>
          <w:color w:val="000000"/>
          <w:w w:val="106"/>
          <w:sz w:val="24"/>
          <w:szCs w:val="24"/>
        </w:rPr>
        <w:t xml:space="preserve">which </w:t>
      </w:r>
      <w:r w:rsidR="00654FCD" w:rsidRPr="00D05A71">
        <w:rPr>
          <w:color w:val="000000"/>
          <w:w w:val="106"/>
          <w:sz w:val="24"/>
          <w:szCs w:val="24"/>
        </w:rPr>
        <w:t xml:space="preserve">contain emails and photographs of the driveway, respectively.  </w:t>
      </w:r>
    </w:p>
    <w:p w14:paraId="0D0B8F1C" w14:textId="77777777" w:rsidR="009F2DD8" w:rsidRPr="00D05A71" w:rsidRDefault="009F2DD8" w:rsidP="00DA57D0">
      <w:pPr>
        <w:widowControl w:val="0"/>
        <w:adjustRightInd w:val="0"/>
        <w:spacing w:line="360" w:lineRule="auto"/>
        <w:ind w:firstLine="1440"/>
        <w:rPr>
          <w:color w:val="000000"/>
          <w:w w:val="106"/>
          <w:sz w:val="24"/>
          <w:szCs w:val="24"/>
        </w:rPr>
      </w:pPr>
    </w:p>
    <w:p w14:paraId="35C09ACE" w14:textId="77777777" w:rsidR="00D05A71" w:rsidRPr="00D05A71" w:rsidRDefault="002107C2" w:rsidP="00DA57D0">
      <w:pPr>
        <w:widowControl w:val="0"/>
        <w:adjustRightInd w:val="0"/>
        <w:spacing w:line="360" w:lineRule="auto"/>
        <w:ind w:firstLine="1440"/>
        <w:rPr>
          <w:color w:val="000000"/>
          <w:w w:val="106"/>
          <w:sz w:val="24"/>
          <w:szCs w:val="24"/>
        </w:rPr>
      </w:pPr>
      <w:r w:rsidRPr="00D05A71">
        <w:rPr>
          <w:color w:val="000000"/>
          <w:w w:val="106"/>
          <w:sz w:val="24"/>
          <w:szCs w:val="24"/>
        </w:rPr>
        <w:lastRenderedPageBreak/>
        <w:t>First, t</w:t>
      </w:r>
      <w:r w:rsidR="009F2DD8" w:rsidRPr="00D05A71">
        <w:rPr>
          <w:color w:val="000000"/>
          <w:w w:val="106"/>
          <w:sz w:val="24"/>
          <w:szCs w:val="24"/>
        </w:rPr>
        <w:t>o the extent the Formal Complaint contains a statement that Respondent offered “to pay $6,000 towards the repair of the lane</w:t>
      </w:r>
      <w:r w:rsidR="00AE00DD" w:rsidRPr="00D05A71">
        <w:rPr>
          <w:color w:val="000000"/>
          <w:w w:val="106"/>
          <w:sz w:val="24"/>
          <w:szCs w:val="24"/>
        </w:rPr>
        <w:t xml:space="preserve">,” the quoted portion should be stricken from the Formal Complaint.  </w:t>
      </w:r>
    </w:p>
    <w:p w14:paraId="43A53C1F" w14:textId="77777777" w:rsidR="00D05A71" w:rsidRPr="00D05A71" w:rsidRDefault="00D05A71" w:rsidP="00DA57D0">
      <w:pPr>
        <w:widowControl w:val="0"/>
        <w:adjustRightInd w:val="0"/>
        <w:spacing w:line="360" w:lineRule="auto"/>
        <w:ind w:firstLine="1440"/>
        <w:rPr>
          <w:color w:val="000000"/>
          <w:w w:val="106"/>
          <w:sz w:val="24"/>
          <w:szCs w:val="24"/>
        </w:rPr>
      </w:pPr>
    </w:p>
    <w:p w14:paraId="693C5FDF" w14:textId="77777777" w:rsidR="00D05A71" w:rsidRPr="00D05A71" w:rsidRDefault="00FA2B46" w:rsidP="00DA57D0">
      <w:pPr>
        <w:widowControl w:val="0"/>
        <w:adjustRightInd w:val="0"/>
        <w:spacing w:line="360" w:lineRule="auto"/>
        <w:ind w:firstLine="1440"/>
        <w:rPr>
          <w:color w:val="000000"/>
          <w:w w:val="106"/>
          <w:sz w:val="24"/>
          <w:szCs w:val="24"/>
        </w:rPr>
      </w:pPr>
      <w:r w:rsidRPr="00D05A71">
        <w:rPr>
          <w:color w:val="000000"/>
          <w:w w:val="106"/>
          <w:sz w:val="24"/>
          <w:szCs w:val="24"/>
        </w:rPr>
        <w:t>Second, t</w:t>
      </w:r>
      <w:r w:rsidR="00AE00DD" w:rsidRPr="00D05A71">
        <w:rPr>
          <w:color w:val="000000"/>
          <w:w w:val="106"/>
          <w:sz w:val="24"/>
          <w:szCs w:val="24"/>
        </w:rPr>
        <w:t xml:space="preserve">o the extent the Formal Complaint specifies the bid estimate Complainants received and Respondent’s alleged statements - that it would not pay for repair costs or additional repair costs - those statements are not relevant but will not be stricken because they are claims by Respondent about what Respondent </w:t>
      </w:r>
      <w:r w:rsidR="00D05A71" w:rsidRPr="00D05A71">
        <w:rPr>
          <w:color w:val="000000"/>
          <w:w w:val="106"/>
          <w:sz w:val="24"/>
          <w:szCs w:val="24"/>
        </w:rPr>
        <w:t>would</w:t>
      </w:r>
      <w:r w:rsidR="00AE00DD" w:rsidRPr="00D05A71">
        <w:rPr>
          <w:color w:val="000000"/>
          <w:w w:val="106"/>
          <w:sz w:val="24"/>
          <w:szCs w:val="24"/>
        </w:rPr>
        <w:t xml:space="preserve"> </w:t>
      </w:r>
      <w:r w:rsidR="00AE00DD" w:rsidRPr="00D05A71">
        <w:rPr>
          <w:color w:val="000000"/>
          <w:w w:val="106"/>
          <w:sz w:val="24"/>
          <w:szCs w:val="24"/>
          <w:u w:val="single"/>
        </w:rPr>
        <w:t>not</w:t>
      </w:r>
      <w:r w:rsidR="00AE00DD" w:rsidRPr="00D05A71">
        <w:rPr>
          <w:color w:val="000000"/>
          <w:w w:val="106"/>
          <w:sz w:val="24"/>
          <w:szCs w:val="24"/>
        </w:rPr>
        <w:t xml:space="preserve"> offer to do.  </w:t>
      </w:r>
    </w:p>
    <w:p w14:paraId="6F8EE5FB" w14:textId="77777777" w:rsidR="00D05A71" w:rsidRPr="00D05A71" w:rsidRDefault="00D05A71" w:rsidP="00DA57D0">
      <w:pPr>
        <w:widowControl w:val="0"/>
        <w:adjustRightInd w:val="0"/>
        <w:spacing w:line="360" w:lineRule="auto"/>
        <w:ind w:firstLine="1440"/>
        <w:rPr>
          <w:color w:val="000000"/>
          <w:w w:val="106"/>
          <w:sz w:val="24"/>
          <w:szCs w:val="24"/>
        </w:rPr>
      </w:pPr>
    </w:p>
    <w:p w14:paraId="69E48A5D" w14:textId="4C36DB7B" w:rsidR="009F2DD8" w:rsidRPr="00D05A71" w:rsidRDefault="00FA2B46" w:rsidP="00DA57D0">
      <w:pPr>
        <w:widowControl w:val="0"/>
        <w:adjustRightInd w:val="0"/>
        <w:spacing w:line="360" w:lineRule="auto"/>
        <w:ind w:firstLine="1440"/>
        <w:rPr>
          <w:color w:val="000000"/>
          <w:w w:val="106"/>
          <w:sz w:val="24"/>
          <w:szCs w:val="24"/>
        </w:rPr>
      </w:pPr>
      <w:r w:rsidRPr="00D05A71">
        <w:rPr>
          <w:color w:val="000000"/>
          <w:w w:val="106"/>
          <w:sz w:val="24"/>
          <w:szCs w:val="24"/>
        </w:rPr>
        <w:t>Third</w:t>
      </w:r>
      <w:r w:rsidR="00163F25" w:rsidRPr="00D05A71">
        <w:rPr>
          <w:color w:val="000000"/>
          <w:w w:val="106"/>
          <w:sz w:val="24"/>
          <w:szCs w:val="24"/>
        </w:rPr>
        <w:t xml:space="preserve">, the supplemental material filed with the Commission on August 8, 2023 and August 10, 2023 are not stricken because they are </w:t>
      </w:r>
      <w:r w:rsidRPr="00D05A71">
        <w:rPr>
          <w:color w:val="000000"/>
          <w:w w:val="106"/>
          <w:sz w:val="24"/>
          <w:szCs w:val="24"/>
        </w:rPr>
        <w:t xml:space="preserve">merely documents Complainants filed and are </w:t>
      </w:r>
      <w:r w:rsidR="00163F25" w:rsidRPr="00D05A71">
        <w:rPr>
          <w:color w:val="000000"/>
          <w:w w:val="106"/>
          <w:sz w:val="24"/>
          <w:szCs w:val="24"/>
        </w:rPr>
        <w:t xml:space="preserve">not officially part of the hearing record.  If Complainants seek to admit the documents into evidence at the initial hearing, Respondent will </w:t>
      </w:r>
      <w:r w:rsidRPr="00D05A71">
        <w:rPr>
          <w:color w:val="000000"/>
          <w:w w:val="106"/>
          <w:sz w:val="24"/>
          <w:szCs w:val="24"/>
        </w:rPr>
        <w:t xml:space="preserve">have an opportunity </w:t>
      </w:r>
      <w:r w:rsidR="00D05A71" w:rsidRPr="00D05A71">
        <w:rPr>
          <w:color w:val="000000"/>
          <w:w w:val="106"/>
          <w:sz w:val="24"/>
          <w:szCs w:val="24"/>
        </w:rPr>
        <w:t xml:space="preserve">at the hearing </w:t>
      </w:r>
      <w:r w:rsidR="00163F25" w:rsidRPr="00D05A71">
        <w:rPr>
          <w:color w:val="000000"/>
          <w:w w:val="106"/>
          <w:sz w:val="24"/>
          <w:szCs w:val="24"/>
        </w:rPr>
        <w:t>to raise any relevant</w:t>
      </w:r>
      <w:r w:rsidRPr="00D05A71">
        <w:rPr>
          <w:color w:val="000000"/>
          <w:w w:val="106"/>
          <w:sz w:val="24"/>
          <w:szCs w:val="24"/>
        </w:rPr>
        <w:t xml:space="preserve"> objection to</w:t>
      </w:r>
      <w:r w:rsidR="00163F25" w:rsidRPr="00D05A71">
        <w:rPr>
          <w:color w:val="000000"/>
          <w:w w:val="106"/>
          <w:sz w:val="24"/>
          <w:szCs w:val="24"/>
        </w:rPr>
        <w:t xml:space="preserve"> the admission of that material on any appropriate grounds.</w:t>
      </w:r>
    </w:p>
    <w:p w14:paraId="14CF34C3" w14:textId="77777777" w:rsidR="00034EAC" w:rsidRPr="00D05A71" w:rsidRDefault="00034EAC" w:rsidP="00DA57D0">
      <w:pPr>
        <w:spacing w:line="360" w:lineRule="auto"/>
        <w:rPr>
          <w:sz w:val="24"/>
          <w:szCs w:val="24"/>
        </w:rPr>
      </w:pPr>
    </w:p>
    <w:p w14:paraId="029D23CF" w14:textId="3DF0AE81" w:rsidR="002B7DB0" w:rsidRPr="00D05A71" w:rsidRDefault="00FB4DC9" w:rsidP="00DA57D0">
      <w:pPr>
        <w:spacing w:line="360" w:lineRule="auto"/>
        <w:ind w:firstLine="1440"/>
        <w:rPr>
          <w:sz w:val="24"/>
          <w:szCs w:val="24"/>
        </w:rPr>
      </w:pPr>
      <w:r w:rsidRPr="00D05A71">
        <w:rPr>
          <w:sz w:val="24"/>
          <w:szCs w:val="24"/>
        </w:rPr>
        <w:t xml:space="preserve">The preliminary objections will be </w:t>
      </w:r>
      <w:r w:rsidR="004E415F" w:rsidRPr="00D05A71">
        <w:rPr>
          <w:sz w:val="24"/>
          <w:szCs w:val="24"/>
        </w:rPr>
        <w:t xml:space="preserve">granted </w:t>
      </w:r>
      <w:r w:rsidR="00C2748B" w:rsidRPr="00D05A71">
        <w:rPr>
          <w:sz w:val="24"/>
          <w:szCs w:val="24"/>
        </w:rPr>
        <w:t xml:space="preserve">in part </w:t>
      </w:r>
      <w:r w:rsidR="00753B6C" w:rsidRPr="00D05A71">
        <w:rPr>
          <w:sz w:val="24"/>
          <w:szCs w:val="24"/>
        </w:rPr>
        <w:t xml:space="preserve">and denied in part in the Ordering Paragraphs below.  Following the issuance of this Interim Order, the proceeding will </w:t>
      </w:r>
      <w:r w:rsidR="006E4E31" w:rsidRPr="00D05A71">
        <w:rPr>
          <w:sz w:val="24"/>
          <w:szCs w:val="24"/>
        </w:rPr>
        <w:t xml:space="preserve">proceed to </w:t>
      </w:r>
      <w:r w:rsidR="001B2791" w:rsidRPr="00D05A71">
        <w:rPr>
          <w:sz w:val="24"/>
          <w:szCs w:val="24"/>
        </w:rPr>
        <w:t>an</w:t>
      </w:r>
      <w:r w:rsidR="006E4E31" w:rsidRPr="00D05A71">
        <w:rPr>
          <w:sz w:val="24"/>
          <w:szCs w:val="24"/>
        </w:rPr>
        <w:t xml:space="preserve"> initial hearin</w:t>
      </w:r>
      <w:r w:rsidR="001B2791" w:rsidRPr="00D05A71">
        <w:rPr>
          <w:sz w:val="24"/>
          <w:szCs w:val="24"/>
        </w:rPr>
        <w:t>g</w:t>
      </w:r>
      <w:r w:rsidR="00753B6C" w:rsidRPr="00D05A71">
        <w:rPr>
          <w:sz w:val="24"/>
          <w:szCs w:val="24"/>
        </w:rPr>
        <w:t xml:space="preserve">.  </w:t>
      </w:r>
    </w:p>
    <w:p w14:paraId="7CDD599B" w14:textId="6592ED0B" w:rsidR="00DD03BE" w:rsidRPr="00D05A71" w:rsidRDefault="00DD03BE" w:rsidP="00DA57D0">
      <w:pPr>
        <w:autoSpaceDE/>
        <w:autoSpaceDN/>
        <w:spacing w:line="360" w:lineRule="auto"/>
        <w:rPr>
          <w:sz w:val="24"/>
          <w:szCs w:val="24"/>
          <w:u w:val="single"/>
        </w:rPr>
      </w:pPr>
    </w:p>
    <w:p w14:paraId="617370CC" w14:textId="51030B82" w:rsidR="008E10A2" w:rsidRPr="00D05A71" w:rsidRDefault="008E10A2" w:rsidP="00DA57D0">
      <w:pPr>
        <w:spacing w:line="360" w:lineRule="auto"/>
        <w:jc w:val="center"/>
        <w:rPr>
          <w:sz w:val="24"/>
          <w:szCs w:val="24"/>
        </w:rPr>
      </w:pPr>
      <w:r w:rsidRPr="00D05A71">
        <w:rPr>
          <w:sz w:val="24"/>
          <w:szCs w:val="24"/>
          <w:u w:val="single"/>
        </w:rPr>
        <w:t>CONCLUSIONS OF LAW</w:t>
      </w:r>
    </w:p>
    <w:p w14:paraId="24BB2F95" w14:textId="77777777" w:rsidR="008E10A2" w:rsidRPr="00D05A71" w:rsidRDefault="008E10A2" w:rsidP="00DA57D0">
      <w:pPr>
        <w:spacing w:line="360" w:lineRule="auto"/>
        <w:rPr>
          <w:sz w:val="24"/>
          <w:szCs w:val="24"/>
        </w:rPr>
      </w:pPr>
    </w:p>
    <w:p w14:paraId="3C1D4012" w14:textId="77777777" w:rsidR="008E10A2" w:rsidRPr="00D05A71" w:rsidRDefault="008E10A2" w:rsidP="00DA57D0">
      <w:pPr>
        <w:numPr>
          <w:ilvl w:val="0"/>
          <w:numId w:val="2"/>
        </w:numPr>
        <w:autoSpaceDE/>
        <w:autoSpaceDN/>
        <w:spacing w:line="360" w:lineRule="auto"/>
        <w:rPr>
          <w:sz w:val="24"/>
          <w:szCs w:val="24"/>
        </w:rPr>
      </w:pPr>
      <w:r w:rsidRPr="00D05A71">
        <w:rPr>
          <w:sz w:val="24"/>
          <w:szCs w:val="24"/>
        </w:rPr>
        <w:t>The Commission has jurisdiction over the parties to this dispute.</w:t>
      </w:r>
    </w:p>
    <w:p w14:paraId="492FBD51" w14:textId="77777777" w:rsidR="00E5005B" w:rsidRPr="00D05A71" w:rsidRDefault="00E5005B" w:rsidP="00DA57D0">
      <w:pPr>
        <w:spacing w:line="360" w:lineRule="auto"/>
        <w:rPr>
          <w:sz w:val="24"/>
          <w:szCs w:val="24"/>
        </w:rPr>
      </w:pPr>
    </w:p>
    <w:p w14:paraId="477EB0E8" w14:textId="3B9D5F72" w:rsidR="00E5005B" w:rsidRPr="00D05A71" w:rsidRDefault="00E5005B" w:rsidP="00DA57D0">
      <w:pPr>
        <w:spacing w:line="360" w:lineRule="auto"/>
        <w:ind w:firstLine="1440"/>
        <w:rPr>
          <w:sz w:val="24"/>
          <w:szCs w:val="24"/>
        </w:rPr>
      </w:pPr>
      <w:r w:rsidRPr="00D05A71">
        <w:rPr>
          <w:sz w:val="24"/>
          <w:szCs w:val="24"/>
        </w:rPr>
        <w:t>2.</w:t>
      </w:r>
      <w:r w:rsidRPr="00D05A71">
        <w:rPr>
          <w:sz w:val="24"/>
          <w:szCs w:val="24"/>
        </w:rPr>
        <w:tab/>
        <w:t xml:space="preserve">The Commission has jurisdiction over the subject matter of this dispute to the extent the complaint involves allegations of a failure by Respondent to provide </w:t>
      </w:r>
      <w:r w:rsidR="00C52C32" w:rsidRPr="00D05A71">
        <w:rPr>
          <w:color w:val="000000"/>
          <w:w w:val="106"/>
          <w:sz w:val="24"/>
          <w:szCs w:val="24"/>
        </w:rPr>
        <w:t>Complainants</w:t>
      </w:r>
      <w:r w:rsidRPr="00D05A71">
        <w:rPr>
          <w:color w:val="000000"/>
          <w:w w:val="106"/>
          <w:sz w:val="24"/>
          <w:szCs w:val="24"/>
        </w:rPr>
        <w:t xml:space="preserve"> with reasonable and adequate customer service, pursuant to 66 </w:t>
      </w:r>
      <w:r w:rsidR="007768A0" w:rsidRPr="00D05A71">
        <w:rPr>
          <w:color w:val="000000"/>
          <w:w w:val="106"/>
          <w:sz w:val="24"/>
          <w:szCs w:val="24"/>
        </w:rPr>
        <w:t>Pa.C.S.</w:t>
      </w:r>
      <w:r w:rsidRPr="00D05A71">
        <w:rPr>
          <w:color w:val="000000"/>
          <w:w w:val="106"/>
          <w:sz w:val="24"/>
          <w:szCs w:val="24"/>
        </w:rPr>
        <w:t xml:space="preserve"> §</w:t>
      </w:r>
      <w:r w:rsidR="00097FE9">
        <w:rPr>
          <w:color w:val="000000"/>
          <w:w w:val="106"/>
          <w:sz w:val="24"/>
          <w:szCs w:val="24"/>
        </w:rPr>
        <w:t> </w:t>
      </w:r>
      <w:r w:rsidRPr="00D05A71">
        <w:rPr>
          <w:color w:val="000000"/>
          <w:w w:val="106"/>
          <w:sz w:val="24"/>
          <w:szCs w:val="24"/>
        </w:rPr>
        <w:t>1501.</w:t>
      </w:r>
    </w:p>
    <w:p w14:paraId="62557E02" w14:textId="77777777" w:rsidR="008E10A2" w:rsidRPr="00D05A71" w:rsidRDefault="008E10A2" w:rsidP="00DA57D0">
      <w:pPr>
        <w:spacing w:line="360" w:lineRule="auto"/>
        <w:rPr>
          <w:sz w:val="24"/>
          <w:szCs w:val="24"/>
        </w:rPr>
      </w:pPr>
    </w:p>
    <w:p w14:paraId="09710641" w14:textId="53AA4A91" w:rsidR="002107C2" w:rsidRPr="00D05A71" w:rsidRDefault="00E5005B" w:rsidP="00DA57D0">
      <w:pPr>
        <w:spacing w:line="360" w:lineRule="auto"/>
        <w:ind w:firstLine="1440"/>
        <w:rPr>
          <w:color w:val="000000"/>
          <w:w w:val="106"/>
          <w:sz w:val="24"/>
          <w:szCs w:val="24"/>
        </w:rPr>
      </w:pPr>
      <w:r w:rsidRPr="00D05A71">
        <w:rPr>
          <w:color w:val="000000"/>
          <w:w w:val="106"/>
          <w:sz w:val="24"/>
          <w:szCs w:val="24"/>
        </w:rPr>
        <w:lastRenderedPageBreak/>
        <w:t xml:space="preserve">3. </w:t>
      </w:r>
      <w:r w:rsidRPr="00D05A71">
        <w:rPr>
          <w:color w:val="000000"/>
          <w:w w:val="106"/>
          <w:sz w:val="24"/>
          <w:szCs w:val="24"/>
        </w:rPr>
        <w:tab/>
      </w:r>
      <w:r w:rsidR="002107C2" w:rsidRPr="00D05A71">
        <w:rPr>
          <w:sz w:val="24"/>
          <w:szCs w:val="24"/>
        </w:rPr>
        <w:t xml:space="preserve">Pursuant to Section 501 of the Code, 66 Pa. C.S.A. §501, the Commission must “enforce, execute and carry out, by its regulations, orders or otherwise” all the provisions of the Code.  </w:t>
      </w:r>
    </w:p>
    <w:p w14:paraId="1A8DF986" w14:textId="77777777" w:rsidR="002107C2" w:rsidRPr="00D05A71" w:rsidRDefault="002107C2" w:rsidP="00DA57D0">
      <w:pPr>
        <w:spacing w:line="360" w:lineRule="auto"/>
        <w:ind w:firstLine="1440"/>
        <w:rPr>
          <w:color w:val="000000"/>
          <w:w w:val="106"/>
          <w:sz w:val="24"/>
          <w:szCs w:val="24"/>
        </w:rPr>
      </w:pPr>
    </w:p>
    <w:p w14:paraId="6B56DE9C" w14:textId="419F41C4" w:rsidR="008E10A2" w:rsidRPr="00D05A71" w:rsidRDefault="002107C2" w:rsidP="00DA57D0">
      <w:pPr>
        <w:spacing w:line="360" w:lineRule="auto"/>
        <w:ind w:firstLine="1440"/>
        <w:rPr>
          <w:sz w:val="24"/>
          <w:szCs w:val="24"/>
        </w:rPr>
      </w:pPr>
      <w:r w:rsidRPr="00D05A71">
        <w:rPr>
          <w:sz w:val="24"/>
          <w:szCs w:val="24"/>
        </w:rPr>
        <w:t xml:space="preserve">4. </w:t>
      </w:r>
      <w:r w:rsidRPr="00D05A71">
        <w:rPr>
          <w:sz w:val="24"/>
          <w:szCs w:val="24"/>
        </w:rPr>
        <w:tab/>
      </w:r>
      <w:r w:rsidR="008E10A2" w:rsidRPr="00D05A71">
        <w:rPr>
          <w:sz w:val="24"/>
          <w:szCs w:val="24"/>
        </w:rPr>
        <w:t>The formal complaint raise</w:t>
      </w:r>
      <w:r w:rsidR="00C21C8A" w:rsidRPr="00D05A71">
        <w:rPr>
          <w:sz w:val="24"/>
          <w:szCs w:val="24"/>
        </w:rPr>
        <w:t>s</w:t>
      </w:r>
      <w:r w:rsidR="008E10A2" w:rsidRPr="00D05A71">
        <w:rPr>
          <w:sz w:val="24"/>
          <w:szCs w:val="24"/>
        </w:rPr>
        <w:t xml:space="preserve"> a claim that, if proven, would show </w:t>
      </w:r>
      <w:r w:rsidR="00681EC0" w:rsidRPr="00D05A71">
        <w:rPr>
          <w:sz w:val="24"/>
          <w:szCs w:val="24"/>
        </w:rPr>
        <w:t>Respondent</w:t>
      </w:r>
      <w:r w:rsidR="008E10A2" w:rsidRPr="00D05A71">
        <w:rPr>
          <w:sz w:val="24"/>
          <w:szCs w:val="24"/>
        </w:rPr>
        <w:t xml:space="preserve"> failed in </w:t>
      </w:r>
      <w:r w:rsidR="007369E5" w:rsidRPr="00D05A71">
        <w:rPr>
          <w:sz w:val="24"/>
          <w:szCs w:val="24"/>
        </w:rPr>
        <w:t>some</w:t>
      </w:r>
      <w:r w:rsidR="008E10A2" w:rsidRPr="00D05A71">
        <w:rPr>
          <w:sz w:val="24"/>
          <w:szCs w:val="24"/>
        </w:rPr>
        <w:t xml:space="preserve"> way to furnish reasonable </w:t>
      </w:r>
      <w:r w:rsidR="00AE00DD" w:rsidRPr="00D05A71">
        <w:rPr>
          <w:sz w:val="24"/>
          <w:szCs w:val="24"/>
        </w:rPr>
        <w:t xml:space="preserve">and adequate </w:t>
      </w:r>
      <w:r w:rsidR="008E10A2" w:rsidRPr="00D05A71">
        <w:rPr>
          <w:sz w:val="24"/>
          <w:szCs w:val="24"/>
        </w:rPr>
        <w:t>service</w:t>
      </w:r>
      <w:r w:rsidR="00C21C8A" w:rsidRPr="00D05A71">
        <w:rPr>
          <w:sz w:val="24"/>
          <w:szCs w:val="24"/>
        </w:rPr>
        <w:t>, pursuant to 66</w:t>
      </w:r>
      <w:r w:rsidR="00097FE9">
        <w:rPr>
          <w:sz w:val="24"/>
          <w:szCs w:val="24"/>
        </w:rPr>
        <w:t> </w:t>
      </w:r>
      <w:r w:rsidR="007768A0" w:rsidRPr="00D05A71">
        <w:rPr>
          <w:sz w:val="24"/>
          <w:szCs w:val="24"/>
        </w:rPr>
        <w:t>Pa.C.S.</w:t>
      </w:r>
      <w:r w:rsidR="00C21C8A" w:rsidRPr="00D05A71">
        <w:rPr>
          <w:sz w:val="24"/>
          <w:szCs w:val="24"/>
        </w:rPr>
        <w:t xml:space="preserve"> § 1501</w:t>
      </w:r>
      <w:r w:rsidR="008E10A2" w:rsidRPr="00D05A71">
        <w:rPr>
          <w:sz w:val="24"/>
          <w:szCs w:val="24"/>
        </w:rPr>
        <w:t xml:space="preserve">.  </w:t>
      </w:r>
    </w:p>
    <w:p w14:paraId="7EA6EEAB" w14:textId="77777777" w:rsidR="008E10A2" w:rsidRPr="00D05A71" w:rsidRDefault="008E10A2" w:rsidP="00DA57D0">
      <w:pPr>
        <w:spacing w:line="360" w:lineRule="auto"/>
        <w:ind w:left="1440"/>
        <w:rPr>
          <w:sz w:val="24"/>
          <w:szCs w:val="24"/>
        </w:rPr>
      </w:pPr>
    </w:p>
    <w:p w14:paraId="651F1AD1" w14:textId="420D011D" w:rsidR="00D54B7B" w:rsidRPr="00D05A71" w:rsidRDefault="002107C2" w:rsidP="00DA57D0">
      <w:pPr>
        <w:spacing w:line="360" w:lineRule="auto"/>
        <w:ind w:firstLine="1440"/>
        <w:rPr>
          <w:sz w:val="24"/>
          <w:szCs w:val="24"/>
        </w:rPr>
      </w:pPr>
      <w:r w:rsidRPr="00D05A71">
        <w:rPr>
          <w:sz w:val="24"/>
          <w:szCs w:val="24"/>
        </w:rPr>
        <w:t>5.</w:t>
      </w:r>
      <w:r w:rsidR="00D54B7B" w:rsidRPr="00D05A71">
        <w:rPr>
          <w:sz w:val="24"/>
          <w:szCs w:val="24"/>
        </w:rPr>
        <w:tab/>
        <w:t>A preliminary objection in civil practice seeking dismissal of a pleading will be granted only where relief is clearly warranted and free from doubt</w:t>
      </w:r>
      <w:r w:rsidR="00C21C8A" w:rsidRPr="00D05A71">
        <w:rPr>
          <w:sz w:val="24"/>
          <w:szCs w:val="24"/>
        </w:rPr>
        <w:t xml:space="preserve"> and only if the moving party prevails as a matter of law</w:t>
      </w:r>
      <w:r w:rsidR="00D54B7B" w:rsidRPr="00D05A71">
        <w:rPr>
          <w:sz w:val="24"/>
          <w:szCs w:val="24"/>
        </w:rPr>
        <w:t xml:space="preserve">.  </w:t>
      </w:r>
      <w:r w:rsidR="00D54B7B" w:rsidRPr="00097FE9">
        <w:rPr>
          <w:i/>
          <w:iCs/>
          <w:sz w:val="24"/>
          <w:szCs w:val="24"/>
        </w:rPr>
        <w:t>Interstate Travel</w:t>
      </w:r>
      <w:r w:rsidR="000C319B" w:rsidRPr="00097FE9">
        <w:rPr>
          <w:i/>
          <w:iCs/>
          <w:sz w:val="24"/>
          <w:szCs w:val="24"/>
        </w:rPr>
        <w:t>l</w:t>
      </w:r>
      <w:r w:rsidR="00D54B7B" w:rsidRPr="00097FE9">
        <w:rPr>
          <w:i/>
          <w:iCs/>
          <w:sz w:val="24"/>
          <w:szCs w:val="24"/>
        </w:rPr>
        <w:t>er Services, Inc. v. Pa. Dept. of Environmental Resources</w:t>
      </w:r>
      <w:r w:rsidR="00C21C8A" w:rsidRPr="00D05A71">
        <w:rPr>
          <w:sz w:val="24"/>
          <w:szCs w:val="24"/>
        </w:rPr>
        <w:t xml:space="preserve">, 406 A.2d 1020 (Pa. 1979); and </w:t>
      </w:r>
      <w:r w:rsidR="00C21C8A" w:rsidRPr="00097FE9">
        <w:rPr>
          <w:i/>
          <w:iCs/>
          <w:sz w:val="24"/>
          <w:szCs w:val="24"/>
        </w:rPr>
        <w:t>Roc v. Flaherty</w:t>
      </w:r>
      <w:r w:rsidR="00C21C8A" w:rsidRPr="00D05A71">
        <w:rPr>
          <w:sz w:val="24"/>
          <w:szCs w:val="24"/>
        </w:rPr>
        <w:t>, 527 A.2d 211 (Pa.Cmwlth. 1985).</w:t>
      </w:r>
    </w:p>
    <w:p w14:paraId="1EF348FD" w14:textId="7643E4B4" w:rsidR="00DD03BE" w:rsidRPr="00D05A71" w:rsidRDefault="00DD03BE" w:rsidP="00DA57D0">
      <w:pPr>
        <w:spacing w:line="360" w:lineRule="auto"/>
        <w:ind w:firstLine="1440"/>
        <w:rPr>
          <w:sz w:val="24"/>
          <w:szCs w:val="24"/>
        </w:rPr>
      </w:pPr>
    </w:p>
    <w:p w14:paraId="45502311" w14:textId="325A4BD1" w:rsidR="00DD03BE" w:rsidRPr="00D05A71" w:rsidRDefault="002107C2" w:rsidP="00097FE9">
      <w:pPr>
        <w:spacing w:line="360" w:lineRule="auto"/>
        <w:ind w:firstLine="1440"/>
        <w:rPr>
          <w:sz w:val="24"/>
          <w:szCs w:val="24"/>
        </w:rPr>
      </w:pPr>
      <w:r w:rsidRPr="00D05A71">
        <w:rPr>
          <w:sz w:val="24"/>
          <w:szCs w:val="24"/>
        </w:rPr>
        <w:t>6</w:t>
      </w:r>
      <w:r w:rsidR="00DD03BE" w:rsidRPr="00D05A71">
        <w:rPr>
          <w:sz w:val="24"/>
          <w:szCs w:val="24"/>
        </w:rPr>
        <w:t xml:space="preserve">. </w:t>
      </w:r>
      <w:r w:rsidR="00DD03BE" w:rsidRPr="00D05A71">
        <w:rPr>
          <w:sz w:val="24"/>
          <w:szCs w:val="24"/>
        </w:rPr>
        <w:tab/>
        <w:t xml:space="preserve">The Commission does not have jurisdiction over claims for </w:t>
      </w:r>
      <w:r w:rsidR="00AE00DD" w:rsidRPr="00D05A71">
        <w:rPr>
          <w:sz w:val="24"/>
          <w:szCs w:val="24"/>
        </w:rPr>
        <w:t xml:space="preserve">monetary </w:t>
      </w:r>
      <w:r w:rsidR="00DD03BE" w:rsidRPr="00D05A71">
        <w:rPr>
          <w:sz w:val="24"/>
          <w:szCs w:val="24"/>
        </w:rPr>
        <w:t>damages.  66</w:t>
      </w:r>
      <w:r w:rsidR="000C319B" w:rsidRPr="00D05A71">
        <w:rPr>
          <w:sz w:val="24"/>
          <w:szCs w:val="24"/>
        </w:rPr>
        <w:t> </w:t>
      </w:r>
      <w:r w:rsidR="007768A0" w:rsidRPr="00D05A71">
        <w:rPr>
          <w:sz w:val="24"/>
          <w:szCs w:val="24"/>
        </w:rPr>
        <w:t>Pa.C.S.</w:t>
      </w:r>
      <w:r w:rsidR="00DD03BE" w:rsidRPr="00D05A71">
        <w:rPr>
          <w:sz w:val="24"/>
          <w:szCs w:val="24"/>
        </w:rPr>
        <w:t xml:space="preserve"> § 101, et seq.; </w:t>
      </w:r>
      <w:r w:rsidR="00DD03BE" w:rsidRPr="00097FE9">
        <w:rPr>
          <w:i/>
          <w:iCs/>
          <w:sz w:val="24"/>
          <w:szCs w:val="24"/>
        </w:rPr>
        <w:t>Behrend v. Bell Telephone Co.,</w:t>
      </w:r>
      <w:r w:rsidR="00DD03BE" w:rsidRPr="00D05A71">
        <w:rPr>
          <w:sz w:val="24"/>
          <w:szCs w:val="24"/>
        </w:rPr>
        <w:t xml:space="preserve"> 363 A.2d 1152 (1976).  </w:t>
      </w:r>
    </w:p>
    <w:p w14:paraId="25A9C295" w14:textId="2E5E1693" w:rsidR="00DD03BE" w:rsidRPr="00D05A71" w:rsidRDefault="00DD03BE" w:rsidP="00DA57D0">
      <w:pPr>
        <w:spacing w:line="360" w:lineRule="auto"/>
        <w:ind w:firstLine="1440"/>
        <w:rPr>
          <w:sz w:val="24"/>
          <w:szCs w:val="24"/>
        </w:rPr>
      </w:pPr>
    </w:p>
    <w:p w14:paraId="4E290C5A" w14:textId="2D2CB1C9" w:rsidR="00D54B7B" w:rsidRPr="00D05A71" w:rsidRDefault="002107C2" w:rsidP="00DA57D0">
      <w:pPr>
        <w:spacing w:line="360" w:lineRule="auto"/>
        <w:ind w:firstLine="1440"/>
        <w:rPr>
          <w:sz w:val="24"/>
          <w:szCs w:val="24"/>
        </w:rPr>
      </w:pPr>
      <w:r w:rsidRPr="00D05A71">
        <w:rPr>
          <w:sz w:val="24"/>
          <w:szCs w:val="24"/>
        </w:rPr>
        <w:t>7</w:t>
      </w:r>
      <w:r w:rsidR="00D54B7B" w:rsidRPr="00D05A71">
        <w:rPr>
          <w:sz w:val="24"/>
          <w:szCs w:val="24"/>
        </w:rPr>
        <w:t>.</w:t>
      </w:r>
      <w:r w:rsidR="00D54B7B" w:rsidRPr="00D05A71">
        <w:rPr>
          <w:sz w:val="24"/>
          <w:szCs w:val="24"/>
        </w:rPr>
        <w:tab/>
        <w:t xml:space="preserve">Section 703 of the Public Utility Code, 66 </w:t>
      </w:r>
      <w:r w:rsidR="007768A0" w:rsidRPr="00D05A71">
        <w:rPr>
          <w:sz w:val="24"/>
          <w:szCs w:val="24"/>
        </w:rPr>
        <w:t>Pa.C.S.</w:t>
      </w:r>
      <w:r w:rsidR="00D54B7B" w:rsidRPr="00D05A71">
        <w:rPr>
          <w:sz w:val="24"/>
          <w:szCs w:val="24"/>
        </w:rPr>
        <w:t xml:space="preserve"> § 703(b), provides that the Commission may dismiss any complaint without a hearing if, in its opinion, a hearing is not necessary in the public interest.  </w:t>
      </w:r>
    </w:p>
    <w:p w14:paraId="17CBB96E" w14:textId="77777777" w:rsidR="00E5005B" w:rsidRPr="00D05A71" w:rsidRDefault="00E5005B" w:rsidP="00DA57D0">
      <w:pPr>
        <w:spacing w:line="360" w:lineRule="auto"/>
        <w:ind w:firstLine="1440"/>
        <w:rPr>
          <w:sz w:val="24"/>
          <w:szCs w:val="24"/>
        </w:rPr>
      </w:pPr>
    </w:p>
    <w:p w14:paraId="3ED2B976" w14:textId="5E6C90F7" w:rsidR="00343B49" w:rsidRPr="00D05A71" w:rsidRDefault="002107C2" w:rsidP="00DA57D0">
      <w:pPr>
        <w:spacing w:line="360" w:lineRule="auto"/>
        <w:ind w:firstLine="1440"/>
        <w:rPr>
          <w:sz w:val="24"/>
          <w:szCs w:val="24"/>
        </w:rPr>
      </w:pPr>
      <w:r w:rsidRPr="00D05A71">
        <w:rPr>
          <w:sz w:val="24"/>
          <w:szCs w:val="24"/>
        </w:rPr>
        <w:t>8</w:t>
      </w:r>
      <w:r w:rsidR="00E5005B" w:rsidRPr="00D05A71">
        <w:rPr>
          <w:sz w:val="24"/>
          <w:szCs w:val="24"/>
        </w:rPr>
        <w:t>.</w:t>
      </w:r>
      <w:r w:rsidR="00E5005B" w:rsidRPr="00D05A71">
        <w:rPr>
          <w:sz w:val="24"/>
          <w:szCs w:val="24"/>
        </w:rPr>
        <w:tab/>
        <w:t xml:space="preserve">A hearing in this matter is necessary </w:t>
      </w:r>
      <w:r w:rsidR="006D377A" w:rsidRPr="00D05A71">
        <w:rPr>
          <w:sz w:val="24"/>
          <w:szCs w:val="24"/>
        </w:rPr>
        <w:t>to</w:t>
      </w:r>
      <w:r w:rsidR="00E5005B" w:rsidRPr="00D05A71">
        <w:rPr>
          <w:sz w:val="24"/>
          <w:szCs w:val="24"/>
        </w:rPr>
        <w:t xml:space="preserve"> the public interest.</w:t>
      </w:r>
    </w:p>
    <w:p w14:paraId="7029880E" w14:textId="20F2DBC5" w:rsidR="00D05A71" w:rsidRDefault="00D05A71" w:rsidP="00DA57D0">
      <w:pPr>
        <w:autoSpaceDE/>
        <w:autoSpaceDN/>
        <w:spacing w:line="360" w:lineRule="auto"/>
        <w:rPr>
          <w:sz w:val="24"/>
          <w:szCs w:val="24"/>
          <w:u w:val="single"/>
        </w:rPr>
      </w:pPr>
    </w:p>
    <w:p w14:paraId="4F37C8A6" w14:textId="77777777" w:rsidR="00097FE9" w:rsidRDefault="00097FE9" w:rsidP="00DA57D0">
      <w:pPr>
        <w:autoSpaceDE/>
        <w:autoSpaceDN/>
        <w:spacing w:line="360" w:lineRule="auto"/>
        <w:rPr>
          <w:sz w:val="24"/>
          <w:szCs w:val="24"/>
          <w:u w:val="single"/>
        </w:rPr>
      </w:pPr>
    </w:p>
    <w:p w14:paraId="2A137FE9" w14:textId="77777777" w:rsidR="00097FE9" w:rsidRDefault="00097FE9" w:rsidP="00DA57D0">
      <w:pPr>
        <w:autoSpaceDE/>
        <w:autoSpaceDN/>
        <w:spacing w:line="360" w:lineRule="auto"/>
        <w:rPr>
          <w:sz w:val="24"/>
          <w:szCs w:val="24"/>
          <w:u w:val="single"/>
        </w:rPr>
      </w:pPr>
    </w:p>
    <w:p w14:paraId="3D92C089" w14:textId="77777777" w:rsidR="00097FE9" w:rsidRDefault="00097FE9" w:rsidP="00DA57D0">
      <w:pPr>
        <w:autoSpaceDE/>
        <w:autoSpaceDN/>
        <w:spacing w:line="360" w:lineRule="auto"/>
        <w:rPr>
          <w:sz w:val="24"/>
          <w:szCs w:val="24"/>
          <w:u w:val="single"/>
        </w:rPr>
      </w:pPr>
    </w:p>
    <w:p w14:paraId="59EB379F" w14:textId="77777777" w:rsidR="00097FE9" w:rsidRDefault="00097FE9" w:rsidP="00DA57D0">
      <w:pPr>
        <w:autoSpaceDE/>
        <w:autoSpaceDN/>
        <w:spacing w:line="360" w:lineRule="auto"/>
        <w:rPr>
          <w:sz w:val="24"/>
          <w:szCs w:val="24"/>
          <w:u w:val="single"/>
        </w:rPr>
      </w:pPr>
    </w:p>
    <w:p w14:paraId="32A4B6AC" w14:textId="77777777" w:rsidR="00097FE9" w:rsidRDefault="00097FE9" w:rsidP="00DA57D0">
      <w:pPr>
        <w:autoSpaceDE/>
        <w:autoSpaceDN/>
        <w:spacing w:line="360" w:lineRule="auto"/>
        <w:rPr>
          <w:sz w:val="24"/>
          <w:szCs w:val="24"/>
          <w:u w:val="single"/>
        </w:rPr>
      </w:pPr>
    </w:p>
    <w:p w14:paraId="58BDE86A" w14:textId="77777777" w:rsidR="00097FE9" w:rsidRDefault="00097FE9" w:rsidP="00DA57D0">
      <w:pPr>
        <w:autoSpaceDE/>
        <w:autoSpaceDN/>
        <w:spacing w:line="360" w:lineRule="auto"/>
        <w:rPr>
          <w:sz w:val="24"/>
          <w:szCs w:val="24"/>
          <w:u w:val="single"/>
        </w:rPr>
      </w:pPr>
    </w:p>
    <w:p w14:paraId="323197DE" w14:textId="77777777" w:rsidR="00097FE9" w:rsidRDefault="00097FE9" w:rsidP="00DA57D0">
      <w:pPr>
        <w:autoSpaceDE/>
        <w:autoSpaceDN/>
        <w:spacing w:line="360" w:lineRule="auto"/>
        <w:rPr>
          <w:sz w:val="24"/>
          <w:szCs w:val="24"/>
          <w:u w:val="single"/>
        </w:rPr>
      </w:pPr>
    </w:p>
    <w:p w14:paraId="7F29DFD3" w14:textId="77777777" w:rsidR="00097FE9" w:rsidRPr="00D05A71" w:rsidRDefault="00097FE9" w:rsidP="00DA57D0">
      <w:pPr>
        <w:autoSpaceDE/>
        <w:autoSpaceDN/>
        <w:spacing w:line="360" w:lineRule="auto"/>
        <w:rPr>
          <w:sz w:val="24"/>
          <w:szCs w:val="24"/>
          <w:u w:val="single"/>
        </w:rPr>
      </w:pPr>
    </w:p>
    <w:p w14:paraId="32FA9302" w14:textId="5819C864" w:rsidR="00921D8C" w:rsidRPr="00D05A71" w:rsidRDefault="00921D8C" w:rsidP="00DA57D0">
      <w:pPr>
        <w:spacing w:line="360" w:lineRule="auto"/>
        <w:jc w:val="center"/>
        <w:outlineLvl w:val="0"/>
        <w:rPr>
          <w:sz w:val="24"/>
          <w:szCs w:val="24"/>
          <w:u w:val="single"/>
        </w:rPr>
      </w:pPr>
      <w:r w:rsidRPr="00D05A71">
        <w:rPr>
          <w:sz w:val="24"/>
          <w:szCs w:val="24"/>
          <w:u w:val="single"/>
        </w:rPr>
        <w:lastRenderedPageBreak/>
        <w:t>ORDER</w:t>
      </w:r>
    </w:p>
    <w:p w14:paraId="0FFAB7B2" w14:textId="77777777" w:rsidR="00343B49" w:rsidRDefault="00343B49" w:rsidP="00DA57D0">
      <w:pPr>
        <w:spacing w:line="360" w:lineRule="auto"/>
        <w:ind w:firstLine="1440"/>
        <w:rPr>
          <w:sz w:val="24"/>
          <w:szCs w:val="24"/>
        </w:rPr>
      </w:pPr>
    </w:p>
    <w:p w14:paraId="3A99B47B" w14:textId="77777777" w:rsidR="00097FE9" w:rsidRPr="00D05A71" w:rsidRDefault="00097FE9" w:rsidP="00DA57D0">
      <w:pPr>
        <w:spacing w:line="360" w:lineRule="auto"/>
        <w:ind w:firstLine="1440"/>
        <w:rPr>
          <w:sz w:val="24"/>
          <w:szCs w:val="24"/>
        </w:rPr>
      </w:pPr>
    </w:p>
    <w:p w14:paraId="2BB5260A" w14:textId="77777777" w:rsidR="00921D8C" w:rsidRPr="00D05A71" w:rsidRDefault="00921D8C" w:rsidP="00DA57D0">
      <w:pPr>
        <w:spacing w:line="360" w:lineRule="auto"/>
        <w:ind w:firstLine="1440"/>
        <w:rPr>
          <w:sz w:val="24"/>
          <w:szCs w:val="24"/>
        </w:rPr>
      </w:pPr>
      <w:r w:rsidRPr="00D05A71">
        <w:rPr>
          <w:sz w:val="24"/>
          <w:szCs w:val="24"/>
        </w:rPr>
        <w:t>THEREFORE,</w:t>
      </w:r>
    </w:p>
    <w:p w14:paraId="5F8115F0" w14:textId="77777777" w:rsidR="00921D8C" w:rsidRPr="00D05A71" w:rsidRDefault="00921D8C" w:rsidP="00DA57D0">
      <w:pPr>
        <w:spacing w:line="360" w:lineRule="auto"/>
        <w:ind w:firstLine="1440"/>
        <w:rPr>
          <w:sz w:val="24"/>
          <w:szCs w:val="24"/>
        </w:rPr>
      </w:pPr>
    </w:p>
    <w:p w14:paraId="76337CE3" w14:textId="77777777" w:rsidR="00921D8C" w:rsidRPr="00D05A71" w:rsidRDefault="00921D8C" w:rsidP="00DA57D0">
      <w:pPr>
        <w:spacing w:line="360" w:lineRule="auto"/>
        <w:ind w:firstLine="1440"/>
        <w:outlineLvl w:val="0"/>
        <w:rPr>
          <w:sz w:val="24"/>
          <w:szCs w:val="24"/>
        </w:rPr>
      </w:pPr>
      <w:r w:rsidRPr="00D05A71">
        <w:rPr>
          <w:sz w:val="24"/>
          <w:szCs w:val="24"/>
        </w:rPr>
        <w:t>IT IS ORDERED:</w:t>
      </w:r>
    </w:p>
    <w:p w14:paraId="304B1577" w14:textId="77777777" w:rsidR="00921D8C" w:rsidRPr="00D05A71" w:rsidRDefault="00921D8C" w:rsidP="00DA57D0">
      <w:pPr>
        <w:spacing w:line="360" w:lineRule="auto"/>
        <w:ind w:firstLine="1440"/>
        <w:rPr>
          <w:sz w:val="24"/>
          <w:szCs w:val="24"/>
        </w:rPr>
      </w:pPr>
    </w:p>
    <w:p w14:paraId="4B833997" w14:textId="058D2048" w:rsidR="00921D8C" w:rsidRPr="00D05A71" w:rsidRDefault="00921D8C" w:rsidP="00DA57D0">
      <w:pPr>
        <w:spacing w:line="360" w:lineRule="auto"/>
        <w:ind w:firstLine="1440"/>
        <w:rPr>
          <w:sz w:val="24"/>
          <w:szCs w:val="24"/>
        </w:rPr>
      </w:pPr>
      <w:r w:rsidRPr="00D05A71">
        <w:rPr>
          <w:sz w:val="24"/>
          <w:szCs w:val="24"/>
        </w:rPr>
        <w:t>1.</w:t>
      </w:r>
      <w:r w:rsidRPr="00D05A71">
        <w:rPr>
          <w:sz w:val="24"/>
          <w:szCs w:val="24"/>
        </w:rPr>
        <w:tab/>
        <w:t xml:space="preserve">That the Preliminary Objections filed by </w:t>
      </w:r>
      <w:r w:rsidR="00C52C32" w:rsidRPr="00D05A71">
        <w:rPr>
          <w:sz w:val="24"/>
          <w:szCs w:val="24"/>
        </w:rPr>
        <w:t>PPL Electric Utilities Corporation</w:t>
      </w:r>
      <w:r w:rsidR="00343B49" w:rsidRPr="00D05A71">
        <w:rPr>
          <w:sz w:val="24"/>
          <w:szCs w:val="24"/>
        </w:rPr>
        <w:t>,</w:t>
      </w:r>
      <w:r w:rsidRPr="00D05A71">
        <w:rPr>
          <w:sz w:val="24"/>
          <w:szCs w:val="24"/>
        </w:rPr>
        <w:t xml:space="preserve"> in the </w:t>
      </w:r>
      <w:r w:rsidR="00C21C8A" w:rsidRPr="00D05A71">
        <w:rPr>
          <w:sz w:val="24"/>
          <w:szCs w:val="24"/>
        </w:rPr>
        <w:t xml:space="preserve">complaint of </w:t>
      </w:r>
      <w:r w:rsidR="00C52C32" w:rsidRPr="00D05A71">
        <w:rPr>
          <w:sz w:val="24"/>
          <w:szCs w:val="24"/>
        </w:rPr>
        <w:t>Daniel and Kimberly Spence</w:t>
      </w:r>
      <w:r w:rsidR="00C21C8A" w:rsidRPr="00D05A71">
        <w:rPr>
          <w:sz w:val="24"/>
          <w:szCs w:val="24"/>
        </w:rPr>
        <w:t xml:space="preserve"> </w:t>
      </w:r>
      <w:r w:rsidR="00343B49" w:rsidRPr="00D05A71">
        <w:rPr>
          <w:sz w:val="24"/>
          <w:szCs w:val="24"/>
        </w:rPr>
        <w:t>v.</w:t>
      </w:r>
      <w:r w:rsidR="00622F61" w:rsidRPr="00D05A71">
        <w:rPr>
          <w:sz w:val="24"/>
          <w:szCs w:val="24"/>
        </w:rPr>
        <w:t xml:space="preserve"> </w:t>
      </w:r>
      <w:r w:rsidR="00C52C32" w:rsidRPr="00D05A71">
        <w:rPr>
          <w:sz w:val="24"/>
          <w:szCs w:val="24"/>
        </w:rPr>
        <w:t>PPL Electric Utilities Corporation</w:t>
      </w:r>
      <w:r w:rsidR="000F757B" w:rsidRPr="00D05A71">
        <w:rPr>
          <w:sz w:val="24"/>
          <w:szCs w:val="24"/>
        </w:rPr>
        <w:t xml:space="preserve"> </w:t>
      </w:r>
      <w:r w:rsidR="00C21C8A" w:rsidRPr="00D05A71">
        <w:rPr>
          <w:sz w:val="24"/>
          <w:szCs w:val="24"/>
        </w:rPr>
        <w:t xml:space="preserve">at Docket No. </w:t>
      </w:r>
      <w:r w:rsidR="00AE00DD" w:rsidRPr="00D05A71">
        <w:rPr>
          <w:sz w:val="24"/>
          <w:szCs w:val="24"/>
        </w:rPr>
        <w:t>C-2023-3042094</w:t>
      </w:r>
      <w:r w:rsidR="00343B49" w:rsidRPr="00D05A71">
        <w:rPr>
          <w:sz w:val="24"/>
          <w:szCs w:val="24"/>
        </w:rPr>
        <w:t>,</w:t>
      </w:r>
      <w:r w:rsidR="000F757B" w:rsidRPr="00D05A71">
        <w:rPr>
          <w:sz w:val="24"/>
          <w:szCs w:val="24"/>
        </w:rPr>
        <w:t xml:space="preserve"> </w:t>
      </w:r>
      <w:r w:rsidR="00804BA9" w:rsidRPr="00D05A71">
        <w:rPr>
          <w:sz w:val="24"/>
          <w:szCs w:val="24"/>
        </w:rPr>
        <w:t xml:space="preserve">are </w:t>
      </w:r>
      <w:r w:rsidR="001840F6" w:rsidRPr="00D05A71">
        <w:rPr>
          <w:sz w:val="24"/>
          <w:szCs w:val="24"/>
        </w:rPr>
        <w:t xml:space="preserve">granted in part and </w:t>
      </w:r>
      <w:r w:rsidR="00C21C8A" w:rsidRPr="00D05A71">
        <w:rPr>
          <w:sz w:val="24"/>
          <w:szCs w:val="24"/>
        </w:rPr>
        <w:t>denied</w:t>
      </w:r>
      <w:r w:rsidR="001840F6" w:rsidRPr="00D05A71">
        <w:rPr>
          <w:sz w:val="24"/>
          <w:szCs w:val="24"/>
        </w:rPr>
        <w:t xml:space="preserve"> in part</w:t>
      </w:r>
      <w:r w:rsidRPr="00D05A71">
        <w:rPr>
          <w:sz w:val="24"/>
          <w:szCs w:val="24"/>
        </w:rPr>
        <w:t>.</w:t>
      </w:r>
    </w:p>
    <w:p w14:paraId="37675264" w14:textId="43352EB6" w:rsidR="00FE114E" w:rsidRPr="00D05A71" w:rsidRDefault="00FE114E" w:rsidP="00DA57D0">
      <w:pPr>
        <w:spacing w:line="360" w:lineRule="auto"/>
        <w:ind w:firstLine="1440"/>
        <w:rPr>
          <w:sz w:val="24"/>
          <w:szCs w:val="24"/>
        </w:rPr>
      </w:pPr>
    </w:p>
    <w:p w14:paraId="6A4DCB8A" w14:textId="5E196575" w:rsidR="00FE114E" w:rsidRPr="00D05A71" w:rsidRDefault="00FE114E" w:rsidP="00DA57D0">
      <w:pPr>
        <w:pStyle w:val="ListParagraph"/>
        <w:numPr>
          <w:ilvl w:val="0"/>
          <w:numId w:val="2"/>
        </w:numPr>
        <w:tabs>
          <w:tab w:val="clear" w:pos="2160"/>
          <w:tab w:val="num" w:pos="1440"/>
        </w:tabs>
        <w:spacing w:line="360" w:lineRule="auto"/>
        <w:ind w:left="0" w:firstLine="1530"/>
        <w:rPr>
          <w:sz w:val="24"/>
          <w:szCs w:val="24"/>
        </w:rPr>
      </w:pPr>
      <w:r w:rsidRPr="00D05A71">
        <w:rPr>
          <w:sz w:val="24"/>
          <w:szCs w:val="24"/>
        </w:rPr>
        <w:t>That the claim</w:t>
      </w:r>
      <w:r w:rsidR="00343B49" w:rsidRPr="00D05A71">
        <w:rPr>
          <w:sz w:val="24"/>
          <w:szCs w:val="24"/>
        </w:rPr>
        <w:t xml:space="preserve"> concerning a request for monetary damages</w:t>
      </w:r>
      <w:r w:rsidRPr="00D05A71">
        <w:rPr>
          <w:sz w:val="24"/>
          <w:szCs w:val="24"/>
        </w:rPr>
        <w:t xml:space="preserve"> in </w:t>
      </w:r>
      <w:r w:rsidR="00077BCD" w:rsidRPr="00D05A71">
        <w:rPr>
          <w:sz w:val="24"/>
          <w:szCs w:val="24"/>
        </w:rPr>
        <w:t>the Formal Complaint</w:t>
      </w:r>
      <w:r w:rsidRPr="00D05A71">
        <w:rPr>
          <w:sz w:val="24"/>
          <w:szCs w:val="24"/>
        </w:rPr>
        <w:t xml:space="preserve"> of </w:t>
      </w:r>
      <w:r w:rsidR="00C52C32" w:rsidRPr="00D05A71">
        <w:rPr>
          <w:sz w:val="24"/>
          <w:szCs w:val="24"/>
        </w:rPr>
        <w:t>Daniel and Kimberly Spence</w:t>
      </w:r>
      <w:r w:rsidR="006D377A" w:rsidRPr="00D05A71">
        <w:rPr>
          <w:sz w:val="24"/>
          <w:szCs w:val="24"/>
        </w:rPr>
        <w:t xml:space="preserve"> </w:t>
      </w:r>
      <w:r w:rsidR="00343B49" w:rsidRPr="00D05A71">
        <w:rPr>
          <w:sz w:val="24"/>
          <w:szCs w:val="24"/>
        </w:rPr>
        <w:t>v.</w:t>
      </w:r>
      <w:r w:rsidR="006D377A" w:rsidRPr="00D05A71">
        <w:rPr>
          <w:sz w:val="24"/>
          <w:szCs w:val="24"/>
        </w:rPr>
        <w:t xml:space="preserve"> </w:t>
      </w:r>
      <w:r w:rsidR="00C52C32" w:rsidRPr="00D05A71">
        <w:rPr>
          <w:sz w:val="24"/>
          <w:szCs w:val="24"/>
        </w:rPr>
        <w:t>PPL Electric Utilities Corporation</w:t>
      </w:r>
      <w:r w:rsidR="006D377A" w:rsidRPr="00D05A71">
        <w:rPr>
          <w:sz w:val="24"/>
          <w:szCs w:val="24"/>
        </w:rPr>
        <w:t xml:space="preserve"> at Docket No. </w:t>
      </w:r>
      <w:r w:rsidR="00AE00DD" w:rsidRPr="00D05A71">
        <w:rPr>
          <w:sz w:val="24"/>
          <w:szCs w:val="24"/>
        </w:rPr>
        <w:t>C-2023-3042094</w:t>
      </w:r>
      <w:r w:rsidR="00343B49" w:rsidRPr="00D05A71">
        <w:rPr>
          <w:sz w:val="24"/>
          <w:szCs w:val="24"/>
        </w:rPr>
        <w:t xml:space="preserve"> </w:t>
      </w:r>
      <w:r w:rsidRPr="00D05A71">
        <w:rPr>
          <w:sz w:val="24"/>
          <w:szCs w:val="24"/>
        </w:rPr>
        <w:t xml:space="preserve">will be dismissed.  </w:t>
      </w:r>
    </w:p>
    <w:p w14:paraId="04453B03" w14:textId="77777777" w:rsidR="00C21C8A" w:rsidRPr="00D05A71" w:rsidRDefault="00C21C8A" w:rsidP="00DA57D0">
      <w:pPr>
        <w:spacing w:line="360" w:lineRule="auto"/>
        <w:ind w:firstLine="1440"/>
        <w:rPr>
          <w:sz w:val="24"/>
          <w:szCs w:val="24"/>
        </w:rPr>
      </w:pPr>
    </w:p>
    <w:p w14:paraId="66AD2E28" w14:textId="67DD9D25" w:rsidR="00AE00DD" w:rsidRPr="00D05A71" w:rsidRDefault="00FE114E" w:rsidP="00DA57D0">
      <w:pPr>
        <w:spacing w:line="360" w:lineRule="auto"/>
        <w:ind w:firstLine="1440"/>
        <w:rPr>
          <w:sz w:val="24"/>
          <w:szCs w:val="24"/>
        </w:rPr>
      </w:pPr>
      <w:r w:rsidRPr="00D05A71">
        <w:rPr>
          <w:sz w:val="24"/>
          <w:szCs w:val="24"/>
        </w:rPr>
        <w:t>3</w:t>
      </w:r>
      <w:r w:rsidR="00C21C8A" w:rsidRPr="00D05A71">
        <w:rPr>
          <w:sz w:val="24"/>
          <w:szCs w:val="24"/>
        </w:rPr>
        <w:t xml:space="preserve">. </w:t>
      </w:r>
      <w:r w:rsidR="00C21C8A" w:rsidRPr="00D05A71">
        <w:rPr>
          <w:sz w:val="24"/>
          <w:szCs w:val="24"/>
        </w:rPr>
        <w:tab/>
        <w:t xml:space="preserve">That </w:t>
      </w:r>
      <w:r w:rsidR="00AE00DD" w:rsidRPr="00D05A71">
        <w:rPr>
          <w:sz w:val="24"/>
          <w:szCs w:val="24"/>
        </w:rPr>
        <w:t>the reference to a settlement offer from PPL Electric Utilities Corporation to Daniel and Kimberly Spence</w:t>
      </w:r>
      <w:r w:rsidR="00163F25" w:rsidRPr="00D05A71">
        <w:rPr>
          <w:sz w:val="24"/>
          <w:szCs w:val="24"/>
        </w:rPr>
        <w:t xml:space="preserve"> in the Formal Complaint shall be stricken.</w:t>
      </w:r>
    </w:p>
    <w:p w14:paraId="0AC423BA" w14:textId="77777777" w:rsidR="00AE00DD" w:rsidRPr="00D05A71" w:rsidRDefault="00AE00DD" w:rsidP="00DA57D0">
      <w:pPr>
        <w:spacing w:line="360" w:lineRule="auto"/>
        <w:ind w:firstLine="1440"/>
        <w:rPr>
          <w:sz w:val="24"/>
          <w:szCs w:val="24"/>
        </w:rPr>
      </w:pPr>
    </w:p>
    <w:p w14:paraId="5FB3DF1F" w14:textId="2DD307C4" w:rsidR="00D34F31" w:rsidRPr="00D05A71" w:rsidRDefault="00163F25" w:rsidP="00DA57D0">
      <w:pPr>
        <w:spacing w:line="360" w:lineRule="auto"/>
        <w:ind w:firstLine="1440"/>
        <w:rPr>
          <w:sz w:val="24"/>
          <w:szCs w:val="24"/>
        </w:rPr>
      </w:pPr>
      <w:r w:rsidRPr="00D05A71">
        <w:rPr>
          <w:sz w:val="24"/>
          <w:szCs w:val="24"/>
        </w:rPr>
        <w:t xml:space="preserve">4. </w:t>
      </w:r>
      <w:r w:rsidRPr="00D05A71">
        <w:rPr>
          <w:sz w:val="24"/>
          <w:szCs w:val="24"/>
        </w:rPr>
        <w:tab/>
        <w:t xml:space="preserve">That </w:t>
      </w:r>
      <w:r w:rsidR="00077BCD" w:rsidRPr="00D05A71">
        <w:rPr>
          <w:sz w:val="24"/>
          <w:szCs w:val="24"/>
        </w:rPr>
        <w:t>the Formal Complaint</w:t>
      </w:r>
      <w:r w:rsidR="003C35EF" w:rsidRPr="00D05A71">
        <w:rPr>
          <w:sz w:val="24"/>
          <w:szCs w:val="24"/>
        </w:rPr>
        <w:t xml:space="preserve"> of </w:t>
      </w:r>
      <w:r w:rsidR="00C52C32" w:rsidRPr="00D05A71">
        <w:rPr>
          <w:sz w:val="24"/>
          <w:szCs w:val="24"/>
        </w:rPr>
        <w:t>Daniel and Kimberly Spence</w:t>
      </w:r>
      <w:r w:rsidR="006D377A" w:rsidRPr="00D05A71">
        <w:rPr>
          <w:sz w:val="24"/>
          <w:szCs w:val="24"/>
        </w:rPr>
        <w:t xml:space="preserve"> </w:t>
      </w:r>
      <w:r w:rsidR="00343B49" w:rsidRPr="00D05A71">
        <w:rPr>
          <w:sz w:val="24"/>
          <w:szCs w:val="24"/>
        </w:rPr>
        <w:t>v.</w:t>
      </w:r>
      <w:r w:rsidR="006D377A" w:rsidRPr="00D05A71">
        <w:rPr>
          <w:sz w:val="24"/>
          <w:szCs w:val="24"/>
        </w:rPr>
        <w:t xml:space="preserve"> </w:t>
      </w:r>
      <w:r w:rsidR="00C52C32" w:rsidRPr="00D05A71">
        <w:rPr>
          <w:sz w:val="24"/>
          <w:szCs w:val="24"/>
        </w:rPr>
        <w:t>PPL Electric Utilities Corporation</w:t>
      </w:r>
      <w:r w:rsidR="00681EC0" w:rsidRPr="00D05A71">
        <w:rPr>
          <w:sz w:val="24"/>
          <w:szCs w:val="24"/>
        </w:rPr>
        <w:t xml:space="preserve"> </w:t>
      </w:r>
      <w:r w:rsidR="006D377A" w:rsidRPr="00D05A71">
        <w:rPr>
          <w:sz w:val="24"/>
          <w:szCs w:val="24"/>
        </w:rPr>
        <w:t xml:space="preserve">at Docket No. </w:t>
      </w:r>
      <w:r w:rsidR="00AE00DD" w:rsidRPr="00D05A71">
        <w:rPr>
          <w:sz w:val="24"/>
          <w:szCs w:val="24"/>
        </w:rPr>
        <w:t>C-2023-3042094</w:t>
      </w:r>
      <w:r w:rsidR="006D377A" w:rsidRPr="00D05A71">
        <w:rPr>
          <w:sz w:val="24"/>
          <w:szCs w:val="24"/>
        </w:rPr>
        <w:t xml:space="preserve"> </w:t>
      </w:r>
      <w:r w:rsidR="00C21C8A" w:rsidRPr="00D05A71">
        <w:rPr>
          <w:sz w:val="24"/>
          <w:szCs w:val="24"/>
        </w:rPr>
        <w:t>will p</w:t>
      </w:r>
      <w:r w:rsidR="002D5998" w:rsidRPr="00D05A71">
        <w:rPr>
          <w:sz w:val="24"/>
          <w:szCs w:val="24"/>
        </w:rPr>
        <w:t xml:space="preserve">roceed </w:t>
      </w:r>
      <w:r w:rsidR="00343B49" w:rsidRPr="00D05A71">
        <w:rPr>
          <w:sz w:val="24"/>
          <w:szCs w:val="24"/>
        </w:rPr>
        <w:t>concerning the issue</w:t>
      </w:r>
      <w:r w:rsidR="001840F6" w:rsidRPr="00D05A71">
        <w:rPr>
          <w:sz w:val="24"/>
          <w:szCs w:val="24"/>
        </w:rPr>
        <w:t xml:space="preserve"> whether </w:t>
      </w:r>
      <w:r w:rsidR="00C52C32" w:rsidRPr="00D05A71">
        <w:rPr>
          <w:sz w:val="24"/>
          <w:szCs w:val="24"/>
        </w:rPr>
        <w:t>PPL</w:t>
      </w:r>
      <w:r w:rsidR="00681EC0" w:rsidRPr="00D05A71">
        <w:rPr>
          <w:sz w:val="24"/>
          <w:szCs w:val="24"/>
        </w:rPr>
        <w:t xml:space="preserve"> </w:t>
      </w:r>
      <w:r w:rsidR="001840F6" w:rsidRPr="00D05A71">
        <w:rPr>
          <w:sz w:val="24"/>
          <w:szCs w:val="24"/>
        </w:rPr>
        <w:t xml:space="preserve">failed in some way to furnish reasonable </w:t>
      </w:r>
      <w:r w:rsidRPr="00D05A71">
        <w:rPr>
          <w:sz w:val="24"/>
          <w:szCs w:val="24"/>
        </w:rPr>
        <w:t xml:space="preserve">and adequate </w:t>
      </w:r>
      <w:r w:rsidR="001840F6" w:rsidRPr="00D05A71">
        <w:rPr>
          <w:sz w:val="24"/>
          <w:szCs w:val="24"/>
        </w:rPr>
        <w:t xml:space="preserve">service </w:t>
      </w:r>
      <w:r w:rsidRPr="00D05A71">
        <w:rPr>
          <w:sz w:val="24"/>
          <w:szCs w:val="24"/>
        </w:rPr>
        <w:t>when it used Complainants’ driveway to construct a transmission line, starting in January 2022</w:t>
      </w:r>
      <w:r w:rsidR="001840F6" w:rsidRPr="00D05A71">
        <w:rPr>
          <w:sz w:val="24"/>
          <w:szCs w:val="24"/>
        </w:rPr>
        <w:t xml:space="preserve">, pursuant to 66 </w:t>
      </w:r>
      <w:r w:rsidR="007768A0" w:rsidRPr="00D05A71">
        <w:rPr>
          <w:sz w:val="24"/>
          <w:szCs w:val="24"/>
        </w:rPr>
        <w:t>Pa.C.S.</w:t>
      </w:r>
      <w:r w:rsidR="001840F6" w:rsidRPr="00D05A71">
        <w:rPr>
          <w:sz w:val="24"/>
          <w:szCs w:val="24"/>
        </w:rPr>
        <w:t xml:space="preserve"> § 1501</w:t>
      </w:r>
      <w:r w:rsidR="003C35EF" w:rsidRPr="00D05A71">
        <w:rPr>
          <w:sz w:val="24"/>
          <w:szCs w:val="24"/>
        </w:rPr>
        <w:t>.</w:t>
      </w:r>
      <w:r w:rsidR="00804BA9" w:rsidRPr="00D05A71">
        <w:rPr>
          <w:sz w:val="24"/>
          <w:szCs w:val="24"/>
        </w:rPr>
        <w:t xml:space="preserve">  </w:t>
      </w:r>
      <w:r w:rsidR="00D34F31" w:rsidRPr="00D05A71">
        <w:rPr>
          <w:sz w:val="24"/>
          <w:szCs w:val="24"/>
        </w:rPr>
        <w:t xml:space="preserve">  </w:t>
      </w:r>
    </w:p>
    <w:p w14:paraId="33E2F6EB" w14:textId="1A9FDCDA" w:rsidR="006D377A" w:rsidRPr="00D05A71" w:rsidRDefault="006D377A" w:rsidP="00DA57D0">
      <w:pPr>
        <w:spacing w:line="360" w:lineRule="auto"/>
        <w:ind w:firstLine="1440"/>
        <w:rPr>
          <w:sz w:val="24"/>
          <w:szCs w:val="24"/>
        </w:rPr>
      </w:pPr>
    </w:p>
    <w:p w14:paraId="128388B3" w14:textId="77777777" w:rsidR="005E192D" w:rsidRPr="00D05A71" w:rsidRDefault="005E192D" w:rsidP="00DA57D0">
      <w:pPr>
        <w:spacing w:line="360" w:lineRule="auto"/>
        <w:ind w:firstLine="1440"/>
        <w:rPr>
          <w:sz w:val="24"/>
          <w:szCs w:val="24"/>
        </w:rPr>
      </w:pPr>
    </w:p>
    <w:p w14:paraId="5B1FE5BC" w14:textId="77777777" w:rsidR="00027891" w:rsidRPr="00D05A71" w:rsidRDefault="00027891" w:rsidP="00DA57D0">
      <w:pPr>
        <w:spacing w:line="360" w:lineRule="auto"/>
        <w:ind w:firstLine="1440"/>
        <w:rPr>
          <w:sz w:val="24"/>
          <w:szCs w:val="24"/>
        </w:rPr>
      </w:pPr>
    </w:p>
    <w:p w14:paraId="3803F58B" w14:textId="62560723" w:rsidR="005E5991" w:rsidRPr="00D05A71" w:rsidRDefault="005E5991" w:rsidP="005E5991">
      <w:pPr>
        <w:widowControl w:val="0"/>
        <w:tabs>
          <w:tab w:val="left" w:pos="0"/>
        </w:tabs>
        <w:adjustRightInd w:val="0"/>
        <w:jc w:val="both"/>
        <w:rPr>
          <w:sz w:val="24"/>
          <w:szCs w:val="24"/>
          <w:u w:val="single"/>
        </w:rPr>
      </w:pPr>
      <w:r w:rsidRPr="00D05A71">
        <w:rPr>
          <w:sz w:val="24"/>
          <w:szCs w:val="24"/>
        </w:rPr>
        <w:t xml:space="preserve">Date:  </w:t>
      </w:r>
      <w:r w:rsidR="007768A0" w:rsidRPr="00D05A71">
        <w:rPr>
          <w:sz w:val="24"/>
          <w:szCs w:val="24"/>
          <w:u w:val="single"/>
        </w:rPr>
        <w:t xml:space="preserve">October </w:t>
      </w:r>
      <w:r w:rsidR="00097FE9">
        <w:rPr>
          <w:sz w:val="24"/>
          <w:szCs w:val="24"/>
          <w:u w:val="single"/>
        </w:rPr>
        <w:t>5</w:t>
      </w:r>
      <w:r w:rsidR="007768A0" w:rsidRPr="00D05A71">
        <w:rPr>
          <w:sz w:val="24"/>
          <w:szCs w:val="24"/>
          <w:u w:val="single"/>
        </w:rPr>
        <w:t>, 202</w:t>
      </w:r>
      <w:r w:rsidR="00163F25" w:rsidRPr="00D05A71">
        <w:rPr>
          <w:sz w:val="24"/>
          <w:szCs w:val="24"/>
          <w:u w:val="single"/>
        </w:rPr>
        <w:t>3</w:t>
      </w:r>
      <w:r w:rsidRPr="00D05A71">
        <w:rPr>
          <w:sz w:val="24"/>
          <w:szCs w:val="24"/>
        </w:rPr>
        <w:tab/>
      </w:r>
      <w:r w:rsidRPr="00D05A71">
        <w:rPr>
          <w:sz w:val="24"/>
          <w:szCs w:val="24"/>
        </w:rPr>
        <w:tab/>
      </w:r>
      <w:r w:rsidRPr="00D05A71">
        <w:rPr>
          <w:sz w:val="24"/>
          <w:szCs w:val="24"/>
        </w:rPr>
        <w:tab/>
      </w:r>
      <w:r w:rsidRPr="00D05A71">
        <w:rPr>
          <w:sz w:val="24"/>
          <w:szCs w:val="24"/>
        </w:rPr>
        <w:tab/>
      </w:r>
      <w:r w:rsidR="00681EC0" w:rsidRPr="00D05A71">
        <w:rPr>
          <w:sz w:val="24"/>
          <w:szCs w:val="24"/>
        </w:rPr>
        <w:tab/>
      </w:r>
      <w:r w:rsidRPr="00D05A71">
        <w:rPr>
          <w:sz w:val="24"/>
          <w:szCs w:val="24"/>
          <w:u w:val="single"/>
        </w:rPr>
        <w:tab/>
      </w:r>
      <w:r w:rsidRPr="00D05A71">
        <w:rPr>
          <w:sz w:val="24"/>
          <w:szCs w:val="24"/>
          <w:u w:val="single"/>
        </w:rPr>
        <w:tab/>
        <w:t>/s/</w:t>
      </w:r>
      <w:r w:rsidRPr="00D05A71">
        <w:rPr>
          <w:sz w:val="24"/>
          <w:szCs w:val="24"/>
          <w:u w:val="single"/>
        </w:rPr>
        <w:tab/>
      </w:r>
      <w:r w:rsidRPr="00D05A71">
        <w:rPr>
          <w:sz w:val="24"/>
          <w:szCs w:val="24"/>
          <w:u w:val="single"/>
        </w:rPr>
        <w:tab/>
      </w:r>
      <w:r w:rsidRPr="00D05A71">
        <w:rPr>
          <w:sz w:val="24"/>
          <w:szCs w:val="24"/>
          <w:u w:val="single"/>
        </w:rPr>
        <w:tab/>
      </w:r>
    </w:p>
    <w:p w14:paraId="0AEFA812" w14:textId="77777777" w:rsidR="005E5991" w:rsidRPr="00D05A71" w:rsidRDefault="005E5991" w:rsidP="005E5991">
      <w:pPr>
        <w:widowControl w:val="0"/>
        <w:tabs>
          <w:tab w:val="left" w:pos="0"/>
        </w:tabs>
        <w:adjustRightInd w:val="0"/>
        <w:jc w:val="both"/>
        <w:rPr>
          <w:sz w:val="24"/>
          <w:szCs w:val="24"/>
        </w:rPr>
      </w:pP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t>Katrina L. Dunderdale</w:t>
      </w:r>
    </w:p>
    <w:p w14:paraId="1BAF165C" w14:textId="77777777" w:rsidR="008854E6" w:rsidRDefault="005E5991" w:rsidP="005E5991">
      <w:pPr>
        <w:widowControl w:val="0"/>
        <w:tabs>
          <w:tab w:val="left" w:pos="0"/>
        </w:tabs>
        <w:adjustRightInd w:val="0"/>
        <w:jc w:val="both"/>
        <w:rPr>
          <w:sz w:val="24"/>
          <w:szCs w:val="24"/>
        </w:rPr>
        <w:sectPr w:rsidR="008854E6" w:rsidSect="00B82D84">
          <w:footerReference w:type="default" r:id="rId8"/>
          <w:pgSz w:w="12240" w:h="15840" w:code="1"/>
          <w:pgMar w:top="1440" w:right="1440" w:bottom="1440" w:left="1440" w:header="0" w:footer="720" w:gutter="0"/>
          <w:cols w:space="720"/>
          <w:titlePg/>
          <w:docGrid w:linePitch="272"/>
        </w:sectPr>
      </w:pP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r>
      <w:r w:rsidRPr="00D05A71">
        <w:rPr>
          <w:sz w:val="24"/>
          <w:szCs w:val="24"/>
        </w:rPr>
        <w:tab/>
        <w:t>Administrative Law Judge</w:t>
      </w:r>
    </w:p>
    <w:p w14:paraId="26F980BE"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eastAsia="Microsoft Sans Serif" w:hAnsi="Microsoft Sans Serif" w:cs="Microsoft Sans Serif"/>
          <w:b/>
          <w:sz w:val="24"/>
          <w:szCs w:val="24"/>
          <w:u w:val="single"/>
          <w14:ligatures w14:val="standardContextual"/>
        </w:rPr>
        <w:lastRenderedPageBreak/>
        <w:t>C-2023-3042094 - DANIEL AND KIMBERLY SPENCE v. PPL ELECTRIC UTILITIES CORPORATION</w:t>
      </w:r>
      <w:r w:rsidRPr="008854E6">
        <w:rPr>
          <w:rFonts w:ascii="Microsoft Sans Serif" w:eastAsia="Microsoft Sans Serif" w:hAnsi="Microsoft Sans Serif" w:cs="Microsoft Sans Serif"/>
          <w:b/>
          <w:sz w:val="24"/>
          <w:szCs w:val="24"/>
          <w:u w:val="single"/>
          <w14:ligatures w14:val="standardContextual"/>
        </w:rPr>
        <w:cr/>
      </w:r>
      <w:r w:rsidRPr="008854E6">
        <w:rPr>
          <w:rFonts w:ascii="Microsoft Sans Serif" w:eastAsia="Microsoft Sans Serif" w:hAnsi="Microsoft Sans Serif" w:cs="Microsoft Sans Serif"/>
          <w:b/>
          <w:sz w:val="24"/>
          <w:szCs w:val="24"/>
          <w:u w:val="single"/>
          <w14:ligatures w14:val="standardContextual"/>
        </w:rPr>
        <w:cr/>
      </w:r>
      <w:r w:rsidRPr="008854E6">
        <w:rPr>
          <w:rFonts w:ascii="Microsoft Sans Serif" w:eastAsia="Microsoft Sans Serif" w:hAnsi="Microsoft Sans Serif" w:cs="Microsoft Sans Serif"/>
          <w:sz w:val="24"/>
          <w:szCs w:val="24"/>
          <w14:ligatures w14:val="standardContextual"/>
        </w:rPr>
        <w:t>DANIEL AND KIMBERLY SPENCE</w:t>
      </w:r>
      <w:r w:rsidRPr="008854E6">
        <w:rPr>
          <w:rFonts w:ascii="Microsoft Sans Serif" w:eastAsia="Microsoft Sans Serif" w:hAnsi="Microsoft Sans Serif" w:cs="Microsoft Sans Serif"/>
          <w:sz w:val="24"/>
          <w:szCs w:val="24"/>
          <w14:ligatures w14:val="standardContextual"/>
        </w:rPr>
        <w:cr/>
        <w:t>276 MOORES HILL RD</w:t>
      </w:r>
      <w:r w:rsidRPr="008854E6">
        <w:rPr>
          <w:rFonts w:ascii="Microsoft Sans Serif" w:eastAsia="Microsoft Sans Serif" w:hAnsi="Microsoft Sans Serif" w:cs="Microsoft Sans Serif"/>
          <w:sz w:val="24"/>
          <w:szCs w:val="24"/>
          <w14:ligatures w14:val="standardContextual"/>
        </w:rPr>
        <w:cr/>
        <w:t>BERWICK PA  18603-6219</w:t>
      </w:r>
      <w:r w:rsidRPr="008854E6">
        <w:rPr>
          <w:rFonts w:ascii="Microsoft Sans Serif" w:eastAsia="Microsoft Sans Serif" w:hAnsi="Microsoft Sans Serif" w:cs="Microsoft Sans Serif"/>
          <w:sz w:val="24"/>
          <w:szCs w:val="24"/>
          <w14:ligatures w14:val="standardContextual"/>
        </w:rPr>
        <w:cr/>
      </w:r>
      <w:r w:rsidRPr="008854E6">
        <w:rPr>
          <w:rFonts w:ascii="Microsoft Sans Serif" w:eastAsia="Microsoft Sans Serif" w:hAnsi="Microsoft Sans Serif" w:cs="Microsoft Sans Serif"/>
          <w:b/>
          <w:bCs/>
          <w:sz w:val="24"/>
          <w:szCs w:val="24"/>
          <w14:ligatures w14:val="standardContextual"/>
        </w:rPr>
        <w:t>570.899.2756</w:t>
      </w:r>
      <w:r w:rsidRPr="008854E6">
        <w:rPr>
          <w:rFonts w:ascii="Microsoft Sans Serif" w:eastAsia="Microsoft Sans Serif" w:hAnsi="Microsoft Sans Serif" w:cs="Microsoft Sans Serif"/>
          <w:b/>
          <w:bCs/>
          <w:sz w:val="24"/>
          <w:szCs w:val="24"/>
          <w14:ligatures w14:val="standardContextual"/>
        </w:rPr>
        <w:cr/>
        <w:t>570.441.7342</w:t>
      </w:r>
      <w:r w:rsidRPr="008854E6">
        <w:rPr>
          <w:rFonts w:ascii="Microsoft Sans Serif" w:eastAsia="Microsoft Sans Serif" w:hAnsi="Microsoft Sans Serif" w:cs="Microsoft Sans Serif"/>
          <w:b/>
          <w:bCs/>
          <w:sz w:val="24"/>
          <w:szCs w:val="24"/>
          <w14:ligatures w14:val="standardContextual"/>
        </w:rPr>
        <w:cr/>
      </w:r>
      <w:hyperlink r:id="rId9" w:history="1">
        <w:r w:rsidRPr="008854E6">
          <w:rPr>
            <w:rFonts w:ascii="Microsoft Sans Serif" w:eastAsia="Microsoft Sans Serif" w:hAnsi="Microsoft Sans Serif" w:cs="Microsoft Sans Serif"/>
            <w:color w:val="0563C1"/>
            <w:sz w:val="24"/>
            <w:szCs w:val="24"/>
            <w:u w:val="single"/>
            <w14:ligatures w14:val="standardContextual"/>
          </w:rPr>
          <w:t>kbowerspence@gmail.com</w:t>
        </w:r>
      </w:hyperlink>
      <w:r w:rsidRPr="008854E6">
        <w:rPr>
          <w:rFonts w:ascii="Microsoft Sans Serif" w:eastAsia="Microsoft Sans Serif" w:hAnsi="Microsoft Sans Serif" w:cs="Microsoft Sans Serif"/>
          <w:sz w:val="24"/>
          <w:szCs w:val="24"/>
          <w14:ligatures w14:val="standardContextual"/>
        </w:rPr>
        <w:t xml:space="preserve"> </w:t>
      </w:r>
      <w:r w:rsidRPr="008854E6">
        <w:rPr>
          <w:rFonts w:ascii="Microsoft Sans Serif" w:eastAsia="Microsoft Sans Serif" w:hAnsi="Microsoft Sans Serif" w:cs="Microsoft Sans Serif"/>
          <w:sz w:val="24"/>
          <w:szCs w:val="24"/>
          <w14:ligatures w14:val="standardContextual"/>
        </w:rPr>
        <w:cr/>
        <w:t xml:space="preserve">Accepts eService </w:t>
      </w:r>
      <w:r w:rsidRPr="008854E6">
        <w:rPr>
          <w:rFonts w:ascii="Microsoft Sans Serif" w:eastAsia="Microsoft Sans Serif" w:hAnsi="Microsoft Sans Serif" w:cs="Microsoft Sans Serif"/>
          <w:sz w:val="24"/>
          <w:szCs w:val="24"/>
          <w14:ligatures w14:val="standardContextual"/>
        </w:rPr>
        <w:cr/>
      </w:r>
      <w:r w:rsidRPr="008854E6">
        <w:rPr>
          <w:rFonts w:ascii="Microsoft Sans Serif" w:eastAsia="Microsoft Sans Serif" w:hAnsi="Microsoft Sans Serif" w:cs="Microsoft Sans Serif"/>
          <w:sz w:val="24"/>
          <w:szCs w:val="24"/>
          <w14:ligatures w14:val="standardContextual"/>
        </w:rPr>
        <w:cr/>
      </w:r>
      <w:r w:rsidRPr="008854E6">
        <w:rPr>
          <w:rFonts w:ascii="Microsoft Sans Serif" w:hAnsi="Microsoft Sans Serif" w:cs="Microsoft Sans Serif"/>
          <w:sz w:val="24"/>
          <w:szCs w:val="24"/>
          <w14:ligatures w14:val="standardContextual"/>
        </w:rPr>
        <w:t xml:space="preserve">MEGAN E RULLI ESQUIRE </w:t>
      </w:r>
    </w:p>
    <w:p w14:paraId="4CCCD123"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sz w:val="24"/>
          <w:szCs w:val="24"/>
          <w14:ligatures w14:val="standardContextual"/>
        </w:rPr>
        <w:t>DEVIN T RYAN ESQUIRE </w:t>
      </w:r>
    </w:p>
    <w:p w14:paraId="68801CEE"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sz w:val="24"/>
          <w:szCs w:val="24"/>
          <w14:ligatures w14:val="standardContextual"/>
        </w:rPr>
        <w:t>POST AND SCHELL PC </w:t>
      </w:r>
    </w:p>
    <w:p w14:paraId="15E2C1E9"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sz w:val="24"/>
          <w:szCs w:val="24"/>
          <w14:ligatures w14:val="standardContextual"/>
        </w:rPr>
        <w:t>17 N 2ND ST 12TH FL</w:t>
      </w:r>
    </w:p>
    <w:p w14:paraId="3735CD41"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sz w:val="24"/>
          <w:szCs w:val="24"/>
          <w14:ligatures w14:val="standardContextual"/>
        </w:rPr>
        <w:t>HARRISBURG PA  17101-1601 </w:t>
      </w:r>
    </w:p>
    <w:p w14:paraId="261006A3"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b/>
          <w:bCs/>
          <w:sz w:val="24"/>
          <w:szCs w:val="24"/>
          <w14:ligatures w14:val="standardContextual"/>
        </w:rPr>
        <w:t>717.612.6012 </w:t>
      </w:r>
    </w:p>
    <w:p w14:paraId="4FDB74C1"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b/>
          <w:bCs/>
          <w:sz w:val="24"/>
          <w:szCs w:val="24"/>
          <w14:ligatures w14:val="standardContextual"/>
        </w:rPr>
        <w:t>717.472.0466</w:t>
      </w:r>
      <w:r w:rsidRPr="008854E6">
        <w:rPr>
          <w:rFonts w:ascii="Microsoft Sans Serif" w:hAnsi="Microsoft Sans Serif" w:cs="Microsoft Sans Serif"/>
          <w:sz w:val="24"/>
          <w:szCs w:val="24"/>
          <w14:ligatures w14:val="standardContextual"/>
        </w:rPr>
        <w:t> </w:t>
      </w:r>
    </w:p>
    <w:p w14:paraId="311AEC47"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b/>
          <w:bCs/>
          <w:sz w:val="24"/>
          <w:szCs w:val="24"/>
          <w14:ligatures w14:val="standardContextual"/>
        </w:rPr>
        <w:t>717.612.6052 </w:t>
      </w:r>
    </w:p>
    <w:p w14:paraId="70E7234D"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b/>
          <w:bCs/>
          <w:sz w:val="24"/>
          <w:szCs w:val="24"/>
          <w14:ligatures w14:val="standardContextual"/>
        </w:rPr>
        <w:t>717.731.1970 </w:t>
      </w:r>
    </w:p>
    <w:p w14:paraId="6E42340F" w14:textId="77777777" w:rsidR="008854E6" w:rsidRPr="008854E6" w:rsidRDefault="008854E6" w:rsidP="008854E6">
      <w:pPr>
        <w:autoSpaceDE/>
        <w:autoSpaceDN/>
        <w:rPr>
          <w:rFonts w:ascii="Calibri" w:hAnsi="Calibri" w:cs="Calibri"/>
          <w:sz w:val="22"/>
          <w:szCs w:val="22"/>
          <w14:ligatures w14:val="standardContextual"/>
        </w:rPr>
      </w:pPr>
      <w:hyperlink r:id="rId10" w:history="1">
        <w:r w:rsidRPr="008854E6">
          <w:rPr>
            <w:rFonts w:ascii="Microsoft Sans Serif" w:hAnsi="Microsoft Sans Serif" w:cs="Microsoft Sans Serif"/>
            <w:color w:val="0563C1"/>
            <w:sz w:val="24"/>
            <w:szCs w:val="24"/>
            <w:u w:val="single"/>
            <w14:ligatures w14:val="standardContextual"/>
          </w:rPr>
          <w:t>mrulli@postschell.com</w:t>
        </w:r>
      </w:hyperlink>
      <w:r w:rsidRPr="008854E6">
        <w:rPr>
          <w:rFonts w:ascii="Microsoft Sans Serif" w:hAnsi="Microsoft Sans Serif" w:cs="Microsoft Sans Serif"/>
          <w:sz w:val="24"/>
          <w:szCs w:val="24"/>
          <w14:ligatures w14:val="standardContextual"/>
        </w:rPr>
        <w:t xml:space="preserve">   </w:t>
      </w:r>
    </w:p>
    <w:p w14:paraId="7CD423A6" w14:textId="77777777" w:rsidR="008854E6" w:rsidRPr="008854E6" w:rsidRDefault="008854E6" w:rsidP="008854E6">
      <w:pPr>
        <w:autoSpaceDE/>
        <w:autoSpaceDN/>
        <w:rPr>
          <w:rFonts w:ascii="Calibri" w:hAnsi="Calibri" w:cs="Calibri"/>
          <w:sz w:val="22"/>
          <w:szCs w:val="22"/>
          <w14:ligatures w14:val="standardContextual"/>
        </w:rPr>
      </w:pPr>
      <w:hyperlink r:id="rId11" w:history="1">
        <w:r w:rsidRPr="008854E6">
          <w:rPr>
            <w:rFonts w:ascii="Microsoft Sans Serif" w:hAnsi="Microsoft Sans Serif" w:cs="Microsoft Sans Serif"/>
            <w:color w:val="0563C1"/>
            <w:sz w:val="24"/>
            <w:szCs w:val="24"/>
            <w:u w:val="single"/>
            <w14:ligatures w14:val="standardContextual"/>
          </w:rPr>
          <w:t>dryan@postschell.com</w:t>
        </w:r>
      </w:hyperlink>
      <w:r w:rsidRPr="008854E6">
        <w:rPr>
          <w:rFonts w:ascii="Microsoft Sans Serif" w:hAnsi="Microsoft Sans Serif" w:cs="Microsoft Sans Serif"/>
          <w:sz w:val="24"/>
          <w:szCs w:val="24"/>
          <w14:ligatures w14:val="standardContextual"/>
        </w:rPr>
        <w:t xml:space="preserve">  </w:t>
      </w:r>
    </w:p>
    <w:p w14:paraId="71688F69" w14:textId="77777777" w:rsidR="008854E6" w:rsidRPr="008854E6" w:rsidRDefault="008854E6" w:rsidP="008854E6">
      <w:pPr>
        <w:autoSpaceDE/>
        <w:autoSpaceDN/>
        <w:rPr>
          <w:rFonts w:ascii="Microsoft Sans Serif" w:hAnsi="Microsoft Sans Serif" w:cs="Microsoft Sans Serif"/>
          <w:sz w:val="24"/>
          <w:szCs w:val="24"/>
          <w14:ligatures w14:val="standardContextual"/>
        </w:rPr>
      </w:pPr>
      <w:r w:rsidRPr="008854E6">
        <w:rPr>
          <w:rFonts w:ascii="Microsoft Sans Serif" w:hAnsi="Microsoft Sans Serif" w:cs="Microsoft Sans Serif"/>
          <w:sz w:val="24"/>
          <w:szCs w:val="24"/>
          <w14:ligatures w14:val="standardContextual"/>
        </w:rPr>
        <w:t xml:space="preserve">Accepts eService </w:t>
      </w:r>
    </w:p>
    <w:p w14:paraId="5352B5F1" w14:textId="77777777" w:rsidR="008854E6" w:rsidRPr="008854E6" w:rsidRDefault="008854E6" w:rsidP="008854E6">
      <w:pPr>
        <w:autoSpaceDE/>
        <w:autoSpaceDN/>
        <w:spacing w:after="160" w:line="259" w:lineRule="auto"/>
        <w:rPr>
          <w:rFonts w:ascii="Microsoft Sans Serif" w:hAnsi="Microsoft Sans Serif" w:cs="Microsoft Sans Serif"/>
          <w:i/>
          <w:iCs/>
          <w:kern w:val="2"/>
          <w:sz w:val="24"/>
          <w:szCs w:val="24"/>
          <w14:ligatures w14:val="standardContextual"/>
        </w:rPr>
      </w:pPr>
      <w:r w:rsidRPr="008854E6">
        <w:rPr>
          <w:rFonts w:ascii="Microsoft Sans Serif" w:hAnsi="Microsoft Sans Serif" w:cs="Microsoft Sans Serif"/>
          <w:i/>
          <w:iCs/>
          <w:kern w:val="2"/>
          <w:sz w:val="24"/>
          <w:szCs w:val="24"/>
          <w14:ligatures w14:val="standardContextual"/>
        </w:rPr>
        <w:t>(Counsel for PPL)</w:t>
      </w:r>
    </w:p>
    <w:p w14:paraId="270F7476" w14:textId="2D5798C4" w:rsidR="005E5991" w:rsidRPr="00D05A71" w:rsidRDefault="005E5991" w:rsidP="005E5991">
      <w:pPr>
        <w:widowControl w:val="0"/>
        <w:tabs>
          <w:tab w:val="left" w:pos="0"/>
        </w:tabs>
        <w:adjustRightInd w:val="0"/>
        <w:jc w:val="both"/>
        <w:rPr>
          <w:sz w:val="24"/>
          <w:szCs w:val="24"/>
        </w:rPr>
      </w:pPr>
    </w:p>
    <w:sectPr w:rsidR="005E5991" w:rsidRPr="00D05A71" w:rsidSect="00B82D84">
      <w:pgSz w:w="12240" w:h="15840" w:code="1"/>
      <w:pgMar w:top="1440" w:right="1440" w:bottom="1440" w:left="1440"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518D" w14:textId="77777777" w:rsidR="00AC11D4" w:rsidRDefault="00AC11D4">
      <w:r>
        <w:separator/>
      </w:r>
    </w:p>
  </w:endnote>
  <w:endnote w:type="continuationSeparator" w:id="0">
    <w:p w14:paraId="34BD143C" w14:textId="77777777" w:rsidR="00AC11D4" w:rsidRDefault="00AC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8866"/>
      <w:docPartObj>
        <w:docPartGallery w:val="Page Numbers (Bottom of Page)"/>
        <w:docPartUnique/>
      </w:docPartObj>
    </w:sdtPr>
    <w:sdtEndPr>
      <w:rPr>
        <w:noProof/>
      </w:rPr>
    </w:sdtEndPr>
    <w:sdtContent>
      <w:p w14:paraId="08520DB5" w14:textId="2380162A" w:rsidR="00612813" w:rsidRDefault="006128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48DC" w14:textId="77777777" w:rsidR="00AC11D4" w:rsidRDefault="00AC11D4">
      <w:r>
        <w:separator/>
      </w:r>
    </w:p>
  </w:footnote>
  <w:footnote w:type="continuationSeparator" w:id="0">
    <w:p w14:paraId="412A2B8A" w14:textId="77777777" w:rsidR="00AC11D4" w:rsidRDefault="00AC11D4">
      <w:r>
        <w:continuationSeparator/>
      </w:r>
    </w:p>
  </w:footnote>
  <w:footnote w:id="1">
    <w:p w14:paraId="7E41D8C9" w14:textId="1AC804AC" w:rsidR="000A64BD" w:rsidRPr="000A64BD" w:rsidRDefault="000A64BD" w:rsidP="00530B19">
      <w:pPr>
        <w:pStyle w:val="FootnoteText"/>
        <w:ind w:firstLine="720"/>
      </w:pPr>
      <w:r w:rsidRPr="000A64BD">
        <w:rPr>
          <w:rStyle w:val="FootnoteReference"/>
        </w:rPr>
        <w:footnoteRef/>
      </w:r>
      <w:r w:rsidRPr="000A64BD">
        <w:t xml:space="preserve"> </w:t>
      </w:r>
      <w:r w:rsidRPr="000A64BD">
        <w:tab/>
        <w:t>52 Pa.Code §</w:t>
      </w:r>
      <w:r w:rsidR="00C07F36">
        <w:t>§</w:t>
      </w:r>
      <w:r w:rsidRPr="000A64BD">
        <w:t xml:space="preserve"> 5.101 and 5.103.  </w:t>
      </w:r>
    </w:p>
    <w:p w14:paraId="3DD4D07C" w14:textId="77777777" w:rsidR="000A64BD" w:rsidRPr="000A64BD" w:rsidRDefault="000A64BD">
      <w:pPr>
        <w:pStyle w:val="FootnoteText"/>
      </w:pPr>
    </w:p>
  </w:footnote>
  <w:footnote w:id="2">
    <w:p w14:paraId="2092FCFF" w14:textId="77777777" w:rsidR="004B205B" w:rsidRPr="000A64BD" w:rsidRDefault="004B205B" w:rsidP="00530B19">
      <w:pPr>
        <w:pStyle w:val="FootnoteText"/>
        <w:ind w:firstLine="720"/>
      </w:pPr>
      <w:r w:rsidRPr="000A64BD">
        <w:rPr>
          <w:rStyle w:val="FootnoteReference"/>
        </w:rPr>
        <w:footnoteRef/>
      </w:r>
      <w:r w:rsidRPr="000A64BD">
        <w:rPr>
          <w:vertAlign w:val="superscript"/>
        </w:rPr>
        <w:t xml:space="preserve"> </w:t>
      </w:r>
      <w:r w:rsidRPr="000A64BD">
        <w:tab/>
      </w:r>
      <w:r w:rsidRPr="00097FE9">
        <w:rPr>
          <w:i/>
          <w:iCs/>
        </w:rPr>
        <w:t>Equitable Small Transportation Interveners v. Equitable Gas Company,</w:t>
      </w:r>
      <w:r w:rsidRPr="000A64BD">
        <w:t xml:space="preserve"> 1994 Pa. PUC LEXIS 69, Docket No. C-00935435 (1994).  </w:t>
      </w:r>
    </w:p>
    <w:p w14:paraId="42008C4B" w14:textId="77777777" w:rsidR="004B205B" w:rsidRPr="005D0C21" w:rsidRDefault="004B205B" w:rsidP="004B205B">
      <w:pPr>
        <w:pStyle w:val="FootnoteText"/>
      </w:pPr>
    </w:p>
  </w:footnote>
  <w:footnote w:id="3">
    <w:p w14:paraId="7509077D" w14:textId="03C85E02" w:rsidR="000A64BD" w:rsidRDefault="000A64BD" w:rsidP="00530B19">
      <w:pPr>
        <w:pStyle w:val="FootnoteText"/>
        <w:ind w:firstLine="720"/>
      </w:pPr>
      <w:r w:rsidRPr="000A64BD">
        <w:rPr>
          <w:rStyle w:val="FootnoteReference"/>
        </w:rPr>
        <w:footnoteRef/>
      </w:r>
      <w:r w:rsidRPr="000A64BD">
        <w:t xml:space="preserve"> </w:t>
      </w:r>
      <w:r w:rsidRPr="000A64BD">
        <w:tab/>
        <w:t>52 Pa.Code §</w:t>
      </w:r>
      <w:r w:rsidR="00C07F36">
        <w:t>§</w:t>
      </w:r>
      <w:r w:rsidRPr="000A64BD">
        <w:t xml:space="preserve"> 5.101 and 5.103.  </w:t>
      </w:r>
    </w:p>
    <w:p w14:paraId="3C525BC2" w14:textId="77777777" w:rsidR="00A1665A" w:rsidRPr="000A64BD" w:rsidRDefault="00A1665A">
      <w:pPr>
        <w:pStyle w:val="FootnoteText"/>
      </w:pPr>
    </w:p>
  </w:footnote>
  <w:footnote w:id="4">
    <w:p w14:paraId="2A12E1EE" w14:textId="7CA1222C" w:rsidR="004B205B" w:rsidRDefault="004B205B" w:rsidP="00530B19">
      <w:pPr>
        <w:ind w:firstLine="720"/>
      </w:pPr>
      <w:r w:rsidRPr="00AF65B7">
        <w:rPr>
          <w:rStyle w:val="FootnoteReference"/>
        </w:rPr>
        <w:footnoteRef/>
      </w:r>
      <w:r w:rsidRPr="00AF65B7">
        <w:rPr>
          <w:sz w:val="24"/>
          <w:szCs w:val="24"/>
        </w:rPr>
        <w:t xml:space="preserve"> </w:t>
      </w:r>
      <w:r w:rsidRPr="00235A85">
        <w:tab/>
      </w:r>
      <w:r w:rsidRPr="00097FE9">
        <w:rPr>
          <w:i/>
          <w:iCs/>
        </w:rPr>
        <w:t>County of Allegheny v. Commw. of Pa.,</w:t>
      </w:r>
      <w:r w:rsidRPr="00235A85">
        <w:t xml:space="preserve"> 490 A.2d 402 (1985); </w:t>
      </w:r>
      <w:r w:rsidRPr="00097FE9">
        <w:rPr>
          <w:i/>
          <w:iCs/>
        </w:rPr>
        <w:t>Commw. of Pa. v. Bell Telephone Co. of Pa.,</w:t>
      </w:r>
      <w:r w:rsidRPr="00235A85">
        <w:t xml:space="preserve"> 551 A.2d 602 (Pa.</w:t>
      </w:r>
      <w:r w:rsidR="00D15956">
        <w:t>C</w:t>
      </w:r>
      <w:r w:rsidRPr="00235A85">
        <w:t>mw</w:t>
      </w:r>
      <w:r w:rsidR="00B601A8">
        <w:t>lth.</w:t>
      </w:r>
      <w:r w:rsidRPr="00235A85">
        <w:t xml:space="preserve"> 1988).  </w:t>
      </w:r>
    </w:p>
    <w:p w14:paraId="31722248" w14:textId="77777777" w:rsidR="004B205B" w:rsidRPr="00235A85" w:rsidRDefault="004B205B" w:rsidP="004B205B"/>
  </w:footnote>
  <w:footnote w:id="5">
    <w:p w14:paraId="0299EE31" w14:textId="5EFB055C" w:rsidR="004B205B" w:rsidRPr="00235A85" w:rsidRDefault="004B205B" w:rsidP="00530B19">
      <w:pPr>
        <w:pStyle w:val="FootnoteText"/>
        <w:ind w:firstLine="720"/>
      </w:pPr>
      <w:r w:rsidRPr="00AF65B7">
        <w:rPr>
          <w:rStyle w:val="FootnoteReference"/>
        </w:rPr>
        <w:footnoteRef/>
      </w:r>
      <w:r w:rsidRPr="00AF65B7">
        <w:rPr>
          <w:sz w:val="24"/>
          <w:szCs w:val="24"/>
          <w:vertAlign w:val="superscript"/>
        </w:rPr>
        <w:t xml:space="preserve"> </w:t>
      </w:r>
      <w:r w:rsidRPr="00AF65B7">
        <w:rPr>
          <w:sz w:val="24"/>
          <w:szCs w:val="24"/>
        </w:rPr>
        <w:tab/>
      </w:r>
      <w:r w:rsidRPr="00097FE9">
        <w:rPr>
          <w:i/>
          <w:iCs/>
        </w:rPr>
        <w:t>Roc v. Flaherty,</w:t>
      </w:r>
      <w:r w:rsidRPr="00235A85">
        <w:t xml:space="preserve"> 527 A.2d 211 (Pa.</w:t>
      </w:r>
      <w:r w:rsidR="00B601A8" w:rsidRPr="00B601A8">
        <w:t xml:space="preserve"> Cmwlth</w:t>
      </w:r>
      <w:r w:rsidRPr="00235A85">
        <w:t xml:space="preserve">. 1985).  </w:t>
      </w:r>
    </w:p>
    <w:p w14:paraId="66536C98" w14:textId="77777777" w:rsidR="004B205B" w:rsidRPr="00235A85" w:rsidRDefault="004B205B" w:rsidP="004B205B">
      <w:pPr>
        <w:pStyle w:val="FootnoteText"/>
      </w:pPr>
    </w:p>
  </w:footnote>
  <w:footnote w:id="6">
    <w:p w14:paraId="4C135951" w14:textId="77777777" w:rsidR="002D0108" w:rsidRDefault="002D0108" w:rsidP="00530B19">
      <w:pPr>
        <w:pStyle w:val="FootnoteText"/>
        <w:ind w:firstLine="720"/>
      </w:pPr>
      <w:r w:rsidRPr="002D0108">
        <w:rPr>
          <w:rStyle w:val="FootnoteReference"/>
        </w:rPr>
        <w:footnoteRef/>
      </w:r>
      <w:r w:rsidRPr="002D0108">
        <w:t xml:space="preserve"> </w:t>
      </w:r>
      <w:r w:rsidRPr="002D0108">
        <w:tab/>
      </w:r>
      <w:r w:rsidRPr="00097FE9">
        <w:rPr>
          <w:i/>
          <w:iCs/>
        </w:rPr>
        <w:t>County of Allegheny v. Cmwlth. of Pa.,</w:t>
      </w:r>
      <w:r w:rsidRPr="002D0108">
        <w:t xml:space="preserve"> 490 A.2d 402 (Pa. 1985).  </w:t>
      </w:r>
    </w:p>
    <w:p w14:paraId="1D564F45" w14:textId="77777777" w:rsidR="00665C80" w:rsidRPr="002D0108" w:rsidRDefault="00665C80" w:rsidP="00F22C6D">
      <w:pPr>
        <w:pStyle w:val="FootnoteText"/>
      </w:pPr>
    </w:p>
  </w:footnote>
  <w:footnote w:id="7">
    <w:p w14:paraId="132BD18D" w14:textId="77777777" w:rsidR="002D0108" w:rsidRPr="002D0108" w:rsidRDefault="002D0108" w:rsidP="00530B19">
      <w:pPr>
        <w:pStyle w:val="FootnoteText"/>
        <w:ind w:firstLine="720"/>
      </w:pPr>
      <w:r w:rsidRPr="002D0108">
        <w:rPr>
          <w:rStyle w:val="FootnoteReference"/>
        </w:rPr>
        <w:footnoteRef/>
      </w:r>
      <w:r w:rsidRPr="002D0108">
        <w:t xml:space="preserve"> </w:t>
      </w:r>
      <w:r w:rsidRPr="002D0108">
        <w:tab/>
      </w:r>
      <w:r w:rsidRPr="00097FE9">
        <w:rPr>
          <w:i/>
          <w:iCs/>
        </w:rPr>
        <w:t>Id.</w:t>
      </w:r>
      <w:r w:rsidRPr="002D0108">
        <w:t xml:space="preserve">  </w:t>
      </w:r>
    </w:p>
    <w:p w14:paraId="1312CCA4" w14:textId="6EBDA649" w:rsidR="002D0108" w:rsidRPr="002D0108" w:rsidRDefault="00530B19" w:rsidP="00F22C6D">
      <w:pPr>
        <w:pStyle w:val="FootnoteText"/>
      </w:pPr>
      <w:r>
        <w:tab/>
      </w:r>
    </w:p>
  </w:footnote>
  <w:footnote w:id="8">
    <w:p w14:paraId="53416ED1" w14:textId="77777777" w:rsidR="002D0108" w:rsidRPr="002D0108" w:rsidRDefault="002D0108" w:rsidP="00530B19">
      <w:pPr>
        <w:pStyle w:val="FootnoteText"/>
        <w:ind w:firstLine="720"/>
      </w:pPr>
      <w:r w:rsidRPr="002D0108">
        <w:rPr>
          <w:rStyle w:val="FootnoteReference"/>
        </w:rPr>
        <w:footnoteRef/>
      </w:r>
      <w:r w:rsidRPr="002D0108">
        <w:t xml:space="preserve"> </w:t>
      </w:r>
      <w:r w:rsidRPr="002D0108">
        <w:tab/>
      </w:r>
      <w:r w:rsidRPr="00097FE9">
        <w:rPr>
          <w:i/>
          <w:iCs/>
        </w:rPr>
        <w:t>Roc v. Flaherty</w:t>
      </w:r>
      <w:r w:rsidRPr="002D0108">
        <w:t xml:space="preserve">, 527 A.2d 211 (Pa.Cmwlth. 1985).  </w:t>
      </w:r>
    </w:p>
    <w:p w14:paraId="10452D75" w14:textId="77777777" w:rsidR="002D0108" w:rsidRPr="002D0108" w:rsidRDefault="002D0108" w:rsidP="00F22C6D">
      <w:pPr>
        <w:pStyle w:val="FootnoteText"/>
      </w:pPr>
    </w:p>
  </w:footnote>
  <w:footnote w:id="9">
    <w:p w14:paraId="48ED99B3" w14:textId="5F09893D" w:rsidR="002D0108" w:rsidRPr="002D0108" w:rsidRDefault="002D0108" w:rsidP="00530B19">
      <w:pPr>
        <w:pStyle w:val="FootnoteText"/>
        <w:ind w:firstLine="720"/>
      </w:pPr>
      <w:r w:rsidRPr="002D0108">
        <w:rPr>
          <w:rStyle w:val="FootnoteReference"/>
        </w:rPr>
        <w:footnoteRef/>
      </w:r>
      <w:r w:rsidRPr="002D0108">
        <w:t xml:space="preserve"> </w:t>
      </w:r>
      <w:r w:rsidRPr="002D0108">
        <w:tab/>
      </w:r>
      <w:r w:rsidRPr="00097FE9">
        <w:rPr>
          <w:i/>
          <w:iCs/>
        </w:rPr>
        <w:t>Dept. of Auditor General, et al. v. State Employees’ Retirement System, et al.,</w:t>
      </w:r>
      <w:r w:rsidRPr="002D0108">
        <w:t xml:space="preserve"> 836 A.2d 1053, 1064 (Pa.Cmwlth. 2003) (</w:t>
      </w:r>
      <w:r w:rsidRPr="00097FE9">
        <w:rPr>
          <w:i/>
          <w:iCs/>
        </w:rPr>
        <w:t>citing, Boyd v. Ward</w:t>
      </w:r>
      <w:r w:rsidRPr="002D0108">
        <w:t>, 802 A.2d 705 (Pa.Cmwlth. 2002).</w:t>
      </w:r>
    </w:p>
    <w:p w14:paraId="5E2E4AB5" w14:textId="77777777" w:rsidR="002D0108" w:rsidRPr="002D0108" w:rsidRDefault="002D0108" w:rsidP="00F22C6D">
      <w:pPr>
        <w:pStyle w:val="FootnoteText"/>
      </w:pPr>
    </w:p>
  </w:footnote>
  <w:footnote w:id="10">
    <w:p w14:paraId="30F4E410" w14:textId="5635F325" w:rsidR="00FB4DC9" w:rsidRPr="002D0108" w:rsidRDefault="00FB4DC9" w:rsidP="00530B19">
      <w:pPr>
        <w:pStyle w:val="FootnoteText"/>
        <w:ind w:firstLine="720"/>
      </w:pPr>
      <w:r w:rsidRPr="002D0108">
        <w:rPr>
          <w:rStyle w:val="FootnoteReference"/>
        </w:rPr>
        <w:footnoteRef/>
      </w:r>
      <w:r w:rsidRPr="002D0108">
        <w:t xml:space="preserve"> </w:t>
      </w:r>
      <w:r w:rsidRPr="002D0108">
        <w:tab/>
        <w:t xml:space="preserve">66 Pa.C.S. § 703(b).  </w:t>
      </w:r>
      <w:r w:rsidR="00C94618">
        <w:t>See also 52 Pa.</w:t>
      </w:r>
      <w:r w:rsidR="00D54B7B" w:rsidRPr="002D0108">
        <w:t xml:space="preserve">Code § 5.21(d).  </w:t>
      </w:r>
    </w:p>
    <w:p w14:paraId="3DDDF947" w14:textId="77777777" w:rsidR="00FB4DC9" w:rsidRPr="002D0108" w:rsidRDefault="00FB4DC9" w:rsidP="00F22C6D">
      <w:pPr>
        <w:pStyle w:val="FootnoteText"/>
      </w:pPr>
    </w:p>
  </w:footnote>
  <w:footnote w:id="11">
    <w:p w14:paraId="07B0ECDE" w14:textId="1BD4A819" w:rsidR="008E10A2" w:rsidRPr="00FB4DC9" w:rsidRDefault="008E10A2" w:rsidP="007768A0">
      <w:pPr>
        <w:pStyle w:val="FootnoteText"/>
        <w:ind w:firstLine="720"/>
      </w:pPr>
      <w:r w:rsidRPr="00FB4DC9">
        <w:rPr>
          <w:rStyle w:val="FootnoteReference"/>
        </w:rPr>
        <w:footnoteRef/>
      </w:r>
      <w:r w:rsidRPr="00FB4DC9">
        <w:t xml:space="preserve"> </w:t>
      </w:r>
      <w:r w:rsidRPr="00FB4DC9">
        <w:tab/>
      </w:r>
      <w:r w:rsidRPr="00097FE9">
        <w:rPr>
          <w:i/>
          <w:iCs/>
        </w:rPr>
        <w:t>Lehigh Valley Power Committee v. P</w:t>
      </w:r>
      <w:r w:rsidR="002E4030" w:rsidRPr="00097FE9">
        <w:rPr>
          <w:i/>
          <w:iCs/>
        </w:rPr>
        <w:t>a. Pub. Util. Comm’n</w:t>
      </w:r>
      <w:r w:rsidRPr="00FB4DC9">
        <w:t xml:space="preserve">, 563 A.2d 548 (1989).  </w:t>
      </w:r>
      <w:r w:rsidR="00B601A8" w:rsidRPr="00097FE9">
        <w:rPr>
          <w:i/>
          <w:iCs/>
        </w:rPr>
        <w:t>See a</w:t>
      </w:r>
      <w:r w:rsidRPr="00097FE9">
        <w:rPr>
          <w:i/>
          <w:iCs/>
        </w:rPr>
        <w:t>lso Edan Transportation Corp. v. P</w:t>
      </w:r>
      <w:r w:rsidR="002E4030" w:rsidRPr="00097FE9">
        <w:rPr>
          <w:i/>
          <w:iCs/>
        </w:rPr>
        <w:t>a. Pub. Util. Comm’n</w:t>
      </w:r>
      <w:r w:rsidRPr="00097FE9">
        <w:rPr>
          <w:i/>
          <w:iCs/>
        </w:rPr>
        <w:t>,</w:t>
      </w:r>
      <w:r w:rsidRPr="00FB4DC9">
        <w:t xml:space="preserve"> 623 A.2d 6 (1993).</w:t>
      </w:r>
    </w:p>
    <w:p w14:paraId="297BAC7C" w14:textId="77777777" w:rsidR="008E10A2" w:rsidRPr="0026091C" w:rsidRDefault="008E10A2" w:rsidP="00F22C6D">
      <w:pPr>
        <w:pStyle w:val="FootnoteText"/>
      </w:pPr>
    </w:p>
  </w:footnote>
  <w:footnote w:id="12">
    <w:p w14:paraId="0894CE7E" w14:textId="77777777" w:rsidR="00D54B7B" w:rsidRDefault="00D54B7B" w:rsidP="007768A0">
      <w:pPr>
        <w:pStyle w:val="FootnoteText"/>
        <w:ind w:firstLine="720"/>
      </w:pPr>
      <w:r>
        <w:rPr>
          <w:rStyle w:val="FootnoteReference"/>
        </w:rPr>
        <w:footnoteRef/>
      </w:r>
      <w:r>
        <w:t xml:space="preserve"> </w:t>
      </w:r>
      <w:r>
        <w:tab/>
      </w:r>
      <w:r w:rsidRPr="00097FE9">
        <w:rPr>
          <w:i/>
          <w:iCs/>
        </w:rPr>
        <w:t>Musisko v</w:t>
      </w:r>
      <w:r w:rsidR="003E639D" w:rsidRPr="00097FE9">
        <w:rPr>
          <w:i/>
          <w:iCs/>
        </w:rPr>
        <w:t>.</w:t>
      </w:r>
      <w:r w:rsidRPr="00097FE9">
        <w:rPr>
          <w:i/>
          <w:iCs/>
        </w:rPr>
        <w:t xml:space="preserve"> Pennsylvania American Water Company</w:t>
      </w:r>
      <w:r>
        <w:t>, Docket No. C-2008-2061663 (Final Order entered May 13, 2009).</w:t>
      </w:r>
    </w:p>
    <w:p w14:paraId="4FC26927" w14:textId="77777777" w:rsidR="00D54B7B" w:rsidRDefault="00D54B7B" w:rsidP="00F22C6D">
      <w:pPr>
        <w:pStyle w:val="FootnoteText"/>
      </w:pPr>
    </w:p>
  </w:footnote>
  <w:footnote w:id="13">
    <w:p w14:paraId="308B77FD" w14:textId="22F4DDCC" w:rsidR="005B4E44" w:rsidRDefault="005B4E44" w:rsidP="007768A0">
      <w:pPr>
        <w:pStyle w:val="FootnoteText"/>
        <w:ind w:firstLine="720"/>
      </w:pPr>
      <w:r w:rsidRPr="00AF65B7">
        <w:rPr>
          <w:rStyle w:val="FootnoteReference"/>
        </w:rPr>
        <w:footnoteRef/>
      </w:r>
      <w:r w:rsidRPr="00AF65B7">
        <w:t xml:space="preserve"> </w:t>
      </w:r>
      <w:r w:rsidRPr="00235A85">
        <w:tab/>
      </w:r>
      <w:r w:rsidRPr="00097FE9">
        <w:rPr>
          <w:i/>
        </w:rPr>
        <w:t xml:space="preserve">See </w:t>
      </w:r>
      <w:r>
        <w:t>52 Pa.</w:t>
      </w:r>
      <w:r w:rsidRPr="00235A85">
        <w:t>Code §</w:t>
      </w:r>
      <w:r>
        <w:t xml:space="preserve"> </w:t>
      </w:r>
      <w:r w:rsidRPr="00235A85">
        <w:t>5.21(a).</w:t>
      </w:r>
    </w:p>
    <w:p w14:paraId="747ED3C0" w14:textId="77777777" w:rsidR="00C87D74" w:rsidRPr="00235A85" w:rsidRDefault="00C87D74" w:rsidP="005B4E44">
      <w:pPr>
        <w:pStyle w:val="FootnoteText"/>
      </w:pPr>
    </w:p>
  </w:footnote>
  <w:footnote w:id="14">
    <w:p w14:paraId="35E44073" w14:textId="77777777" w:rsidR="007F572E" w:rsidRDefault="007F572E" w:rsidP="007F572E">
      <w:pPr>
        <w:pStyle w:val="FootnoteText"/>
        <w:ind w:firstLine="720"/>
      </w:pPr>
      <w:r>
        <w:rPr>
          <w:rStyle w:val="FootnoteReference"/>
        </w:rPr>
        <w:footnoteRef/>
      </w:r>
      <w:r>
        <w:t xml:space="preserve"> </w:t>
      </w:r>
      <w:r>
        <w:tab/>
        <w:t xml:space="preserve">See 52 Pa.Code § 5.101(a) and (b).  </w:t>
      </w:r>
    </w:p>
    <w:p w14:paraId="108957B8" w14:textId="77777777" w:rsidR="007F572E" w:rsidRDefault="007F572E" w:rsidP="007F572E">
      <w:pPr>
        <w:pStyle w:val="FootnoteText"/>
      </w:pPr>
    </w:p>
  </w:footnote>
  <w:footnote w:id="15">
    <w:p w14:paraId="63CDD313" w14:textId="0BE2DBCE" w:rsidR="005B4E44" w:rsidRDefault="005B4E44" w:rsidP="007768A0">
      <w:pPr>
        <w:pStyle w:val="FootnoteText"/>
        <w:ind w:firstLine="720"/>
      </w:pPr>
      <w:r w:rsidRPr="00AF65B7">
        <w:rPr>
          <w:rStyle w:val="FootnoteReference"/>
        </w:rPr>
        <w:footnoteRef/>
      </w:r>
      <w:r w:rsidRPr="00AF65B7">
        <w:rPr>
          <w:vertAlign w:val="superscript"/>
        </w:rPr>
        <w:t xml:space="preserve"> </w:t>
      </w:r>
      <w:r w:rsidRPr="00235A85">
        <w:tab/>
      </w:r>
      <w:r w:rsidRPr="00097FE9">
        <w:rPr>
          <w:i/>
          <w:iCs/>
        </w:rPr>
        <w:t>City of Pittsburgh v. Pa. Pub. Util. Comm’n</w:t>
      </w:r>
      <w:r w:rsidRPr="00235A85">
        <w:t xml:space="preserve">, 43 A.2d 348 (Pa.Super. 1945).  </w:t>
      </w:r>
    </w:p>
    <w:p w14:paraId="6A276906" w14:textId="77777777" w:rsidR="005B4E44" w:rsidRPr="00235A85" w:rsidRDefault="005B4E44" w:rsidP="005B4E44">
      <w:pPr>
        <w:pStyle w:val="FootnoteText"/>
      </w:pPr>
    </w:p>
  </w:footnote>
  <w:footnote w:id="16">
    <w:p w14:paraId="04F50551" w14:textId="77777777" w:rsidR="005B4E44" w:rsidRDefault="005B4E44" w:rsidP="007768A0">
      <w:pPr>
        <w:pStyle w:val="FootnoteText"/>
        <w:ind w:firstLine="720"/>
      </w:pPr>
      <w:r w:rsidRPr="00AF65B7">
        <w:rPr>
          <w:rStyle w:val="FootnoteReference"/>
        </w:rPr>
        <w:footnoteRef/>
      </w:r>
      <w:r w:rsidRPr="00AF65B7">
        <w:rPr>
          <w:vertAlign w:val="superscript"/>
        </w:rPr>
        <w:t xml:space="preserve"> </w:t>
      </w:r>
      <w:r w:rsidRPr="00235A85">
        <w:tab/>
      </w:r>
      <w:r w:rsidRPr="00097FE9">
        <w:rPr>
          <w:i/>
          <w:iCs/>
        </w:rPr>
        <w:t>Roberts v. Martorano</w:t>
      </w:r>
      <w:r w:rsidRPr="00235A85">
        <w:t xml:space="preserve">, 235 A.2d 602 (1967).  </w:t>
      </w:r>
    </w:p>
    <w:p w14:paraId="46D9AAC0" w14:textId="77777777" w:rsidR="005B4E44" w:rsidRPr="00235A85" w:rsidRDefault="005B4E44" w:rsidP="005B4E44">
      <w:pPr>
        <w:pStyle w:val="FootnoteText"/>
      </w:pPr>
    </w:p>
  </w:footnote>
  <w:footnote w:id="17">
    <w:p w14:paraId="277855AD" w14:textId="19171DDE" w:rsidR="005B4E44" w:rsidRPr="00235A85" w:rsidRDefault="005B4E44" w:rsidP="007768A0">
      <w:pPr>
        <w:pStyle w:val="FootnoteText"/>
        <w:ind w:firstLine="720"/>
      </w:pPr>
      <w:r w:rsidRPr="002D1C45">
        <w:rPr>
          <w:rStyle w:val="FootnoteReference"/>
        </w:rPr>
        <w:footnoteRef/>
      </w:r>
      <w:r w:rsidRPr="00235A85">
        <w:t xml:space="preserve"> </w:t>
      </w:r>
      <w:r w:rsidRPr="00235A85">
        <w:tab/>
      </w:r>
      <w:r w:rsidRPr="00097FE9">
        <w:rPr>
          <w:i/>
          <w:iCs/>
        </w:rPr>
        <w:t>DeFrancesco et al. v. Western Pennsylvania Water Company</w:t>
      </w:r>
      <w:r w:rsidRPr="00235A85">
        <w:t xml:space="preserve">, 435 A.2d 614, 616 (Pa.Super. 1981) vacated and remanded on other grounds, 435 A.2d 595 (1982).  </w:t>
      </w:r>
    </w:p>
  </w:footnote>
  <w:footnote w:id="18">
    <w:p w14:paraId="4E7BA417" w14:textId="77777777" w:rsidR="005B4E44" w:rsidRPr="00235A85" w:rsidRDefault="005B4E44" w:rsidP="005B4E44">
      <w:pPr>
        <w:pStyle w:val="FootnoteText"/>
      </w:pPr>
    </w:p>
    <w:p w14:paraId="7852E2D0" w14:textId="77777777" w:rsidR="005B4E44" w:rsidRDefault="005B4E44" w:rsidP="007768A0">
      <w:pPr>
        <w:pStyle w:val="FootnoteText"/>
        <w:ind w:firstLine="720"/>
      </w:pPr>
      <w:r w:rsidRPr="002D1C45">
        <w:rPr>
          <w:rStyle w:val="FootnoteReference"/>
        </w:rPr>
        <w:footnoteRef/>
      </w:r>
      <w:r w:rsidRPr="00235A85">
        <w:t xml:space="preserve"> </w:t>
      </w:r>
      <w:r w:rsidRPr="00235A85">
        <w:tab/>
      </w:r>
      <w:r w:rsidRPr="00097FE9">
        <w:rPr>
          <w:i/>
          <w:iCs/>
        </w:rPr>
        <w:t>Hughes v. PA State Police</w:t>
      </w:r>
      <w:r w:rsidRPr="00235A85">
        <w:t xml:space="preserve">, 619 A.2d 390 (1992), </w:t>
      </w:r>
      <w:r w:rsidRPr="00235A85">
        <w:rPr>
          <w:i/>
        </w:rPr>
        <w:t>alloc. denied</w:t>
      </w:r>
      <w:r w:rsidRPr="00235A85">
        <w:t xml:space="preserve">, 637 A.2d 293 (1993).    </w:t>
      </w:r>
    </w:p>
    <w:p w14:paraId="1ED44B50" w14:textId="77777777" w:rsidR="005B4E44" w:rsidRPr="00235A85" w:rsidRDefault="005B4E44" w:rsidP="005B4E4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32294420">
    <w:abstractNumId w:val="1"/>
  </w:num>
  <w:num w:numId="2" w16cid:durableId="128542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2D"/>
    <w:rsid w:val="000115C6"/>
    <w:rsid w:val="000133C2"/>
    <w:rsid w:val="000140B2"/>
    <w:rsid w:val="00015C2C"/>
    <w:rsid w:val="0001627D"/>
    <w:rsid w:val="00017B90"/>
    <w:rsid w:val="000202CD"/>
    <w:rsid w:val="00027891"/>
    <w:rsid w:val="00033C00"/>
    <w:rsid w:val="00034A51"/>
    <w:rsid w:val="00034EAC"/>
    <w:rsid w:val="000414AB"/>
    <w:rsid w:val="0004550B"/>
    <w:rsid w:val="00045D50"/>
    <w:rsid w:val="00050B64"/>
    <w:rsid w:val="00050C7A"/>
    <w:rsid w:val="00051F15"/>
    <w:rsid w:val="00056BB7"/>
    <w:rsid w:val="0006422B"/>
    <w:rsid w:val="000653E2"/>
    <w:rsid w:val="00066968"/>
    <w:rsid w:val="00074DC4"/>
    <w:rsid w:val="00077BCD"/>
    <w:rsid w:val="00085B08"/>
    <w:rsid w:val="000915B2"/>
    <w:rsid w:val="00097FE9"/>
    <w:rsid w:val="000A3EDB"/>
    <w:rsid w:val="000A64BD"/>
    <w:rsid w:val="000C319B"/>
    <w:rsid w:val="000C7067"/>
    <w:rsid w:val="000C7AD8"/>
    <w:rsid w:val="000D3F9E"/>
    <w:rsid w:val="000E04AA"/>
    <w:rsid w:val="000F757B"/>
    <w:rsid w:val="00100E55"/>
    <w:rsid w:val="00104350"/>
    <w:rsid w:val="00110020"/>
    <w:rsid w:val="00114D47"/>
    <w:rsid w:val="00122702"/>
    <w:rsid w:val="001236E5"/>
    <w:rsid w:val="00131A6A"/>
    <w:rsid w:val="00132CFA"/>
    <w:rsid w:val="00135C3C"/>
    <w:rsid w:val="0014072B"/>
    <w:rsid w:val="001501CC"/>
    <w:rsid w:val="00151B1A"/>
    <w:rsid w:val="00157663"/>
    <w:rsid w:val="001634A6"/>
    <w:rsid w:val="00163537"/>
    <w:rsid w:val="00163F25"/>
    <w:rsid w:val="001648F6"/>
    <w:rsid w:val="00175EBC"/>
    <w:rsid w:val="001840F6"/>
    <w:rsid w:val="00184C9B"/>
    <w:rsid w:val="001A144E"/>
    <w:rsid w:val="001A3790"/>
    <w:rsid w:val="001A3798"/>
    <w:rsid w:val="001A5175"/>
    <w:rsid w:val="001B2509"/>
    <w:rsid w:val="001B2791"/>
    <w:rsid w:val="001B71C9"/>
    <w:rsid w:val="001D0688"/>
    <w:rsid w:val="001D2723"/>
    <w:rsid w:val="001D65FC"/>
    <w:rsid w:val="001E441D"/>
    <w:rsid w:val="001E49F9"/>
    <w:rsid w:val="001F0055"/>
    <w:rsid w:val="001F1010"/>
    <w:rsid w:val="001F7F1F"/>
    <w:rsid w:val="002046E4"/>
    <w:rsid w:val="002107C2"/>
    <w:rsid w:val="0021130D"/>
    <w:rsid w:val="00214F5B"/>
    <w:rsid w:val="00217ACF"/>
    <w:rsid w:val="00221C86"/>
    <w:rsid w:val="00226F81"/>
    <w:rsid w:val="00232DDC"/>
    <w:rsid w:val="00234A4C"/>
    <w:rsid w:val="00236CD4"/>
    <w:rsid w:val="002456B2"/>
    <w:rsid w:val="002530E5"/>
    <w:rsid w:val="00255B3E"/>
    <w:rsid w:val="00267ACE"/>
    <w:rsid w:val="00282477"/>
    <w:rsid w:val="002825A7"/>
    <w:rsid w:val="00286096"/>
    <w:rsid w:val="00286713"/>
    <w:rsid w:val="00290A5A"/>
    <w:rsid w:val="0029474F"/>
    <w:rsid w:val="002A67F1"/>
    <w:rsid w:val="002A788B"/>
    <w:rsid w:val="002A7E4E"/>
    <w:rsid w:val="002B37DB"/>
    <w:rsid w:val="002B4C55"/>
    <w:rsid w:val="002B7DB0"/>
    <w:rsid w:val="002C4EAA"/>
    <w:rsid w:val="002D0108"/>
    <w:rsid w:val="002D44C8"/>
    <w:rsid w:val="002D5998"/>
    <w:rsid w:val="002D75EB"/>
    <w:rsid w:val="002E4030"/>
    <w:rsid w:val="002E7B13"/>
    <w:rsid w:val="002F6C9B"/>
    <w:rsid w:val="00303EEF"/>
    <w:rsid w:val="00305D4F"/>
    <w:rsid w:val="003113DA"/>
    <w:rsid w:val="00311F84"/>
    <w:rsid w:val="003121E7"/>
    <w:rsid w:val="0032003A"/>
    <w:rsid w:val="003205B0"/>
    <w:rsid w:val="00325818"/>
    <w:rsid w:val="003268DC"/>
    <w:rsid w:val="00330992"/>
    <w:rsid w:val="00336989"/>
    <w:rsid w:val="00336E70"/>
    <w:rsid w:val="00343B49"/>
    <w:rsid w:val="00345BE2"/>
    <w:rsid w:val="00346EE4"/>
    <w:rsid w:val="0035047B"/>
    <w:rsid w:val="00350CEB"/>
    <w:rsid w:val="003534C9"/>
    <w:rsid w:val="00357831"/>
    <w:rsid w:val="00357DF5"/>
    <w:rsid w:val="0037083D"/>
    <w:rsid w:val="00373793"/>
    <w:rsid w:val="003750D6"/>
    <w:rsid w:val="00375201"/>
    <w:rsid w:val="00381896"/>
    <w:rsid w:val="00386FC9"/>
    <w:rsid w:val="003B3420"/>
    <w:rsid w:val="003B4B80"/>
    <w:rsid w:val="003B6723"/>
    <w:rsid w:val="003C35EF"/>
    <w:rsid w:val="003C3B91"/>
    <w:rsid w:val="003D2245"/>
    <w:rsid w:val="003E639D"/>
    <w:rsid w:val="00402F29"/>
    <w:rsid w:val="00406555"/>
    <w:rsid w:val="00411A87"/>
    <w:rsid w:val="00422BDB"/>
    <w:rsid w:val="00435064"/>
    <w:rsid w:val="004523A0"/>
    <w:rsid w:val="004677E9"/>
    <w:rsid w:val="00471C26"/>
    <w:rsid w:val="00491E3B"/>
    <w:rsid w:val="004927A3"/>
    <w:rsid w:val="0049417A"/>
    <w:rsid w:val="004A0DC9"/>
    <w:rsid w:val="004A2D46"/>
    <w:rsid w:val="004B1EFF"/>
    <w:rsid w:val="004B205B"/>
    <w:rsid w:val="004C54C2"/>
    <w:rsid w:val="004D3876"/>
    <w:rsid w:val="004D608E"/>
    <w:rsid w:val="004E2104"/>
    <w:rsid w:val="004E415F"/>
    <w:rsid w:val="004E7F6B"/>
    <w:rsid w:val="004F319B"/>
    <w:rsid w:val="00502F3D"/>
    <w:rsid w:val="00503094"/>
    <w:rsid w:val="00503BA8"/>
    <w:rsid w:val="005115EB"/>
    <w:rsid w:val="00512840"/>
    <w:rsid w:val="00512ACE"/>
    <w:rsid w:val="00517B11"/>
    <w:rsid w:val="0052371C"/>
    <w:rsid w:val="005268BE"/>
    <w:rsid w:val="00530B19"/>
    <w:rsid w:val="00545E7A"/>
    <w:rsid w:val="00545FC6"/>
    <w:rsid w:val="00554246"/>
    <w:rsid w:val="0056495C"/>
    <w:rsid w:val="00564C48"/>
    <w:rsid w:val="005706DE"/>
    <w:rsid w:val="00591F3A"/>
    <w:rsid w:val="00594EFF"/>
    <w:rsid w:val="005B0840"/>
    <w:rsid w:val="005B4E44"/>
    <w:rsid w:val="005C575D"/>
    <w:rsid w:val="005D1108"/>
    <w:rsid w:val="005D3A87"/>
    <w:rsid w:val="005D5A51"/>
    <w:rsid w:val="005E192D"/>
    <w:rsid w:val="005E5991"/>
    <w:rsid w:val="005F03C9"/>
    <w:rsid w:val="005F65D7"/>
    <w:rsid w:val="00600A5B"/>
    <w:rsid w:val="00610829"/>
    <w:rsid w:val="00612813"/>
    <w:rsid w:val="006204F5"/>
    <w:rsid w:val="00622F61"/>
    <w:rsid w:val="00635B38"/>
    <w:rsid w:val="006414BE"/>
    <w:rsid w:val="00643573"/>
    <w:rsid w:val="00644347"/>
    <w:rsid w:val="00645EEC"/>
    <w:rsid w:val="00654FCD"/>
    <w:rsid w:val="006643B0"/>
    <w:rsid w:val="00665C80"/>
    <w:rsid w:val="00666383"/>
    <w:rsid w:val="0067181D"/>
    <w:rsid w:val="00681EC0"/>
    <w:rsid w:val="00691397"/>
    <w:rsid w:val="00695ABB"/>
    <w:rsid w:val="00696FF8"/>
    <w:rsid w:val="006A23EB"/>
    <w:rsid w:val="006A4C17"/>
    <w:rsid w:val="006C3E00"/>
    <w:rsid w:val="006C729D"/>
    <w:rsid w:val="006D11C7"/>
    <w:rsid w:val="006D377A"/>
    <w:rsid w:val="006D612D"/>
    <w:rsid w:val="006D6EA3"/>
    <w:rsid w:val="006E1D49"/>
    <w:rsid w:val="006E4E31"/>
    <w:rsid w:val="007059B5"/>
    <w:rsid w:val="00716D0B"/>
    <w:rsid w:val="00727882"/>
    <w:rsid w:val="007300A0"/>
    <w:rsid w:val="00734198"/>
    <w:rsid w:val="00734334"/>
    <w:rsid w:val="007369E5"/>
    <w:rsid w:val="00742EF6"/>
    <w:rsid w:val="00753B6C"/>
    <w:rsid w:val="007547C1"/>
    <w:rsid w:val="00761782"/>
    <w:rsid w:val="007705D7"/>
    <w:rsid w:val="007734AD"/>
    <w:rsid w:val="007768A0"/>
    <w:rsid w:val="00780F67"/>
    <w:rsid w:val="00787CBA"/>
    <w:rsid w:val="007902B0"/>
    <w:rsid w:val="0079136D"/>
    <w:rsid w:val="007A25B9"/>
    <w:rsid w:val="007A2BC0"/>
    <w:rsid w:val="007A4444"/>
    <w:rsid w:val="007B758B"/>
    <w:rsid w:val="007D1D89"/>
    <w:rsid w:val="007D7F10"/>
    <w:rsid w:val="007F572E"/>
    <w:rsid w:val="0080465F"/>
    <w:rsid w:val="00804BA9"/>
    <w:rsid w:val="00814C19"/>
    <w:rsid w:val="00845DB3"/>
    <w:rsid w:val="008475EB"/>
    <w:rsid w:val="00861AC7"/>
    <w:rsid w:val="008644A6"/>
    <w:rsid w:val="008650D5"/>
    <w:rsid w:val="00865726"/>
    <w:rsid w:val="00875414"/>
    <w:rsid w:val="008854E6"/>
    <w:rsid w:val="00891DD7"/>
    <w:rsid w:val="008A241E"/>
    <w:rsid w:val="008A5AE9"/>
    <w:rsid w:val="008B4A66"/>
    <w:rsid w:val="008B6626"/>
    <w:rsid w:val="008C1B09"/>
    <w:rsid w:val="008C772F"/>
    <w:rsid w:val="008D2C45"/>
    <w:rsid w:val="008D2CCF"/>
    <w:rsid w:val="008E10A2"/>
    <w:rsid w:val="008E4BBE"/>
    <w:rsid w:val="008E4D10"/>
    <w:rsid w:val="008E7DBC"/>
    <w:rsid w:val="008F523C"/>
    <w:rsid w:val="008F6854"/>
    <w:rsid w:val="00910B27"/>
    <w:rsid w:val="00915EA6"/>
    <w:rsid w:val="00921D8C"/>
    <w:rsid w:val="00924EEC"/>
    <w:rsid w:val="00925439"/>
    <w:rsid w:val="0093009B"/>
    <w:rsid w:val="009428B0"/>
    <w:rsid w:val="00955D8E"/>
    <w:rsid w:val="00963263"/>
    <w:rsid w:val="00964560"/>
    <w:rsid w:val="00975B24"/>
    <w:rsid w:val="00985F9F"/>
    <w:rsid w:val="0099279E"/>
    <w:rsid w:val="00997D89"/>
    <w:rsid w:val="009A19D4"/>
    <w:rsid w:val="009B6C03"/>
    <w:rsid w:val="009C0EC8"/>
    <w:rsid w:val="009C5159"/>
    <w:rsid w:val="009D7EF3"/>
    <w:rsid w:val="009E656C"/>
    <w:rsid w:val="009F2DD8"/>
    <w:rsid w:val="00A0001B"/>
    <w:rsid w:val="00A0355E"/>
    <w:rsid w:val="00A15B8E"/>
    <w:rsid w:val="00A1665A"/>
    <w:rsid w:val="00A20AB2"/>
    <w:rsid w:val="00A22C5D"/>
    <w:rsid w:val="00A441D0"/>
    <w:rsid w:val="00A45DB0"/>
    <w:rsid w:val="00A50259"/>
    <w:rsid w:val="00A51F52"/>
    <w:rsid w:val="00A55098"/>
    <w:rsid w:val="00A56672"/>
    <w:rsid w:val="00A6442A"/>
    <w:rsid w:val="00A6592E"/>
    <w:rsid w:val="00A67131"/>
    <w:rsid w:val="00A72295"/>
    <w:rsid w:val="00A72C5F"/>
    <w:rsid w:val="00A757AE"/>
    <w:rsid w:val="00A80302"/>
    <w:rsid w:val="00A8199E"/>
    <w:rsid w:val="00A90C27"/>
    <w:rsid w:val="00A92BAC"/>
    <w:rsid w:val="00A958E4"/>
    <w:rsid w:val="00A95915"/>
    <w:rsid w:val="00AA0C06"/>
    <w:rsid w:val="00AB161E"/>
    <w:rsid w:val="00AB5CFB"/>
    <w:rsid w:val="00AC088B"/>
    <w:rsid w:val="00AC0FB3"/>
    <w:rsid w:val="00AC11D4"/>
    <w:rsid w:val="00AC53A4"/>
    <w:rsid w:val="00AC752D"/>
    <w:rsid w:val="00AD1D92"/>
    <w:rsid w:val="00AE00D5"/>
    <w:rsid w:val="00AE00DD"/>
    <w:rsid w:val="00AE797D"/>
    <w:rsid w:val="00AF1B06"/>
    <w:rsid w:val="00AF6F81"/>
    <w:rsid w:val="00B1184A"/>
    <w:rsid w:val="00B12495"/>
    <w:rsid w:val="00B2050F"/>
    <w:rsid w:val="00B31E9F"/>
    <w:rsid w:val="00B42058"/>
    <w:rsid w:val="00B45982"/>
    <w:rsid w:val="00B47FC3"/>
    <w:rsid w:val="00B601A8"/>
    <w:rsid w:val="00B611F0"/>
    <w:rsid w:val="00B618A2"/>
    <w:rsid w:val="00B66329"/>
    <w:rsid w:val="00B727EB"/>
    <w:rsid w:val="00B73C36"/>
    <w:rsid w:val="00B7505E"/>
    <w:rsid w:val="00B82D84"/>
    <w:rsid w:val="00B87B56"/>
    <w:rsid w:val="00B9236A"/>
    <w:rsid w:val="00BA3753"/>
    <w:rsid w:val="00BA6AB3"/>
    <w:rsid w:val="00BA7E78"/>
    <w:rsid w:val="00BA7EDA"/>
    <w:rsid w:val="00BB3303"/>
    <w:rsid w:val="00BB5653"/>
    <w:rsid w:val="00BB75A5"/>
    <w:rsid w:val="00BC2D6D"/>
    <w:rsid w:val="00BC326C"/>
    <w:rsid w:val="00BD22B8"/>
    <w:rsid w:val="00BD2995"/>
    <w:rsid w:val="00BD5792"/>
    <w:rsid w:val="00BE0807"/>
    <w:rsid w:val="00C00FB2"/>
    <w:rsid w:val="00C0371E"/>
    <w:rsid w:val="00C063FB"/>
    <w:rsid w:val="00C07F36"/>
    <w:rsid w:val="00C115B5"/>
    <w:rsid w:val="00C21C8A"/>
    <w:rsid w:val="00C2748B"/>
    <w:rsid w:val="00C355BF"/>
    <w:rsid w:val="00C52C32"/>
    <w:rsid w:val="00C60074"/>
    <w:rsid w:val="00C60B6F"/>
    <w:rsid w:val="00C620D8"/>
    <w:rsid w:val="00C6388D"/>
    <w:rsid w:val="00C7017F"/>
    <w:rsid w:val="00C719D4"/>
    <w:rsid w:val="00C744FB"/>
    <w:rsid w:val="00C76678"/>
    <w:rsid w:val="00C857E6"/>
    <w:rsid w:val="00C87D74"/>
    <w:rsid w:val="00C94618"/>
    <w:rsid w:val="00CA21AE"/>
    <w:rsid w:val="00CB1287"/>
    <w:rsid w:val="00CC04B4"/>
    <w:rsid w:val="00CD0792"/>
    <w:rsid w:val="00CD7AE8"/>
    <w:rsid w:val="00CE6985"/>
    <w:rsid w:val="00CF0238"/>
    <w:rsid w:val="00CF0D52"/>
    <w:rsid w:val="00CF16D0"/>
    <w:rsid w:val="00D0518D"/>
    <w:rsid w:val="00D05A71"/>
    <w:rsid w:val="00D13550"/>
    <w:rsid w:val="00D15956"/>
    <w:rsid w:val="00D21FF2"/>
    <w:rsid w:val="00D247F9"/>
    <w:rsid w:val="00D26B0F"/>
    <w:rsid w:val="00D336A3"/>
    <w:rsid w:val="00D34F31"/>
    <w:rsid w:val="00D54B7B"/>
    <w:rsid w:val="00D54E4D"/>
    <w:rsid w:val="00D62958"/>
    <w:rsid w:val="00D65F60"/>
    <w:rsid w:val="00D74221"/>
    <w:rsid w:val="00D75942"/>
    <w:rsid w:val="00D77B22"/>
    <w:rsid w:val="00D92FCF"/>
    <w:rsid w:val="00D9344F"/>
    <w:rsid w:val="00DA26D2"/>
    <w:rsid w:val="00DA3E4C"/>
    <w:rsid w:val="00DA57D0"/>
    <w:rsid w:val="00DA5906"/>
    <w:rsid w:val="00DB0CE2"/>
    <w:rsid w:val="00DB20AB"/>
    <w:rsid w:val="00DB2B10"/>
    <w:rsid w:val="00DC42AA"/>
    <w:rsid w:val="00DD03BE"/>
    <w:rsid w:val="00DD0CA3"/>
    <w:rsid w:val="00DE5D97"/>
    <w:rsid w:val="00E07D75"/>
    <w:rsid w:val="00E07DB3"/>
    <w:rsid w:val="00E10A70"/>
    <w:rsid w:val="00E11B3F"/>
    <w:rsid w:val="00E20B8D"/>
    <w:rsid w:val="00E24EB0"/>
    <w:rsid w:val="00E269BB"/>
    <w:rsid w:val="00E37ADC"/>
    <w:rsid w:val="00E416FA"/>
    <w:rsid w:val="00E427D5"/>
    <w:rsid w:val="00E44CE9"/>
    <w:rsid w:val="00E5005B"/>
    <w:rsid w:val="00E56BF6"/>
    <w:rsid w:val="00E619D8"/>
    <w:rsid w:val="00E750D8"/>
    <w:rsid w:val="00E757CB"/>
    <w:rsid w:val="00E86C92"/>
    <w:rsid w:val="00E9055A"/>
    <w:rsid w:val="00E937EB"/>
    <w:rsid w:val="00EA4E98"/>
    <w:rsid w:val="00EB0F79"/>
    <w:rsid w:val="00EB358E"/>
    <w:rsid w:val="00EB4112"/>
    <w:rsid w:val="00EC1CE5"/>
    <w:rsid w:val="00EC320B"/>
    <w:rsid w:val="00ED0351"/>
    <w:rsid w:val="00EE08DE"/>
    <w:rsid w:val="00EE7283"/>
    <w:rsid w:val="00EF1175"/>
    <w:rsid w:val="00EF322E"/>
    <w:rsid w:val="00F019BA"/>
    <w:rsid w:val="00F01CA4"/>
    <w:rsid w:val="00F06D27"/>
    <w:rsid w:val="00F10D39"/>
    <w:rsid w:val="00F22C6D"/>
    <w:rsid w:val="00F274CE"/>
    <w:rsid w:val="00F306C1"/>
    <w:rsid w:val="00F315F8"/>
    <w:rsid w:val="00F44AFA"/>
    <w:rsid w:val="00F619ED"/>
    <w:rsid w:val="00F65B3F"/>
    <w:rsid w:val="00F67645"/>
    <w:rsid w:val="00F719F8"/>
    <w:rsid w:val="00F8364A"/>
    <w:rsid w:val="00F85A24"/>
    <w:rsid w:val="00F95AB1"/>
    <w:rsid w:val="00FA2B46"/>
    <w:rsid w:val="00FA39D8"/>
    <w:rsid w:val="00FA43BA"/>
    <w:rsid w:val="00FB4DC9"/>
    <w:rsid w:val="00FB77FA"/>
    <w:rsid w:val="00FC49B9"/>
    <w:rsid w:val="00FD4409"/>
    <w:rsid w:val="00FE0CD5"/>
    <w:rsid w:val="00FE114E"/>
    <w:rsid w:val="00FE5D90"/>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771484"/>
  <w15:docId w15:val="{3D3AAC1A-3884-4133-94F4-982294D5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TxBrp8">
    <w:name w:val="TxBr_p8"/>
    <w:basedOn w:val="Normal"/>
    <w:rsid w:val="00F306C1"/>
    <w:pPr>
      <w:widowControl w:val="0"/>
      <w:tabs>
        <w:tab w:val="left" w:pos="1468"/>
      </w:tabs>
      <w:adjustRightInd w:val="0"/>
      <w:spacing w:line="464" w:lineRule="atLeast"/>
      <w:ind w:firstLine="1468"/>
    </w:pPr>
    <w:rPr>
      <w:sz w:val="24"/>
      <w:szCs w:val="24"/>
    </w:rPr>
  </w:style>
  <w:style w:type="paragraph" w:styleId="PlainText">
    <w:name w:val="Plain Text"/>
    <w:basedOn w:val="Normal"/>
    <w:rsid w:val="00E10A70"/>
    <w:pPr>
      <w:autoSpaceDE/>
      <w:autoSpaceDN/>
      <w:spacing w:line="360" w:lineRule="auto"/>
      <w:ind w:firstLine="1440"/>
    </w:pPr>
    <w:rPr>
      <w:sz w:val="24"/>
      <w:szCs w:val="24"/>
    </w:rPr>
  </w:style>
  <w:style w:type="paragraph" w:styleId="BalloonText">
    <w:name w:val="Balloon Text"/>
    <w:basedOn w:val="Normal"/>
    <w:link w:val="BalloonTextChar"/>
    <w:rsid w:val="00131A6A"/>
    <w:rPr>
      <w:rFonts w:ascii="Tahoma" w:hAnsi="Tahoma" w:cs="Tahoma"/>
      <w:sz w:val="16"/>
      <w:szCs w:val="16"/>
    </w:rPr>
  </w:style>
  <w:style w:type="character" w:customStyle="1" w:styleId="BalloonTextChar">
    <w:name w:val="Balloon Text Char"/>
    <w:basedOn w:val="DefaultParagraphFont"/>
    <w:link w:val="BalloonText"/>
    <w:rsid w:val="00131A6A"/>
    <w:rPr>
      <w:rFonts w:ascii="Tahoma" w:hAnsi="Tahoma" w:cs="Tahoma"/>
      <w:sz w:val="16"/>
      <w:szCs w:val="16"/>
    </w:rPr>
  </w:style>
  <w:style w:type="paragraph" w:styleId="ListParagraph">
    <w:name w:val="List Paragraph"/>
    <w:basedOn w:val="Normal"/>
    <w:uiPriority w:val="34"/>
    <w:qFormat/>
    <w:rsid w:val="00D34F31"/>
    <w:pPr>
      <w:ind w:left="720"/>
      <w:contextualSpacing/>
    </w:pPr>
  </w:style>
  <w:style w:type="paragraph" w:styleId="EndnoteText">
    <w:name w:val="endnote text"/>
    <w:basedOn w:val="Normal"/>
    <w:link w:val="EndnoteTextChar"/>
    <w:rsid w:val="00D9344F"/>
  </w:style>
  <w:style w:type="character" w:customStyle="1" w:styleId="EndnoteTextChar">
    <w:name w:val="Endnote Text Char"/>
    <w:basedOn w:val="DefaultParagraphFont"/>
    <w:link w:val="EndnoteText"/>
    <w:rsid w:val="00D9344F"/>
  </w:style>
  <w:style w:type="character" w:styleId="EndnoteReference">
    <w:name w:val="endnote reference"/>
    <w:basedOn w:val="DefaultParagraphFont"/>
    <w:rsid w:val="00D9344F"/>
    <w:rPr>
      <w:vertAlign w:val="superscript"/>
    </w:rPr>
  </w:style>
  <w:style w:type="paragraph" w:styleId="NormalWeb">
    <w:name w:val="Normal (Web)"/>
    <w:basedOn w:val="Normal"/>
    <w:unhideWhenUsed/>
    <w:rsid w:val="00A92BAC"/>
    <w:pPr>
      <w:autoSpaceDE/>
      <w:autoSpaceDN/>
      <w:spacing w:before="100" w:beforeAutospacing="1" w:after="100" w:afterAutospacing="1"/>
    </w:pPr>
    <w:rPr>
      <w:sz w:val="24"/>
      <w:szCs w:val="24"/>
    </w:rPr>
  </w:style>
  <w:style w:type="paragraph" w:customStyle="1" w:styleId="Style0">
    <w:name w:val="Style0"/>
    <w:rsid w:val="00A92BAC"/>
    <w:rPr>
      <w:rFonts w:ascii="Arial" w:hAnsi="Arial"/>
      <w:snapToGrid w:val="0"/>
      <w:sz w:val="24"/>
    </w:rPr>
  </w:style>
  <w:style w:type="character" w:customStyle="1" w:styleId="FootnoteTextChar">
    <w:name w:val="Footnote Text Char"/>
    <w:basedOn w:val="DefaultParagraphFont"/>
    <w:link w:val="FootnoteText"/>
    <w:semiHidden/>
    <w:rsid w:val="00A92BAC"/>
  </w:style>
  <w:style w:type="character" w:customStyle="1" w:styleId="FooterChar">
    <w:name w:val="Footer Char"/>
    <w:basedOn w:val="DefaultParagraphFont"/>
    <w:link w:val="Footer"/>
    <w:uiPriority w:val="99"/>
    <w:rsid w:val="0061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0" Type="http://schemas.openxmlformats.org/officeDocument/2006/relationships/hyperlink" Target="mailto:mrulli@postschell.com" TargetMode="External"/><Relationship Id="rId4" Type="http://schemas.openxmlformats.org/officeDocument/2006/relationships/settings" Target="settings.xml"/><Relationship Id="rId9" Type="http://schemas.openxmlformats.org/officeDocument/2006/relationships/hyperlink" Target="mailto:kbowerspe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AE7F-6074-4948-92AA-429360D1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2471</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Miskanic, Nicholas</cp:lastModifiedBy>
  <cp:revision>7</cp:revision>
  <cp:lastPrinted>2023-10-02T20:32:00Z</cp:lastPrinted>
  <dcterms:created xsi:type="dcterms:W3CDTF">2023-10-05T12:32:00Z</dcterms:created>
  <dcterms:modified xsi:type="dcterms:W3CDTF">2023-10-05T12:47:00Z</dcterms:modified>
</cp:coreProperties>
</file>