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D52A0" w14:textId="77777777" w:rsidR="006D4CFA" w:rsidRPr="006D4CFA" w:rsidRDefault="006D4CFA" w:rsidP="006D4CFA">
      <w:pPr>
        <w:tabs>
          <w:tab w:val="center" w:pos="4680"/>
        </w:tabs>
        <w:jc w:val="center"/>
        <w:rPr>
          <w:b/>
          <w:sz w:val="24"/>
          <w:szCs w:val="24"/>
        </w:rPr>
      </w:pPr>
      <w:bookmarkStart w:id="0" w:name="_Hlk514231865"/>
      <w:r w:rsidRPr="006D4CFA">
        <w:rPr>
          <w:b/>
          <w:sz w:val="24"/>
          <w:szCs w:val="24"/>
        </w:rPr>
        <w:t>BEFORE THE</w:t>
      </w:r>
    </w:p>
    <w:p w14:paraId="09A789E3" w14:textId="77777777" w:rsidR="006D4CFA" w:rsidRPr="006D4CFA" w:rsidRDefault="006D4CFA" w:rsidP="006D4CFA">
      <w:pPr>
        <w:tabs>
          <w:tab w:val="center" w:pos="4680"/>
        </w:tabs>
        <w:jc w:val="both"/>
        <w:rPr>
          <w:b/>
          <w:sz w:val="24"/>
          <w:szCs w:val="24"/>
        </w:rPr>
      </w:pPr>
      <w:r w:rsidRPr="006D4CFA">
        <w:rPr>
          <w:b/>
          <w:sz w:val="24"/>
          <w:szCs w:val="24"/>
        </w:rPr>
        <w:tab/>
        <w:t>PENNSYLVANIA PUBLIC UTILITY COMMISSION</w:t>
      </w:r>
    </w:p>
    <w:p w14:paraId="7B61810F" w14:textId="77777777" w:rsidR="006D4CFA" w:rsidRPr="006D4CFA" w:rsidRDefault="006D4CFA" w:rsidP="006D4CFA">
      <w:pPr>
        <w:tabs>
          <w:tab w:val="center" w:pos="4680"/>
        </w:tabs>
        <w:jc w:val="both"/>
        <w:rPr>
          <w:bCs/>
          <w:sz w:val="24"/>
          <w:szCs w:val="24"/>
        </w:rPr>
      </w:pPr>
    </w:p>
    <w:p w14:paraId="66A1141C" w14:textId="77777777" w:rsidR="006D4CFA" w:rsidRPr="006D4CFA" w:rsidRDefault="006D4CFA" w:rsidP="006D4CFA">
      <w:pPr>
        <w:tabs>
          <w:tab w:val="center" w:pos="4680"/>
        </w:tabs>
        <w:jc w:val="both"/>
        <w:rPr>
          <w:bCs/>
          <w:sz w:val="24"/>
          <w:szCs w:val="24"/>
        </w:rPr>
      </w:pPr>
    </w:p>
    <w:p w14:paraId="4C8D5328" w14:textId="77777777" w:rsidR="006D4CFA" w:rsidRPr="006D4CFA" w:rsidRDefault="006D4CFA" w:rsidP="006D4CFA">
      <w:pPr>
        <w:tabs>
          <w:tab w:val="center" w:pos="4680"/>
        </w:tabs>
        <w:jc w:val="both"/>
        <w:rPr>
          <w:bCs/>
          <w:sz w:val="24"/>
          <w:szCs w:val="24"/>
        </w:rPr>
      </w:pPr>
    </w:p>
    <w:p w14:paraId="64BC0F54" w14:textId="77777777" w:rsidR="006D4CFA" w:rsidRPr="006D4CFA" w:rsidRDefault="006D4CFA" w:rsidP="006D4CFA">
      <w:pPr>
        <w:tabs>
          <w:tab w:val="center" w:pos="4680"/>
        </w:tabs>
        <w:rPr>
          <w:bCs/>
          <w:sz w:val="24"/>
          <w:szCs w:val="24"/>
        </w:rPr>
      </w:pPr>
      <w:r w:rsidRPr="006D4CFA">
        <w:rPr>
          <w:bCs/>
          <w:sz w:val="24"/>
          <w:szCs w:val="24"/>
        </w:rPr>
        <w:t xml:space="preserve">Application of Pennsylvania-American Water </w:t>
      </w:r>
      <w:r w:rsidRPr="006D4CFA">
        <w:rPr>
          <w:bCs/>
          <w:sz w:val="24"/>
          <w:szCs w:val="24"/>
        </w:rPr>
        <w:tab/>
      </w:r>
      <w:r w:rsidRPr="006D4CFA">
        <w:rPr>
          <w:bCs/>
          <w:sz w:val="24"/>
          <w:szCs w:val="24"/>
        </w:rPr>
        <w:tab/>
        <w:t>:</w:t>
      </w:r>
      <w:r w:rsidRPr="006D4CFA">
        <w:rPr>
          <w:bCs/>
          <w:sz w:val="24"/>
          <w:szCs w:val="24"/>
        </w:rPr>
        <w:tab/>
        <w:t>A-2021-3024058</w:t>
      </w:r>
      <w:r w:rsidRPr="006D4CFA">
        <w:rPr>
          <w:bCs/>
          <w:sz w:val="24"/>
          <w:szCs w:val="24"/>
        </w:rPr>
        <w:br/>
        <w:t xml:space="preserve">Company under Sections 1102(a) and 1329 of the </w:t>
      </w:r>
      <w:r w:rsidRPr="006D4CFA">
        <w:rPr>
          <w:bCs/>
          <w:sz w:val="24"/>
          <w:szCs w:val="24"/>
        </w:rPr>
        <w:tab/>
        <w:t>:</w:t>
      </w:r>
      <w:r w:rsidRPr="006D4CFA">
        <w:rPr>
          <w:bCs/>
          <w:sz w:val="24"/>
          <w:szCs w:val="24"/>
        </w:rPr>
        <w:br/>
        <w:t xml:space="preserve">Pennsylvania Public Utility Code, 66 Pa C.S. </w:t>
      </w:r>
      <w:r w:rsidRPr="006D4CFA">
        <w:rPr>
          <w:bCs/>
          <w:sz w:val="24"/>
          <w:szCs w:val="24"/>
        </w:rPr>
        <w:tab/>
      </w:r>
      <w:r w:rsidRPr="006D4CFA">
        <w:rPr>
          <w:bCs/>
          <w:sz w:val="24"/>
          <w:szCs w:val="24"/>
        </w:rPr>
        <w:tab/>
        <w:t>:</w:t>
      </w:r>
      <w:r w:rsidRPr="006D4CFA">
        <w:rPr>
          <w:bCs/>
          <w:sz w:val="24"/>
          <w:szCs w:val="24"/>
        </w:rPr>
        <w:br/>
        <w:t>§§ 1102(a) and 1329 for approval of (1) the transfer, :</w:t>
      </w:r>
      <w:r w:rsidRPr="006D4CFA">
        <w:rPr>
          <w:bCs/>
          <w:sz w:val="24"/>
          <w:szCs w:val="24"/>
        </w:rPr>
        <w:br/>
        <w:t xml:space="preserve">by sale, of substantially all of the Borough of </w:t>
      </w:r>
      <w:r w:rsidRPr="006D4CFA">
        <w:rPr>
          <w:bCs/>
          <w:sz w:val="24"/>
          <w:szCs w:val="24"/>
        </w:rPr>
        <w:tab/>
      </w:r>
      <w:r w:rsidRPr="006D4CFA">
        <w:rPr>
          <w:bCs/>
          <w:sz w:val="24"/>
          <w:szCs w:val="24"/>
        </w:rPr>
        <w:tab/>
        <w:t>:</w:t>
      </w:r>
      <w:r w:rsidRPr="006D4CFA">
        <w:rPr>
          <w:bCs/>
          <w:sz w:val="24"/>
          <w:szCs w:val="24"/>
        </w:rPr>
        <w:br/>
        <w:t xml:space="preserve">Brentwood’s assets, properties and rights related to </w:t>
      </w:r>
      <w:r w:rsidRPr="006D4CFA">
        <w:rPr>
          <w:bCs/>
          <w:sz w:val="24"/>
          <w:szCs w:val="24"/>
        </w:rPr>
        <w:tab/>
        <w:t>:</w:t>
      </w:r>
      <w:r w:rsidRPr="006D4CFA">
        <w:rPr>
          <w:bCs/>
          <w:sz w:val="24"/>
          <w:szCs w:val="24"/>
        </w:rPr>
        <w:br/>
        <w:t xml:space="preserve">its wastewater collection and conveyance system to </w:t>
      </w:r>
      <w:r w:rsidRPr="006D4CFA">
        <w:rPr>
          <w:bCs/>
          <w:sz w:val="24"/>
          <w:szCs w:val="24"/>
        </w:rPr>
        <w:tab/>
        <w:t>:</w:t>
      </w:r>
      <w:r w:rsidRPr="006D4CFA">
        <w:rPr>
          <w:bCs/>
          <w:sz w:val="24"/>
          <w:szCs w:val="24"/>
        </w:rPr>
        <w:br/>
        <w:t xml:space="preserve">Pennsylvania-American Water Company, and (2) </w:t>
      </w:r>
      <w:r w:rsidRPr="006D4CFA">
        <w:rPr>
          <w:bCs/>
          <w:sz w:val="24"/>
          <w:szCs w:val="24"/>
        </w:rPr>
        <w:tab/>
        <w:t>:</w:t>
      </w:r>
      <w:r w:rsidRPr="006D4CFA">
        <w:rPr>
          <w:bCs/>
          <w:sz w:val="24"/>
          <w:szCs w:val="24"/>
        </w:rPr>
        <w:br/>
        <w:t xml:space="preserve">the rights of Pennsylvania-American Water </w:t>
      </w:r>
      <w:r w:rsidRPr="006D4CFA">
        <w:rPr>
          <w:bCs/>
          <w:sz w:val="24"/>
          <w:szCs w:val="24"/>
        </w:rPr>
        <w:tab/>
      </w:r>
      <w:r w:rsidRPr="006D4CFA">
        <w:rPr>
          <w:bCs/>
          <w:sz w:val="24"/>
          <w:szCs w:val="24"/>
        </w:rPr>
        <w:tab/>
        <w:t>:</w:t>
      </w:r>
      <w:r w:rsidRPr="006D4CFA">
        <w:rPr>
          <w:bCs/>
          <w:sz w:val="24"/>
          <w:szCs w:val="24"/>
        </w:rPr>
        <w:br/>
        <w:t xml:space="preserve">Company to begin to offer or furnish wastewater </w:t>
      </w:r>
      <w:r w:rsidRPr="006D4CFA">
        <w:rPr>
          <w:bCs/>
          <w:sz w:val="24"/>
          <w:szCs w:val="24"/>
        </w:rPr>
        <w:tab/>
        <w:t>:</w:t>
      </w:r>
      <w:r w:rsidRPr="006D4CFA">
        <w:rPr>
          <w:bCs/>
          <w:sz w:val="24"/>
          <w:szCs w:val="24"/>
        </w:rPr>
        <w:br/>
        <w:t xml:space="preserve">service to the public in the Borough of Brentwood, </w:t>
      </w:r>
      <w:r w:rsidRPr="006D4CFA">
        <w:rPr>
          <w:bCs/>
          <w:sz w:val="24"/>
          <w:szCs w:val="24"/>
        </w:rPr>
        <w:tab/>
        <w:t>:</w:t>
      </w:r>
      <w:r w:rsidRPr="006D4CFA">
        <w:rPr>
          <w:bCs/>
          <w:sz w:val="24"/>
          <w:szCs w:val="24"/>
        </w:rPr>
        <w:br/>
        <w:t>Allegheny County, Pennsylvania</w:t>
      </w:r>
      <w:r w:rsidRPr="006D4CFA">
        <w:rPr>
          <w:bCs/>
          <w:sz w:val="24"/>
          <w:szCs w:val="24"/>
        </w:rPr>
        <w:tab/>
      </w:r>
      <w:r w:rsidRPr="006D4CFA">
        <w:rPr>
          <w:bCs/>
          <w:sz w:val="24"/>
          <w:szCs w:val="24"/>
        </w:rPr>
        <w:tab/>
        <w:t>:</w:t>
      </w:r>
    </w:p>
    <w:p w14:paraId="207C8551" w14:textId="77777777" w:rsidR="00635EF4" w:rsidRPr="0077392E" w:rsidRDefault="00635EF4" w:rsidP="006D4CFA">
      <w:pPr>
        <w:tabs>
          <w:tab w:val="center" w:pos="4680"/>
        </w:tabs>
        <w:jc w:val="both"/>
        <w:rPr>
          <w:sz w:val="24"/>
          <w:szCs w:val="24"/>
        </w:rPr>
      </w:pPr>
    </w:p>
    <w:p w14:paraId="207C8552" w14:textId="77777777" w:rsidR="00B60C0D" w:rsidRPr="0077392E" w:rsidRDefault="00B60C0D" w:rsidP="006D4CFA">
      <w:pPr>
        <w:tabs>
          <w:tab w:val="center" w:pos="4680"/>
        </w:tabs>
        <w:jc w:val="both"/>
        <w:rPr>
          <w:sz w:val="24"/>
          <w:szCs w:val="24"/>
        </w:rPr>
      </w:pPr>
    </w:p>
    <w:p w14:paraId="207C8553" w14:textId="77777777" w:rsidR="00635EF4" w:rsidRPr="0077392E" w:rsidRDefault="00635EF4" w:rsidP="006D4CFA">
      <w:pPr>
        <w:tabs>
          <w:tab w:val="left" w:pos="0"/>
        </w:tabs>
        <w:jc w:val="both"/>
        <w:rPr>
          <w:sz w:val="24"/>
          <w:szCs w:val="24"/>
        </w:rPr>
      </w:pPr>
    </w:p>
    <w:bookmarkEnd w:id="0"/>
    <w:p w14:paraId="207C8554" w14:textId="2B2373D2" w:rsidR="007812A5" w:rsidRPr="0077392E" w:rsidRDefault="00F536EC" w:rsidP="006D4CFA">
      <w:pPr>
        <w:jc w:val="center"/>
        <w:rPr>
          <w:b/>
          <w:sz w:val="24"/>
          <w:szCs w:val="24"/>
          <w:u w:val="single"/>
        </w:rPr>
      </w:pPr>
      <w:r>
        <w:rPr>
          <w:b/>
          <w:sz w:val="24"/>
          <w:szCs w:val="24"/>
          <w:u w:val="single"/>
        </w:rPr>
        <w:t>PREHEARING</w:t>
      </w:r>
      <w:r w:rsidR="00D16530" w:rsidRPr="0077392E">
        <w:rPr>
          <w:b/>
          <w:sz w:val="24"/>
          <w:szCs w:val="24"/>
          <w:u w:val="single"/>
        </w:rPr>
        <w:t xml:space="preserve"> </w:t>
      </w:r>
      <w:r w:rsidR="007812A5" w:rsidRPr="0077392E">
        <w:rPr>
          <w:b/>
          <w:sz w:val="24"/>
          <w:szCs w:val="24"/>
          <w:u w:val="single"/>
        </w:rPr>
        <w:t>ORDER</w:t>
      </w:r>
      <w:r>
        <w:rPr>
          <w:b/>
          <w:sz w:val="24"/>
          <w:szCs w:val="24"/>
          <w:u w:val="single"/>
        </w:rPr>
        <w:t xml:space="preserve"> No. 2</w:t>
      </w:r>
    </w:p>
    <w:p w14:paraId="207C8556" w14:textId="77777777" w:rsidR="002C6080" w:rsidRPr="0077392E" w:rsidRDefault="00256FBC" w:rsidP="006D4CFA">
      <w:pPr>
        <w:jc w:val="center"/>
        <w:rPr>
          <w:sz w:val="24"/>
          <w:szCs w:val="24"/>
        </w:rPr>
      </w:pPr>
      <w:r w:rsidRPr="0077392E">
        <w:rPr>
          <w:sz w:val="24"/>
          <w:szCs w:val="24"/>
        </w:rPr>
        <w:t>Deny</w:t>
      </w:r>
      <w:r w:rsidR="00563EF8" w:rsidRPr="0077392E">
        <w:rPr>
          <w:sz w:val="24"/>
          <w:szCs w:val="24"/>
        </w:rPr>
        <w:t xml:space="preserve"> the </w:t>
      </w:r>
      <w:r w:rsidR="002C6080" w:rsidRPr="0077392E">
        <w:rPr>
          <w:sz w:val="24"/>
          <w:szCs w:val="24"/>
        </w:rPr>
        <w:t xml:space="preserve">Motion of </w:t>
      </w:r>
    </w:p>
    <w:p w14:paraId="163AD7D2" w14:textId="77777777" w:rsidR="00E84928" w:rsidRPr="0077392E" w:rsidRDefault="00E84928" w:rsidP="006D4CFA">
      <w:pPr>
        <w:jc w:val="center"/>
        <w:rPr>
          <w:sz w:val="24"/>
          <w:szCs w:val="24"/>
        </w:rPr>
      </w:pPr>
      <w:r w:rsidRPr="0077392E">
        <w:rPr>
          <w:sz w:val="24"/>
          <w:szCs w:val="24"/>
        </w:rPr>
        <w:t>Pennsylvania-American Water</w:t>
      </w:r>
      <w:r w:rsidR="00563EF8" w:rsidRPr="0077392E">
        <w:rPr>
          <w:sz w:val="24"/>
          <w:szCs w:val="24"/>
        </w:rPr>
        <w:t xml:space="preserve"> </w:t>
      </w:r>
    </w:p>
    <w:p w14:paraId="207C8558" w14:textId="2C525284" w:rsidR="002C6080" w:rsidRPr="0077392E" w:rsidRDefault="00563EF8" w:rsidP="006D4CFA">
      <w:pPr>
        <w:jc w:val="center"/>
        <w:rPr>
          <w:sz w:val="24"/>
          <w:szCs w:val="24"/>
        </w:rPr>
      </w:pPr>
      <w:r w:rsidRPr="0077392E">
        <w:rPr>
          <w:sz w:val="24"/>
          <w:szCs w:val="24"/>
        </w:rPr>
        <w:t>Company</w:t>
      </w:r>
      <w:r w:rsidR="00E84928" w:rsidRPr="0077392E">
        <w:rPr>
          <w:sz w:val="24"/>
          <w:szCs w:val="24"/>
        </w:rPr>
        <w:t xml:space="preserve"> </w:t>
      </w:r>
      <w:r w:rsidR="002C6080" w:rsidRPr="0077392E">
        <w:rPr>
          <w:sz w:val="24"/>
          <w:szCs w:val="24"/>
        </w:rPr>
        <w:t xml:space="preserve">to </w:t>
      </w:r>
      <w:r w:rsidR="00E84928" w:rsidRPr="0077392E">
        <w:rPr>
          <w:sz w:val="24"/>
          <w:szCs w:val="24"/>
        </w:rPr>
        <w:t>Overrule</w:t>
      </w:r>
      <w:r w:rsidR="002C6080" w:rsidRPr="0077392E">
        <w:rPr>
          <w:sz w:val="24"/>
          <w:szCs w:val="24"/>
        </w:rPr>
        <w:t xml:space="preserve"> Objections </w:t>
      </w:r>
    </w:p>
    <w:p w14:paraId="207C8559" w14:textId="77777777" w:rsidR="002C6080" w:rsidRPr="0077392E" w:rsidRDefault="002C6080" w:rsidP="006D4CFA">
      <w:pPr>
        <w:jc w:val="center"/>
        <w:rPr>
          <w:sz w:val="24"/>
          <w:szCs w:val="24"/>
        </w:rPr>
      </w:pPr>
      <w:r w:rsidRPr="0077392E">
        <w:rPr>
          <w:sz w:val="24"/>
          <w:szCs w:val="24"/>
        </w:rPr>
        <w:t xml:space="preserve">and </w:t>
      </w:r>
    </w:p>
    <w:p w14:paraId="207C855A" w14:textId="453E2912" w:rsidR="002C6080" w:rsidRPr="0077392E" w:rsidRDefault="002C6080" w:rsidP="006D4CFA">
      <w:pPr>
        <w:jc w:val="center"/>
        <w:rPr>
          <w:sz w:val="24"/>
          <w:szCs w:val="24"/>
          <w:u w:val="single"/>
        </w:rPr>
      </w:pPr>
      <w:r w:rsidRPr="0077392E">
        <w:rPr>
          <w:sz w:val="24"/>
          <w:szCs w:val="24"/>
        </w:rPr>
        <w:t xml:space="preserve">Compel Answers to Interrogatories (Set </w:t>
      </w:r>
      <w:r w:rsidR="00563EF8" w:rsidRPr="0077392E">
        <w:rPr>
          <w:sz w:val="24"/>
          <w:szCs w:val="24"/>
        </w:rPr>
        <w:t>I</w:t>
      </w:r>
      <w:r w:rsidRPr="0077392E">
        <w:rPr>
          <w:sz w:val="24"/>
          <w:szCs w:val="24"/>
        </w:rPr>
        <w:t>)</w:t>
      </w:r>
    </w:p>
    <w:p w14:paraId="4557A42B" w14:textId="77777777" w:rsidR="006D4CFA" w:rsidRDefault="00635EF4" w:rsidP="00241675">
      <w:pPr>
        <w:spacing w:line="360" w:lineRule="auto"/>
        <w:rPr>
          <w:sz w:val="24"/>
          <w:szCs w:val="24"/>
        </w:rPr>
      </w:pPr>
      <w:r w:rsidRPr="0077392E">
        <w:rPr>
          <w:sz w:val="24"/>
          <w:szCs w:val="24"/>
        </w:rPr>
        <w:tab/>
      </w:r>
    </w:p>
    <w:p w14:paraId="748A49F6" w14:textId="4E41F26B" w:rsidR="00E84928" w:rsidRPr="0077392E" w:rsidRDefault="006D4CFA" w:rsidP="006D4CFA">
      <w:pPr>
        <w:spacing w:line="360" w:lineRule="auto"/>
        <w:rPr>
          <w:sz w:val="24"/>
          <w:szCs w:val="24"/>
        </w:rPr>
      </w:pPr>
      <w:r>
        <w:rPr>
          <w:sz w:val="24"/>
          <w:szCs w:val="24"/>
        </w:rPr>
        <w:tab/>
      </w:r>
      <w:r w:rsidR="00635EF4" w:rsidRPr="0077392E">
        <w:rPr>
          <w:sz w:val="24"/>
          <w:szCs w:val="24"/>
        </w:rPr>
        <w:tab/>
      </w:r>
      <w:r w:rsidR="00E84928" w:rsidRPr="0077392E">
        <w:rPr>
          <w:sz w:val="24"/>
          <w:szCs w:val="24"/>
        </w:rPr>
        <w:t xml:space="preserve">On March 31, 2023, Pennsylvania-American Water Company (PAWC) filed with the Pennsylvania Public Utility Commission (Commission) its Application, pursuant to Sections 1102 and 1329 of the Public Utility Code, for approval to acquire substantially all of the assets, properties and rights related to the wastewater collection system owned by the Borough of Brentwood (Brentwood) as follows: (1) the transfer, by sale, of substantially all of Brentwood’s assets, properties and rights related to its wastewater collection and conveyance system to PAWC, and (2) the rights of PAWC to begin to offer or furnish wastewater service to the public in Brentwood (the Application).  On May 31, 2023, PAWC filed an Amendment to the Application, and seeks approval of, </w:t>
      </w:r>
      <w:r w:rsidR="00E84928" w:rsidRPr="0077392E">
        <w:rPr>
          <w:i/>
          <w:iCs/>
          <w:sz w:val="24"/>
          <w:szCs w:val="24"/>
        </w:rPr>
        <w:t>inter alia</w:t>
      </w:r>
      <w:r w:rsidR="00E84928" w:rsidRPr="0077392E">
        <w:rPr>
          <w:sz w:val="24"/>
          <w:szCs w:val="24"/>
        </w:rPr>
        <w:t xml:space="preserve">, the Asset Purchase Agreement and First Amendment to the Asset Purchase Agreement By and Between Brentwood, as Seller, and PAWC, as Buyer, dated as of December 22, 2020, and as amended on March 2, 2023 (collectively the Purchase Agreement or APA).  </w:t>
      </w:r>
    </w:p>
    <w:p w14:paraId="7892F24D" w14:textId="77777777" w:rsidR="00E84928" w:rsidRPr="0077392E" w:rsidRDefault="00E84928" w:rsidP="006D4CFA">
      <w:pPr>
        <w:spacing w:line="360" w:lineRule="auto"/>
        <w:rPr>
          <w:sz w:val="24"/>
          <w:szCs w:val="24"/>
        </w:rPr>
      </w:pPr>
    </w:p>
    <w:p w14:paraId="207C855F" w14:textId="17692263" w:rsidR="00635EF4" w:rsidRPr="0077392E" w:rsidRDefault="00E84928" w:rsidP="006D4CFA">
      <w:pPr>
        <w:pStyle w:val="NoSpacing"/>
        <w:spacing w:line="360" w:lineRule="auto"/>
        <w:rPr>
          <w:szCs w:val="24"/>
        </w:rPr>
      </w:pPr>
      <w:r w:rsidRPr="0077392E">
        <w:rPr>
          <w:szCs w:val="24"/>
        </w:rPr>
        <w:lastRenderedPageBreak/>
        <w:tab/>
      </w:r>
      <w:r w:rsidRPr="0077392E">
        <w:rPr>
          <w:szCs w:val="24"/>
        </w:rPr>
        <w:tab/>
        <w:t>On October 17, 2023, the presiding officer conducted a prehearing conference in this matter at which counsel for PAWC, the Borough of Brentwood (Brentwood), the Commission’s Bureau of Investigation and Enforcement (BIE), the Office of Consumer Advocate (OCA), the Office of Small Business Advocate (OSBA), and the Allegheny County Sanitation Authority (ALCOSAN) participated.  Thereafter, on October 18, 2023, the presiding officer issued the First Prehearing Order which set forth procedural matters addressed at the prehearing conference, including discovery and objections to interrogatories.  Since that date</w:t>
      </w:r>
      <w:r w:rsidR="00343753" w:rsidRPr="0077392E">
        <w:rPr>
          <w:szCs w:val="24"/>
        </w:rPr>
        <w:t>, the parties have engaged in discovery.</w:t>
      </w:r>
    </w:p>
    <w:p w14:paraId="207C8560" w14:textId="77777777" w:rsidR="002C6080" w:rsidRPr="0077392E" w:rsidRDefault="002C6080" w:rsidP="006D4CFA">
      <w:pPr>
        <w:spacing w:line="360" w:lineRule="auto"/>
        <w:rPr>
          <w:sz w:val="24"/>
          <w:szCs w:val="24"/>
        </w:rPr>
      </w:pPr>
    </w:p>
    <w:p w14:paraId="207C8561" w14:textId="081840BC" w:rsidR="002C6080" w:rsidRPr="0077392E" w:rsidRDefault="00563EF8" w:rsidP="006D4CFA">
      <w:pPr>
        <w:spacing w:line="360" w:lineRule="auto"/>
        <w:ind w:firstLine="1440"/>
        <w:rPr>
          <w:sz w:val="24"/>
          <w:szCs w:val="24"/>
        </w:rPr>
      </w:pPr>
      <w:r w:rsidRPr="0077392E">
        <w:rPr>
          <w:sz w:val="24"/>
          <w:szCs w:val="24"/>
        </w:rPr>
        <w:t xml:space="preserve">On </w:t>
      </w:r>
      <w:r w:rsidR="00E84928" w:rsidRPr="0077392E">
        <w:rPr>
          <w:sz w:val="24"/>
          <w:szCs w:val="24"/>
        </w:rPr>
        <w:t>October 17, 2023</w:t>
      </w:r>
      <w:r w:rsidR="00B74DAB" w:rsidRPr="0077392E">
        <w:rPr>
          <w:sz w:val="24"/>
          <w:szCs w:val="24"/>
        </w:rPr>
        <w:t xml:space="preserve">, </w:t>
      </w:r>
      <w:r w:rsidR="00E84928" w:rsidRPr="0077392E">
        <w:rPr>
          <w:sz w:val="24"/>
          <w:szCs w:val="24"/>
        </w:rPr>
        <w:t xml:space="preserve">PAWC served its “Interrogatories and Requests for Production of Documents Propounded by Pennsylvania-American Water Company on the Office of Consumer Advocate – Set I” </w:t>
      </w:r>
      <w:r w:rsidR="00F536EC">
        <w:rPr>
          <w:sz w:val="24"/>
          <w:szCs w:val="24"/>
        </w:rPr>
        <w:t xml:space="preserve">(PAWC Interrogatories Set I) </w:t>
      </w:r>
      <w:r w:rsidR="00E84928" w:rsidRPr="0077392E">
        <w:rPr>
          <w:sz w:val="24"/>
          <w:szCs w:val="24"/>
        </w:rPr>
        <w:t xml:space="preserve">which consisted of </w:t>
      </w:r>
      <w:r w:rsidR="00241675" w:rsidRPr="0077392E">
        <w:rPr>
          <w:sz w:val="24"/>
          <w:szCs w:val="24"/>
        </w:rPr>
        <w:t>thirteen (13) requests including subparts.</w:t>
      </w:r>
      <w:r w:rsidR="00E84928" w:rsidRPr="0077392E">
        <w:rPr>
          <w:sz w:val="24"/>
          <w:szCs w:val="24"/>
        </w:rPr>
        <w:t xml:space="preserve">  On October 20, 2023, OCA served its Objections to Interrogatories and Requests for Production of Documents, Set I, Questions 1(c), 3, 4 7 and 8 (the Objections)</w:t>
      </w:r>
      <w:r w:rsidR="00241675" w:rsidRPr="0077392E">
        <w:rPr>
          <w:sz w:val="24"/>
          <w:szCs w:val="24"/>
        </w:rPr>
        <w:t xml:space="preserve"> upon PAWC</w:t>
      </w:r>
      <w:r w:rsidR="00E84928" w:rsidRPr="0077392E">
        <w:rPr>
          <w:sz w:val="24"/>
          <w:szCs w:val="24"/>
        </w:rPr>
        <w:t>.</w:t>
      </w:r>
      <w:r w:rsidR="00241675" w:rsidRPr="0077392E">
        <w:rPr>
          <w:sz w:val="24"/>
          <w:szCs w:val="24"/>
        </w:rPr>
        <w:t xml:space="preserve">  On October 23, 2023, PAWC filed the Motion to Overrule Objections and Compel Answers to Interrogatories</w:t>
      </w:r>
      <w:r w:rsidR="00F536EC">
        <w:rPr>
          <w:sz w:val="24"/>
          <w:szCs w:val="24"/>
        </w:rPr>
        <w:t xml:space="preserve"> (PAWC Motion to Compel)</w:t>
      </w:r>
      <w:r w:rsidR="00241675" w:rsidRPr="0077392E">
        <w:rPr>
          <w:sz w:val="24"/>
          <w:szCs w:val="24"/>
        </w:rPr>
        <w:t xml:space="preserve">.  On October </w:t>
      </w:r>
      <w:r w:rsidR="00F536EC">
        <w:rPr>
          <w:sz w:val="24"/>
          <w:szCs w:val="24"/>
        </w:rPr>
        <w:t>25</w:t>
      </w:r>
      <w:r w:rsidR="00241675" w:rsidRPr="0077392E">
        <w:rPr>
          <w:sz w:val="24"/>
          <w:szCs w:val="24"/>
        </w:rPr>
        <w:t xml:space="preserve">, 2023, OCA filed its </w:t>
      </w:r>
      <w:r w:rsidR="00F536EC">
        <w:rPr>
          <w:sz w:val="24"/>
          <w:szCs w:val="24"/>
        </w:rPr>
        <w:t>Answer to PAWC Motion to Compel</w:t>
      </w:r>
      <w:r w:rsidR="00241675" w:rsidRPr="0077392E">
        <w:rPr>
          <w:sz w:val="24"/>
          <w:szCs w:val="24"/>
        </w:rPr>
        <w:t>.</w:t>
      </w:r>
    </w:p>
    <w:p w14:paraId="207C8564" w14:textId="77777777" w:rsidR="00343753" w:rsidRPr="0077392E" w:rsidRDefault="00343753" w:rsidP="006D4CFA">
      <w:pPr>
        <w:spacing w:line="360" w:lineRule="auto"/>
        <w:rPr>
          <w:sz w:val="24"/>
          <w:szCs w:val="24"/>
        </w:rPr>
      </w:pPr>
    </w:p>
    <w:p w14:paraId="207C8565" w14:textId="3B1D7188" w:rsidR="00B74DAB" w:rsidRPr="0077392E" w:rsidRDefault="00343753" w:rsidP="006D4CFA">
      <w:pPr>
        <w:spacing w:line="360" w:lineRule="auto"/>
        <w:ind w:firstLine="1440"/>
        <w:rPr>
          <w:sz w:val="24"/>
          <w:szCs w:val="24"/>
        </w:rPr>
      </w:pPr>
      <w:r w:rsidRPr="0077392E">
        <w:rPr>
          <w:sz w:val="24"/>
          <w:szCs w:val="24"/>
        </w:rPr>
        <w:t>T</w:t>
      </w:r>
      <w:r w:rsidR="0022339C" w:rsidRPr="0077392E">
        <w:rPr>
          <w:sz w:val="24"/>
          <w:szCs w:val="24"/>
        </w:rPr>
        <w:t xml:space="preserve">his Interim Order will speak to the continuing objections of </w:t>
      </w:r>
      <w:r w:rsidR="00241675" w:rsidRPr="0077392E">
        <w:rPr>
          <w:sz w:val="24"/>
          <w:szCs w:val="24"/>
        </w:rPr>
        <w:t>OCA</w:t>
      </w:r>
      <w:r w:rsidR="0022339C" w:rsidRPr="0077392E">
        <w:rPr>
          <w:sz w:val="24"/>
          <w:szCs w:val="24"/>
        </w:rPr>
        <w:t xml:space="preserve"> to the identified interrogatories Nos. </w:t>
      </w:r>
      <w:r w:rsidR="00241675" w:rsidRPr="0077392E">
        <w:rPr>
          <w:sz w:val="24"/>
          <w:szCs w:val="24"/>
        </w:rPr>
        <w:t>1(c), 3, 4, 7 and 8, and to PAWC’s request to compel OCA to answer the identified interrogatories</w:t>
      </w:r>
      <w:r w:rsidR="0022339C" w:rsidRPr="0077392E">
        <w:rPr>
          <w:sz w:val="24"/>
          <w:szCs w:val="24"/>
        </w:rPr>
        <w:t>.</w:t>
      </w:r>
    </w:p>
    <w:p w14:paraId="207C8566" w14:textId="77777777" w:rsidR="00625250" w:rsidRPr="0077392E" w:rsidRDefault="00625250" w:rsidP="006D4CFA">
      <w:pPr>
        <w:spacing w:line="360" w:lineRule="auto"/>
        <w:rPr>
          <w:sz w:val="24"/>
          <w:szCs w:val="24"/>
        </w:rPr>
      </w:pPr>
    </w:p>
    <w:p w14:paraId="207C8567" w14:textId="77777777" w:rsidR="00625250" w:rsidRPr="0077392E" w:rsidRDefault="00625250" w:rsidP="006D4CFA">
      <w:pPr>
        <w:spacing w:line="360" w:lineRule="auto"/>
        <w:jc w:val="center"/>
        <w:rPr>
          <w:sz w:val="24"/>
          <w:szCs w:val="24"/>
        </w:rPr>
      </w:pPr>
      <w:r w:rsidRPr="0077392E">
        <w:rPr>
          <w:sz w:val="24"/>
          <w:szCs w:val="24"/>
          <w:u w:val="single"/>
        </w:rPr>
        <w:t>DISCUSSION</w:t>
      </w:r>
    </w:p>
    <w:p w14:paraId="207C8568" w14:textId="77777777" w:rsidR="00625250" w:rsidRPr="0077392E" w:rsidRDefault="00625250" w:rsidP="006D4CFA">
      <w:pPr>
        <w:spacing w:line="360" w:lineRule="auto"/>
        <w:rPr>
          <w:sz w:val="24"/>
          <w:szCs w:val="24"/>
        </w:rPr>
      </w:pPr>
    </w:p>
    <w:p w14:paraId="207C8569" w14:textId="5C511F98" w:rsidR="00625250" w:rsidRDefault="00625250" w:rsidP="006D4CFA">
      <w:pPr>
        <w:spacing w:line="360" w:lineRule="auto"/>
        <w:rPr>
          <w:sz w:val="24"/>
          <w:szCs w:val="24"/>
        </w:rPr>
      </w:pPr>
      <w:r w:rsidRPr="0077392E">
        <w:rPr>
          <w:sz w:val="24"/>
          <w:szCs w:val="24"/>
        </w:rPr>
        <w:tab/>
      </w:r>
      <w:r w:rsidRPr="0077392E">
        <w:rPr>
          <w:sz w:val="24"/>
          <w:szCs w:val="24"/>
        </w:rPr>
        <w:tab/>
        <w:t xml:space="preserve">Section 5.321(c) of the Commission’s Rules of Administrative Practice and Procedure, 52 Pa.Code § 5.321(c), specifically provides that “a party may obtain discovery regarding any matter, not privileged, which is relevant to the subject matter involved in the pending action.”  Discovery is permitted regardless of whether the information sought “relates to the claim or defense of the party seeking discovery or to the claim or defense of another party or participant.”  </w:t>
      </w:r>
      <w:r w:rsidRPr="0077392E">
        <w:rPr>
          <w:i/>
          <w:sz w:val="24"/>
          <w:szCs w:val="24"/>
        </w:rPr>
        <w:t>Id</w:t>
      </w:r>
      <w:r w:rsidRPr="0077392E">
        <w:rPr>
          <w:sz w:val="24"/>
          <w:szCs w:val="24"/>
        </w:rPr>
        <w:t xml:space="preserve">.  Information may be discoverable, even if it would be inadmissible at a hearing.  “It is not grounds for objection that the information sought will be inadmissible at hearing if the </w:t>
      </w:r>
      <w:r w:rsidRPr="0077392E">
        <w:rPr>
          <w:sz w:val="24"/>
          <w:szCs w:val="24"/>
        </w:rPr>
        <w:lastRenderedPageBreak/>
        <w:t xml:space="preserve">information sought appears reasonably calculated to lead to the discovery of admissible evidence.”  </w:t>
      </w:r>
      <w:r w:rsidRPr="0077392E">
        <w:rPr>
          <w:i/>
          <w:sz w:val="24"/>
          <w:szCs w:val="24"/>
        </w:rPr>
        <w:t>Id</w:t>
      </w:r>
      <w:r w:rsidRPr="0077392E">
        <w:rPr>
          <w:sz w:val="24"/>
          <w:szCs w:val="24"/>
        </w:rPr>
        <w:t>.  Consistently, the Commission has allowed participants wide latitude in discovery matters.</w:t>
      </w:r>
      <w:r w:rsidR="005403CD">
        <w:rPr>
          <w:rStyle w:val="FootnoteReference"/>
          <w:sz w:val="24"/>
          <w:szCs w:val="24"/>
        </w:rPr>
        <w:footnoteReference w:id="1"/>
      </w:r>
    </w:p>
    <w:p w14:paraId="20CDDF8E" w14:textId="77777777" w:rsidR="00295D11" w:rsidRPr="00D35F28" w:rsidRDefault="00295D11" w:rsidP="006D4CFA">
      <w:pPr>
        <w:spacing w:line="360" w:lineRule="auto"/>
        <w:rPr>
          <w:sz w:val="24"/>
          <w:szCs w:val="24"/>
        </w:rPr>
      </w:pPr>
    </w:p>
    <w:p w14:paraId="29C970D8" w14:textId="0CFA7CCA" w:rsidR="00295D11" w:rsidRPr="00D35F28" w:rsidRDefault="00295D11" w:rsidP="006D4CFA">
      <w:pPr>
        <w:pStyle w:val="Heading1"/>
        <w:numPr>
          <w:ilvl w:val="0"/>
          <w:numId w:val="0"/>
        </w:numPr>
        <w:spacing w:after="0" w:line="360" w:lineRule="auto"/>
        <w:contextualSpacing/>
        <w:rPr>
          <w:szCs w:val="24"/>
        </w:rPr>
      </w:pPr>
      <w:r w:rsidRPr="00D35F28">
        <w:rPr>
          <w:szCs w:val="24"/>
        </w:rPr>
        <w:tab/>
      </w:r>
      <w:r w:rsidR="006D4CFA">
        <w:rPr>
          <w:szCs w:val="24"/>
        </w:rPr>
        <w:tab/>
      </w:r>
      <w:r w:rsidRPr="00D35F28">
        <w:rPr>
          <w:szCs w:val="24"/>
        </w:rPr>
        <w:t>However, there are limitations on discovery.  Pursuant to 52 Pa. Code § 5.361(a), discovery is not permitted when discovery: is sought in bad faith; causes unreasonable annoyance, embarrassment, oppression, burden or expense to the deponent, a person or party; relates to privileged matter; or requires a party to make an unreasonable investigation.</w:t>
      </w:r>
    </w:p>
    <w:p w14:paraId="2FFACA7D" w14:textId="77777777" w:rsidR="00295D11" w:rsidRPr="00D35F28" w:rsidRDefault="00295D11" w:rsidP="006D4CFA">
      <w:pPr>
        <w:pStyle w:val="BodyText"/>
        <w:spacing w:after="0" w:line="360" w:lineRule="auto"/>
        <w:contextualSpacing/>
      </w:pPr>
    </w:p>
    <w:p w14:paraId="06B91F0D" w14:textId="0825B8B9" w:rsidR="00D35F28" w:rsidRDefault="00D35F28" w:rsidP="006D4CFA">
      <w:pPr>
        <w:spacing w:line="360" w:lineRule="auto"/>
        <w:ind w:firstLine="1440"/>
        <w:contextualSpacing/>
        <w:rPr>
          <w:sz w:val="24"/>
          <w:szCs w:val="24"/>
        </w:rPr>
      </w:pPr>
      <w:r>
        <w:rPr>
          <w:sz w:val="24"/>
          <w:szCs w:val="24"/>
        </w:rPr>
        <w:t xml:space="preserve">Discovery cannot access privileged documents.  </w:t>
      </w:r>
      <w:r w:rsidRPr="00D35F28">
        <w:rPr>
          <w:sz w:val="24"/>
          <w:szCs w:val="24"/>
        </w:rPr>
        <w:t>Privilege protect</w:t>
      </w:r>
      <w:r>
        <w:rPr>
          <w:sz w:val="24"/>
          <w:szCs w:val="24"/>
        </w:rPr>
        <w:t>s</w:t>
      </w:r>
      <w:r w:rsidRPr="00D35F28">
        <w:rPr>
          <w:sz w:val="24"/>
          <w:szCs w:val="24"/>
        </w:rPr>
        <w:t xml:space="preserve"> information </w:t>
      </w:r>
      <w:r>
        <w:rPr>
          <w:sz w:val="24"/>
          <w:szCs w:val="24"/>
        </w:rPr>
        <w:t xml:space="preserve">such as </w:t>
      </w:r>
      <w:r w:rsidRPr="00D35F28">
        <w:rPr>
          <w:sz w:val="24"/>
          <w:szCs w:val="24"/>
        </w:rPr>
        <w:t xml:space="preserve">attorney client privilege, attorney work product privilege, and deliberative process privilege. The Commission recognized the deliberative process privilege in its holding in </w:t>
      </w:r>
      <w:r w:rsidRPr="00D35F28">
        <w:rPr>
          <w:i/>
          <w:iCs/>
          <w:sz w:val="24"/>
          <w:szCs w:val="24"/>
        </w:rPr>
        <w:t xml:space="preserve">Andrezeski, et al. v. Pennsylvania Electric Company, </w:t>
      </w:r>
      <w:r w:rsidRPr="00D35F28">
        <w:rPr>
          <w:sz w:val="24"/>
          <w:szCs w:val="24"/>
        </w:rPr>
        <w:t>71 Pa. PUC 56 (1989) (</w:t>
      </w:r>
      <w:r w:rsidRPr="00D35F28">
        <w:rPr>
          <w:i/>
          <w:iCs/>
          <w:sz w:val="24"/>
          <w:szCs w:val="24"/>
        </w:rPr>
        <w:t>Andrezeski</w:t>
      </w:r>
      <w:r w:rsidRPr="00D35F28">
        <w:rPr>
          <w:sz w:val="24"/>
          <w:szCs w:val="24"/>
        </w:rPr>
        <w:t>), in which the Commission denied requested access to a Commission Staff report and the materials used in the preparation of the Staff report because those documents were privileged</w:t>
      </w:r>
      <w:r w:rsidR="002D1426">
        <w:rPr>
          <w:sz w:val="24"/>
          <w:szCs w:val="24"/>
        </w:rPr>
        <w:t xml:space="preserve">, noting </w:t>
      </w:r>
      <w:r w:rsidRPr="00D35F28">
        <w:rPr>
          <w:sz w:val="24"/>
          <w:szCs w:val="24"/>
        </w:rPr>
        <w:t xml:space="preserve">a confidential internal staff report </w:t>
      </w:r>
      <w:r w:rsidR="002D1426">
        <w:rPr>
          <w:sz w:val="24"/>
          <w:szCs w:val="24"/>
        </w:rPr>
        <w:t>wa</w:t>
      </w:r>
      <w:r w:rsidRPr="00D35F28">
        <w:rPr>
          <w:sz w:val="24"/>
          <w:szCs w:val="24"/>
        </w:rPr>
        <w:t>s protected by the deliberative process privilege</w:t>
      </w:r>
      <w:r w:rsidR="002D1426">
        <w:rPr>
          <w:sz w:val="24"/>
          <w:szCs w:val="24"/>
        </w:rPr>
        <w:t xml:space="preserve"> it was i</w:t>
      </w:r>
      <w:r w:rsidRPr="00D35F28">
        <w:rPr>
          <w:sz w:val="24"/>
          <w:szCs w:val="24"/>
        </w:rPr>
        <w:t>mproper to allow a probe of the</w:t>
      </w:r>
      <w:r w:rsidR="002D1426">
        <w:rPr>
          <w:sz w:val="24"/>
          <w:szCs w:val="24"/>
        </w:rPr>
        <w:t xml:space="preserve"> Commission’s</w:t>
      </w:r>
      <w:r w:rsidRPr="00D35F28">
        <w:rPr>
          <w:sz w:val="24"/>
          <w:szCs w:val="24"/>
        </w:rPr>
        <w:t xml:space="preserve"> mental</w:t>
      </w:r>
      <w:r w:rsidR="002D1426">
        <w:rPr>
          <w:sz w:val="24"/>
          <w:szCs w:val="24"/>
        </w:rPr>
        <w:t xml:space="preserve"> process </w:t>
      </w:r>
      <w:r w:rsidRPr="00D35F28">
        <w:rPr>
          <w:sz w:val="24"/>
          <w:szCs w:val="24"/>
        </w:rPr>
        <w:t>as embodied in the staff report.</w:t>
      </w:r>
      <w:r w:rsidR="002D1426">
        <w:rPr>
          <w:sz w:val="24"/>
          <w:szCs w:val="24"/>
        </w:rPr>
        <w:t xml:space="preserve">  </w:t>
      </w:r>
      <w:r w:rsidRPr="00D35F28">
        <w:rPr>
          <w:i/>
          <w:iCs/>
          <w:sz w:val="24"/>
          <w:szCs w:val="24"/>
        </w:rPr>
        <w:t xml:space="preserve">Andrezeski, </w:t>
      </w:r>
      <w:r w:rsidRPr="00D35F28">
        <w:rPr>
          <w:sz w:val="24"/>
          <w:szCs w:val="24"/>
        </w:rPr>
        <w:t xml:space="preserve">71 Pa. PUC at 4-5. </w:t>
      </w:r>
      <w:r w:rsidR="002D1426">
        <w:rPr>
          <w:sz w:val="24"/>
          <w:szCs w:val="24"/>
        </w:rPr>
        <w:t xml:space="preserve">The Commission further noted </w:t>
      </w:r>
      <w:r w:rsidRPr="00D35F28">
        <w:rPr>
          <w:sz w:val="24"/>
          <w:szCs w:val="24"/>
        </w:rPr>
        <w:t>agency decision</w:t>
      </w:r>
      <w:r w:rsidR="002D1426">
        <w:rPr>
          <w:sz w:val="24"/>
          <w:szCs w:val="24"/>
        </w:rPr>
        <w:t xml:space="preserve"> </w:t>
      </w:r>
      <w:r w:rsidRPr="00D35F28">
        <w:rPr>
          <w:sz w:val="24"/>
          <w:szCs w:val="24"/>
        </w:rPr>
        <w:t xml:space="preserve">making </w:t>
      </w:r>
      <w:r w:rsidR="002D1426">
        <w:rPr>
          <w:sz w:val="24"/>
          <w:szCs w:val="24"/>
        </w:rPr>
        <w:t>is</w:t>
      </w:r>
      <w:r w:rsidRPr="00D35F28">
        <w:rPr>
          <w:sz w:val="24"/>
          <w:szCs w:val="24"/>
        </w:rPr>
        <w:t xml:space="preserve"> seriously undermined if agencies </w:t>
      </w:r>
      <w:r w:rsidR="002D1426">
        <w:rPr>
          <w:sz w:val="24"/>
          <w:szCs w:val="24"/>
        </w:rPr>
        <w:t>are</w:t>
      </w:r>
      <w:r w:rsidRPr="00D35F28">
        <w:rPr>
          <w:sz w:val="24"/>
          <w:szCs w:val="24"/>
        </w:rPr>
        <w:t xml:space="preserve"> forced to operate in a </w:t>
      </w:r>
      <w:r w:rsidR="002D1426">
        <w:rPr>
          <w:sz w:val="24"/>
          <w:szCs w:val="24"/>
        </w:rPr>
        <w:t>“</w:t>
      </w:r>
      <w:r w:rsidRPr="00D35F28">
        <w:rPr>
          <w:sz w:val="24"/>
          <w:szCs w:val="24"/>
        </w:rPr>
        <w:t>fishbowl</w:t>
      </w:r>
      <w:r w:rsidR="002D1426">
        <w:rPr>
          <w:sz w:val="24"/>
          <w:szCs w:val="24"/>
        </w:rPr>
        <w:t>”</w:t>
      </w:r>
      <w:r w:rsidRPr="00D35F28">
        <w:rPr>
          <w:sz w:val="24"/>
          <w:szCs w:val="24"/>
        </w:rPr>
        <w:t xml:space="preserve"> environment.</w:t>
      </w:r>
      <w:r w:rsidR="002D1426">
        <w:rPr>
          <w:rStyle w:val="FootnoteReference"/>
          <w:sz w:val="24"/>
          <w:szCs w:val="24"/>
        </w:rPr>
        <w:footnoteReference w:id="2"/>
      </w:r>
    </w:p>
    <w:p w14:paraId="5CBBE2AD" w14:textId="77777777" w:rsidR="005403CD" w:rsidRPr="00D35F28" w:rsidRDefault="005403CD" w:rsidP="006D4CFA">
      <w:pPr>
        <w:spacing w:line="360" w:lineRule="auto"/>
        <w:ind w:firstLine="1440"/>
        <w:contextualSpacing/>
        <w:rPr>
          <w:sz w:val="24"/>
          <w:szCs w:val="24"/>
        </w:rPr>
      </w:pPr>
    </w:p>
    <w:p w14:paraId="06E8E156" w14:textId="00920157" w:rsidR="00D35F28" w:rsidRPr="00D35F28" w:rsidRDefault="00D35F28" w:rsidP="006D4CFA">
      <w:pPr>
        <w:spacing w:line="360" w:lineRule="auto"/>
        <w:contextualSpacing/>
        <w:rPr>
          <w:sz w:val="24"/>
          <w:szCs w:val="24"/>
        </w:rPr>
      </w:pPr>
      <w:r w:rsidRPr="00D35F28">
        <w:rPr>
          <w:sz w:val="24"/>
          <w:szCs w:val="24"/>
        </w:rPr>
        <w:tab/>
      </w:r>
      <w:r w:rsidR="006D4CFA">
        <w:rPr>
          <w:sz w:val="24"/>
          <w:szCs w:val="24"/>
        </w:rPr>
        <w:tab/>
      </w:r>
      <w:r w:rsidRPr="00D35F28">
        <w:rPr>
          <w:sz w:val="24"/>
          <w:szCs w:val="24"/>
        </w:rPr>
        <w:t xml:space="preserve">The attorney work product privilege and attorney-client privilege has been recognized by the Commission in </w:t>
      </w:r>
      <w:r w:rsidRPr="00D35F28">
        <w:rPr>
          <w:i/>
          <w:iCs/>
          <w:sz w:val="24"/>
          <w:szCs w:val="24"/>
        </w:rPr>
        <w:t>Pa. P</w:t>
      </w:r>
      <w:r w:rsidR="005403CD">
        <w:rPr>
          <w:i/>
          <w:iCs/>
          <w:sz w:val="24"/>
          <w:szCs w:val="24"/>
        </w:rPr>
        <w:t>ub. Util. Comm’n,</w:t>
      </w:r>
      <w:r w:rsidRPr="00D35F28">
        <w:rPr>
          <w:i/>
          <w:iCs/>
          <w:sz w:val="24"/>
          <w:szCs w:val="24"/>
        </w:rPr>
        <w:t xml:space="preserve"> et al, v. Pennsylvania American Water Co.,</w:t>
      </w:r>
      <w:r w:rsidRPr="00D35F28">
        <w:rPr>
          <w:sz w:val="24"/>
          <w:szCs w:val="24"/>
        </w:rPr>
        <w:t xml:space="preserve"> 2011 Pa. PUC Lexis 1523* 26-28 (Opinion on Motion to Compel July 21, 2011) (finding that PAWC objection to interrogatory seeking invoices for non-rate case legal expense was </w:t>
      </w:r>
      <w:r w:rsidRPr="00D35F28">
        <w:rPr>
          <w:sz w:val="24"/>
          <w:szCs w:val="24"/>
        </w:rPr>
        <w:lastRenderedPageBreak/>
        <w:t>legitimate and the information sought was covered by privilege, which in its objection PAWC claimed was both attorney work product and attorney client privilege.)</w:t>
      </w:r>
    </w:p>
    <w:p w14:paraId="2F1948C8" w14:textId="77777777" w:rsidR="00D35F28" w:rsidRPr="00D35F28" w:rsidRDefault="00D35F28" w:rsidP="006D4CFA">
      <w:pPr>
        <w:spacing w:line="360" w:lineRule="auto"/>
        <w:contextualSpacing/>
        <w:rPr>
          <w:sz w:val="24"/>
          <w:szCs w:val="24"/>
        </w:rPr>
      </w:pPr>
    </w:p>
    <w:p w14:paraId="207C856B" w14:textId="3F71139B" w:rsidR="0022339C" w:rsidRPr="0077392E" w:rsidRDefault="0022339C" w:rsidP="006D4CFA">
      <w:pPr>
        <w:spacing w:line="360" w:lineRule="auto"/>
        <w:rPr>
          <w:sz w:val="24"/>
          <w:szCs w:val="24"/>
          <w:u w:val="single"/>
        </w:rPr>
      </w:pPr>
      <w:r w:rsidRPr="0077392E">
        <w:rPr>
          <w:sz w:val="24"/>
          <w:szCs w:val="24"/>
          <w:u w:val="single"/>
        </w:rPr>
        <w:t xml:space="preserve">Identified Interrogatory No. </w:t>
      </w:r>
      <w:r w:rsidR="00241675" w:rsidRPr="0077392E">
        <w:rPr>
          <w:sz w:val="24"/>
          <w:szCs w:val="24"/>
          <w:u w:val="single"/>
        </w:rPr>
        <w:t>1(c)</w:t>
      </w:r>
    </w:p>
    <w:p w14:paraId="207C856C" w14:textId="77777777" w:rsidR="00281DD0" w:rsidRPr="0077392E" w:rsidRDefault="00281DD0" w:rsidP="006D4CFA">
      <w:pPr>
        <w:spacing w:line="360" w:lineRule="auto"/>
        <w:rPr>
          <w:sz w:val="24"/>
          <w:szCs w:val="24"/>
          <w:u w:val="single"/>
        </w:rPr>
      </w:pPr>
    </w:p>
    <w:p w14:paraId="207C856D" w14:textId="263534FE" w:rsidR="00231190" w:rsidRPr="0077392E" w:rsidRDefault="009C03E0" w:rsidP="00241675">
      <w:pPr>
        <w:pStyle w:val="NumberList"/>
        <w:autoSpaceDE w:val="0"/>
        <w:autoSpaceDN w:val="0"/>
        <w:adjustRightInd w:val="0"/>
        <w:spacing w:after="0" w:line="360" w:lineRule="auto"/>
        <w:ind w:firstLine="1440"/>
        <w:rPr>
          <w:szCs w:val="24"/>
        </w:rPr>
      </w:pPr>
      <w:r w:rsidRPr="0077392E">
        <w:rPr>
          <w:szCs w:val="24"/>
        </w:rPr>
        <w:t>Interrogatory No.</w:t>
      </w:r>
      <w:r w:rsidR="00231190" w:rsidRPr="0077392E">
        <w:rPr>
          <w:szCs w:val="24"/>
        </w:rPr>
        <w:t xml:space="preserve"> </w:t>
      </w:r>
      <w:r w:rsidR="00241675" w:rsidRPr="0077392E">
        <w:rPr>
          <w:szCs w:val="24"/>
        </w:rPr>
        <w:t>1(c)</w:t>
      </w:r>
      <w:r w:rsidR="00231190" w:rsidRPr="0077392E">
        <w:rPr>
          <w:szCs w:val="24"/>
        </w:rPr>
        <w:t xml:space="preserve">, in </w:t>
      </w:r>
      <w:r w:rsidR="00231190" w:rsidRPr="0077392E">
        <w:rPr>
          <w:i/>
          <w:szCs w:val="24"/>
        </w:rPr>
        <w:t>verbatim</w:t>
      </w:r>
      <w:r w:rsidR="00231190" w:rsidRPr="0077392E">
        <w:rPr>
          <w:szCs w:val="24"/>
        </w:rPr>
        <w:t xml:space="preserve">, asks:  </w:t>
      </w:r>
    </w:p>
    <w:p w14:paraId="138A3B17" w14:textId="5635EE86" w:rsidR="00241675" w:rsidRPr="0077392E" w:rsidRDefault="00241675" w:rsidP="005E7C7A">
      <w:pPr>
        <w:pStyle w:val="ListParagraph"/>
        <w:ind w:left="1440" w:right="720"/>
        <w:jc w:val="both"/>
        <w:rPr>
          <w:sz w:val="24"/>
          <w:szCs w:val="24"/>
        </w:rPr>
      </w:pPr>
      <w:bookmarkStart w:id="2" w:name="_Hlk518077179"/>
      <w:r w:rsidRPr="0077392E">
        <w:rPr>
          <w:sz w:val="24"/>
          <w:szCs w:val="24"/>
        </w:rPr>
        <w:t>1.</w:t>
      </w:r>
      <w:r w:rsidRPr="0077392E">
        <w:rPr>
          <w:sz w:val="24"/>
          <w:szCs w:val="24"/>
        </w:rPr>
        <w:tab/>
        <w:t xml:space="preserve">In its rate case at Docket Nos. R-2023-3039920 </w:t>
      </w:r>
      <w:r w:rsidRPr="0077392E">
        <w:rPr>
          <w:i/>
          <w:iCs/>
          <w:sz w:val="24"/>
          <w:szCs w:val="24"/>
        </w:rPr>
        <w:t>et al</w:t>
      </w:r>
      <w:r w:rsidRPr="0077392E">
        <w:rPr>
          <w:sz w:val="24"/>
          <w:szCs w:val="24"/>
        </w:rPr>
        <w:t>., the Pittsburgh Water and Sewer Authority indicated that it bills customers for treatment service by the Allegheny County Sanitary Authority (</w:t>
      </w:r>
      <w:r w:rsidR="005E7C7A" w:rsidRPr="0077392E">
        <w:rPr>
          <w:sz w:val="24"/>
          <w:szCs w:val="24"/>
        </w:rPr>
        <w:t>“</w:t>
      </w:r>
      <w:r w:rsidRPr="0077392E">
        <w:rPr>
          <w:sz w:val="24"/>
          <w:szCs w:val="24"/>
        </w:rPr>
        <w:t>ALCOSAN”) through a contractual billing arrangement with ALCOSAN.  PWSA St. No. 2 p. 18.</w:t>
      </w:r>
    </w:p>
    <w:p w14:paraId="39099355" w14:textId="77777777" w:rsidR="00241675" w:rsidRPr="0077392E" w:rsidRDefault="00241675" w:rsidP="005E7C7A">
      <w:pPr>
        <w:pStyle w:val="ListParagraph"/>
        <w:ind w:left="1440" w:right="720"/>
        <w:jc w:val="both"/>
        <w:rPr>
          <w:sz w:val="24"/>
          <w:szCs w:val="24"/>
        </w:rPr>
      </w:pPr>
      <w:r w:rsidRPr="0077392E">
        <w:rPr>
          <w:sz w:val="24"/>
          <w:szCs w:val="24"/>
        </w:rPr>
        <w:tab/>
      </w:r>
    </w:p>
    <w:p w14:paraId="3F6603A3" w14:textId="77777777" w:rsidR="00241675" w:rsidRPr="0077392E" w:rsidRDefault="00241675" w:rsidP="005E7C7A">
      <w:pPr>
        <w:pStyle w:val="ListParagraph"/>
        <w:ind w:left="1440" w:right="720"/>
        <w:jc w:val="both"/>
        <w:rPr>
          <w:sz w:val="24"/>
          <w:szCs w:val="24"/>
        </w:rPr>
      </w:pPr>
      <w:r w:rsidRPr="0077392E">
        <w:rPr>
          <w:sz w:val="24"/>
          <w:szCs w:val="24"/>
        </w:rPr>
        <w:tab/>
        <w:t>a.</w:t>
      </w:r>
      <w:r w:rsidRPr="0077392E">
        <w:rPr>
          <w:sz w:val="24"/>
          <w:szCs w:val="24"/>
        </w:rPr>
        <w:tab/>
        <w:t>Did OCA object to this contractual billing arrangement in that proceeding?</w:t>
      </w:r>
    </w:p>
    <w:p w14:paraId="47A6634C" w14:textId="77777777" w:rsidR="00241675" w:rsidRPr="0077392E" w:rsidRDefault="00241675" w:rsidP="005E7C7A">
      <w:pPr>
        <w:pStyle w:val="ListParagraph"/>
        <w:ind w:left="1440" w:right="720"/>
        <w:jc w:val="both"/>
        <w:rPr>
          <w:sz w:val="24"/>
          <w:szCs w:val="24"/>
        </w:rPr>
      </w:pPr>
    </w:p>
    <w:p w14:paraId="553C47B4" w14:textId="77777777" w:rsidR="00241675" w:rsidRPr="0077392E" w:rsidRDefault="00241675" w:rsidP="005E7C7A">
      <w:pPr>
        <w:pStyle w:val="ListParagraph"/>
        <w:ind w:left="1440" w:right="720"/>
        <w:jc w:val="both"/>
        <w:rPr>
          <w:sz w:val="24"/>
          <w:szCs w:val="24"/>
        </w:rPr>
      </w:pPr>
      <w:r w:rsidRPr="0077392E">
        <w:rPr>
          <w:sz w:val="24"/>
          <w:szCs w:val="24"/>
        </w:rPr>
        <w:tab/>
        <w:t>b.</w:t>
      </w:r>
      <w:r w:rsidRPr="0077392E">
        <w:rPr>
          <w:sz w:val="24"/>
          <w:szCs w:val="24"/>
        </w:rPr>
        <w:tab/>
        <w:t>If so, please provide copies of all pertinent OCA testimony.</w:t>
      </w:r>
    </w:p>
    <w:p w14:paraId="0497B037" w14:textId="77777777" w:rsidR="00241675" w:rsidRPr="0077392E" w:rsidRDefault="00241675" w:rsidP="005E7C7A">
      <w:pPr>
        <w:pStyle w:val="ListParagraph"/>
        <w:ind w:left="1440" w:right="720"/>
        <w:jc w:val="both"/>
        <w:rPr>
          <w:sz w:val="24"/>
          <w:szCs w:val="24"/>
        </w:rPr>
      </w:pPr>
    </w:p>
    <w:p w14:paraId="207C8570" w14:textId="2E8B7576" w:rsidR="00231190" w:rsidRPr="0077392E" w:rsidRDefault="00241675" w:rsidP="005E7C7A">
      <w:pPr>
        <w:pStyle w:val="ListParagraph"/>
        <w:spacing w:after="240"/>
        <w:ind w:left="1440" w:right="720"/>
        <w:jc w:val="both"/>
        <w:rPr>
          <w:sz w:val="24"/>
          <w:szCs w:val="24"/>
        </w:rPr>
      </w:pPr>
      <w:r w:rsidRPr="0077392E">
        <w:rPr>
          <w:sz w:val="24"/>
          <w:szCs w:val="24"/>
        </w:rPr>
        <w:tab/>
        <w:t>c.</w:t>
      </w:r>
      <w:r w:rsidRPr="0077392E">
        <w:rPr>
          <w:sz w:val="24"/>
          <w:szCs w:val="24"/>
        </w:rPr>
        <w:tab/>
        <w:t>If not, please explain why OCA objects to PAWC’s contractual billing arrangement to collect ALCOSAN’s treatment charges in this proceeding.</w:t>
      </w:r>
    </w:p>
    <w:bookmarkEnd w:id="2"/>
    <w:p w14:paraId="207C8571" w14:textId="77777777" w:rsidR="00AB075B" w:rsidRPr="0077392E" w:rsidRDefault="00AB075B" w:rsidP="00042600">
      <w:pPr>
        <w:spacing w:line="360" w:lineRule="auto"/>
        <w:rPr>
          <w:sz w:val="24"/>
          <w:szCs w:val="24"/>
        </w:rPr>
      </w:pPr>
    </w:p>
    <w:p w14:paraId="485B27C4" w14:textId="7D6FAA82" w:rsidR="00BD5440" w:rsidRPr="0077392E" w:rsidRDefault="00C74444" w:rsidP="00042600">
      <w:pPr>
        <w:pStyle w:val="BodyText"/>
        <w:spacing w:after="0" w:line="360" w:lineRule="auto"/>
        <w:ind w:firstLine="1440"/>
      </w:pPr>
      <w:r w:rsidRPr="0077392E">
        <w:t>PAWC</w:t>
      </w:r>
      <w:r w:rsidR="00343753" w:rsidRPr="0077392E">
        <w:t xml:space="preserve"> </w:t>
      </w:r>
      <w:r w:rsidR="005E35C6" w:rsidRPr="0077392E">
        <w:t>contends</w:t>
      </w:r>
      <w:r w:rsidR="001E5B82" w:rsidRPr="0077392E">
        <w:t xml:space="preserve"> </w:t>
      </w:r>
      <w:r w:rsidR="000B276B" w:rsidRPr="0077392E">
        <w:t xml:space="preserve">OCA </w:t>
      </w:r>
      <w:r w:rsidR="00F536EC">
        <w:t>may</w:t>
      </w:r>
      <w:r w:rsidR="000B276B" w:rsidRPr="0077392E">
        <w:t xml:space="preserve"> challenge a contractual billing arrangement by which PAWC will collect the treatment charge of ALCOSAN from PAWC’s Brentwood customers</w:t>
      </w:r>
      <w:r w:rsidR="00F536EC">
        <w:t>,</w:t>
      </w:r>
      <w:r w:rsidR="000B276B" w:rsidRPr="0077392E">
        <w:t xml:space="preserve"> after </w:t>
      </w:r>
      <w:r w:rsidR="00F536EC">
        <w:t>PAWC closes</w:t>
      </w:r>
      <w:r w:rsidR="000B276B" w:rsidRPr="0077392E">
        <w:t xml:space="preserve"> on the acquisition.  </w:t>
      </w:r>
      <w:r w:rsidR="005E35C6" w:rsidRPr="0077392E">
        <w:t xml:space="preserve">PAWC asserts </w:t>
      </w:r>
      <w:r w:rsidR="00BD5440" w:rsidRPr="0077392E">
        <w:t xml:space="preserve">OCA was a party in </w:t>
      </w:r>
      <w:r w:rsidR="005E35C6" w:rsidRPr="0077392E">
        <w:t>the</w:t>
      </w:r>
      <w:r w:rsidR="000B276B" w:rsidRPr="0077392E">
        <w:t xml:space="preserve"> P</w:t>
      </w:r>
      <w:r w:rsidR="005E35C6" w:rsidRPr="0077392E">
        <w:t>WSA</w:t>
      </w:r>
      <w:r w:rsidR="000B276B" w:rsidRPr="0077392E">
        <w:t xml:space="preserve"> rate case identified in Interrogatory 1,</w:t>
      </w:r>
      <w:r w:rsidR="00BD5440" w:rsidRPr="0077392E">
        <w:t xml:space="preserve"> and</w:t>
      </w:r>
      <w:r w:rsidR="000B276B" w:rsidRPr="0077392E">
        <w:t xml:space="preserve"> </w:t>
      </w:r>
      <w:r w:rsidR="00BD5440" w:rsidRPr="0077392E">
        <w:t xml:space="preserve">that proceeding </w:t>
      </w:r>
      <w:r w:rsidR="000B276B" w:rsidRPr="0077392E">
        <w:t>involved a similar arrangement with ALCOSAN:  pursuant to a contract with a third party, a regulated utility proposed to collect amounts charged by that third party to the utility’s customers</w:t>
      </w:r>
      <w:r w:rsidR="005E35C6" w:rsidRPr="0077392E">
        <w:t>.</w:t>
      </w:r>
      <w:r w:rsidR="00BD5440" w:rsidRPr="0077392E">
        <w:t xml:space="preserve">  PAWC argues if OCA opposed PWSA’s contractual billing arrangement, the Commission should require OCA to produce copies of the testimony objecting to it.  However, if OCA </w:t>
      </w:r>
      <w:r w:rsidR="00F536EC">
        <w:t>does</w:t>
      </w:r>
      <w:r w:rsidR="00BD5440" w:rsidRPr="0077392E">
        <w:t xml:space="preserve"> </w:t>
      </w:r>
      <w:r w:rsidR="00BD5440" w:rsidRPr="0077392E">
        <w:rPr>
          <w:u w:val="single"/>
        </w:rPr>
        <w:t>not</w:t>
      </w:r>
      <w:r w:rsidR="00BD5440" w:rsidRPr="0077392E">
        <w:t xml:space="preserve"> oppose PWSA’s proposed contractual billing arrangement, PAWC wants OCA to explain why it did not oppose that contractual provision because it is possible an OCA witness testified as to why that contractual billing arrangement was not objectionable and/or why that contractual provision was not objectionable.  PAWC asserts this type of document would be a public document and not be privileged, but PAWC could use </w:t>
      </w:r>
      <w:r w:rsidR="00F536EC">
        <w:t xml:space="preserve">such documentation </w:t>
      </w:r>
      <w:r w:rsidR="00BD5440" w:rsidRPr="0077392E">
        <w:t xml:space="preserve">to impeach an OCA witness in this </w:t>
      </w:r>
      <w:r w:rsidR="00BD5440" w:rsidRPr="0077392E">
        <w:lastRenderedPageBreak/>
        <w:t>proceeding.  As such, PAWC contends the answer to Interrogatory 1(c) could be reasonably calculated to lead to discoverable admissible evidence.</w:t>
      </w:r>
    </w:p>
    <w:p w14:paraId="3DB21B09" w14:textId="77777777" w:rsidR="00C74444" w:rsidRPr="0077392E" w:rsidRDefault="00C74444" w:rsidP="00042600">
      <w:pPr>
        <w:spacing w:line="360" w:lineRule="auto"/>
        <w:ind w:firstLine="1440"/>
        <w:rPr>
          <w:sz w:val="24"/>
          <w:szCs w:val="24"/>
        </w:rPr>
      </w:pPr>
    </w:p>
    <w:p w14:paraId="1DA8E852" w14:textId="39629486" w:rsidR="00C74444" w:rsidRPr="0077392E" w:rsidRDefault="00C74444" w:rsidP="00042600">
      <w:pPr>
        <w:spacing w:line="360" w:lineRule="auto"/>
        <w:ind w:firstLine="1440"/>
        <w:rPr>
          <w:sz w:val="24"/>
          <w:szCs w:val="24"/>
        </w:rPr>
      </w:pPr>
      <w:r w:rsidRPr="0077392E">
        <w:rPr>
          <w:sz w:val="24"/>
          <w:szCs w:val="24"/>
        </w:rPr>
        <w:t xml:space="preserve">OCA contends </w:t>
      </w:r>
      <w:r w:rsidR="00042600" w:rsidRPr="0077392E">
        <w:rPr>
          <w:sz w:val="24"/>
          <w:szCs w:val="24"/>
        </w:rPr>
        <w:t>Question 1(c), does not seek the production of past OCA testimony or pleadings, but argues PAWC seeks to obtain internal deliberations made within OCA by and between its attorneys and the Consumer Advocate regarding its position on PAWC’s proposed contractual billing arrangement. OCA avers its internal deliberations are protected by attorney-client privilege and not discoverable.  OCA notes the Consumer Advocate position was established pursuant to Section 309-1, et seq. of title 71, Administrative Code of 1929. 71 P.S. §§ 309-1 to 309-7, and through its establishment, the Consumer Advocate was statutorily vested with the duty to represent the interests of consumers before the Commission.  The Consumer Advocate is empowered to initiate proceedings “if in his judgment such may be necessary …” 71 P.S. §§309-4(a), and authorizes the Consumer Advocate to exercise his discretion in proceedings before the Commission, 71 P.S. §§ 309-4(b).  OCA contends PAWC Set I No. 1(c) clearly seeks privileged information as to why OCA would choose its preferred litigation position in this case, and as such, the information requested is privileged.</w:t>
      </w:r>
    </w:p>
    <w:p w14:paraId="207C8573" w14:textId="77777777" w:rsidR="00510455" w:rsidRPr="0077392E" w:rsidRDefault="00510455" w:rsidP="00D03506">
      <w:pPr>
        <w:spacing w:line="360" w:lineRule="auto"/>
        <w:ind w:firstLine="1530"/>
        <w:rPr>
          <w:sz w:val="24"/>
          <w:szCs w:val="24"/>
        </w:rPr>
      </w:pPr>
    </w:p>
    <w:p w14:paraId="207C8578" w14:textId="77777777" w:rsidR="00626B41" w:rsidRPr="0077392E" w:rsidRDefault="00626B41" w:rsidP="001D722F">
      <w:pPr>
        <w:spacing w:line="360" w:lineRule="auto"/>
        <w:rPr>
          <w:color w:val="000000"/>
          <w:sz w:val="24"/>
          <w:szCs w:val="24"/>
          <w:u w:val="single"/>
        </w:rPr>
      </w:pPr>
      <w:r w:rsidRPr="0077392E">
        <w:rPr>
          <w:color w:val="000000"/>
          <w:sz w:val="24"/>
          <w:szCs w:val="24"/>
          <w:u w:val="single"/>
        </w:rPr>
        <w:t>Disposition</w:t>
      </w:r>
    </w:p>
    <w:p w14:paraId="207C8579" w14:textId="77777777" w:rsidR="00626B41" w:rsidRPr="0077392E" w:rsidRDefault="00626B41" w:rsidP="00E202EE">
      <w:pPr>
        <w:spacing w:line="360" w:lineRule="auto"/>
        <w:rPr>
          <w:color w:val="000000"/>
          <w:sz w:val="24"/>
          <w:szCs w:val="24"/>
        </w:rPr>
      </w:pPr>
    </w:p>
    <w:p w14:paraId="207C857A" w14:textId="5B85DAC0" w:rsidR="005705AB" w:rsidRPr="0077392E" w:rsidRDefault="0077392E" w:rsidP="005705AB">
      <w:pPr>
        <w:spacing w:line="360" w:lineRule="auto"/>
        <w:rPr>
          <w:color w:val="000000"/>
          <w:sz w:val="24"/>
          <w:szCs w:val="24"/>
        </w:rPr>
      </w:pPr>
      <w:r w:rsidRPr="0077392E">
        <w:rPr>
          <w:color w:val="000000"/>
          <w:sz w:val="24"/>
          <w:szCs w:val="24"/>
        </w:rPr>
        <w:tab/>
      </w:r>
      <w:r w:rsidRPr="0077392E">
        <w:rPr>
          <w:color w:val="000000"/>
          <w:sz w:val="24"/>
          <w:szCs w:val="24"/>
        </w:rPr>
        <w:tab/>
        <w:t xml:space="preserve">Interrogatory </w:t>
      </w:r>
      <w:r w:rsidR="00F536EC">
        <w:rPr>
          <w:color w:val="000000"/>
          <w:sz w:val="24"/>
          <w:szCs w:val="24"/>
        </w:rPr>
        <w:t>1(c) attempts</w:t>
      </w:r>
      <w:r w:rsidRPr="0077392E">
        <w:rPr>
          <w:color w:val="000000"/>
          <w:sz w:val="24"/>
          <w:szCs w:val="24"/>
        </w:rPr>
        <w:t xml:space="preserve"> to obtain access to privileged information which OCA might have </w:t>
      </w:r>
      <w:r w:rsidR="0018764C">
        <w:rPr>
          <w:color w:val="000000"/>
          <w:sz w:val="24"/>
          <w:szCs w:val="24"/>
        </w:rPr>
        <w:t>from</w:t>
      </w:r>
      <w:r w:rsidRPr="0077392E">
        <w:rPr>
          <w:color w:val="000000"/>
          <w:sz w:val="24"/>
          <w:szCs w:val="24"/>
        </w:rPr>
        <w:t xml:space="preserve"> conversations and materials used in the preparation of other proceedings as well as this proceeding.  </w:t>
      </w:r>
      <w:r w:rsidRPr="00F536EC">
        <w:rPr>
          <w:color w:val="000000"/>
          <w:sz w:val="24"/>
          <w:szCs w:val="24"/>
        </w:rPr>
        <w:t>IF</w:t>
      </w:r>
      <w:r w:rsidRPr="0077392E">
        <w:rPr>
          <w:color w:val="000000"/>
          <w:sz w:val="24"/>
          <w:szCs w:val="24"/>
        </w:rPr>
        <w:t xml:space="preserve">, as PAWC intimates, OCA plans to object to the billing arrangement with ALCOSAN in this proceeding, then OCA </w:t>
      </w:r>
      <w:r w:rsidR="00F536EC">
        <w:rPr>
          <w:color w:val="000000"/>
          <w:sz w:val="24"/>
          <w:szCs w:val="24"/>
        </w:rPr>
        <w:t>should</w:t>
      </w:r>
      <w:r w:rsidRPr="0077392E">
        <w:rPr>
          <w:color w:val="000000"/>
          <w:sz w:val="24"/>
          <w:szCs w:val="24"/>
        </w:rPr>
        <w:t xml:space="preserve"> have the opportunity to make that argument in due course.  PAWC does not have a right to force OCA to “show its hand” before OCA wants to do so in this proceeding.  PAWC does not have the right to insist it </w:t>
      </w:r>
      <w:r w:rsidR="0018764C">
        <w:rPr>
          <w:color w:val="000000"/>
          <w:sz w:val="24"/>
          <w:szCs w:val="24"/>
        </w:rPr>
        <w:t>must know</w:t>
      </w:r>
      <w:r w:rsidRPr="0077392E">
        <w:rPr>
          <w:color w:val="000000"/>
          <w:sz w:val="24"/>
          <w:szCs w:val="24"/>
        </w:rPr>
        <w:t xml:space="preserve"> what factors an opponent considered when making </w:t>
      </w:r>
      <w:r w:rsidR="0018764C">
        <w:rPr>
          <w:color w:val="000000"/>
          <w:sz w:val="24"/>
          <w:szCs w:val="24"/>
        </w:rPr>
        <w:t>a</w:t>
      </w:r>
      <w:r w:rsidRPr="0077392E">
        <w:rPr>
          <w:color w:val="000000"/>
          <w:sz w:val="24"/>
          <w:szCs w:val="24"/>
        </w:rPr>
        <w:t xml:space="preserve"> legal determination to pursue, or not pursue, a legal theory in a proceeding, especially since the opponent</w:t>
      </w:r>
      <w:r w:rsidR="005403CD">
        <w:rPr>
          <w:color w:val="000000"/>
          <w:sz w:val="24"/>
          <w:szCs w:val="24"/>
        </w:rPr>
        <w:t xml:space="preserve"> in question</w:t>
      </w:r>
      <w:r w:rsidRPr="0077392E">
        <w:rPr>
          <w:color w:val="000000"/>
          <w:sz w:val="24"/>
          <w:szCs w:val="24"/>
        </w:rPr>
        <w:t xml:space="preserve"> does not have the burden of proof herein.  </w:t>
      </w:r>
      <w:r w:rsidRPr="00AF1281">
        <w:rPr>
          <w:color w:val="000000"/>
          <w:sz w:val="24"/>
          <w:szCs w:val="24"/>
        </w:rPr>
        <w:t>PAWC</w:t>
      </w:r>
      <w:r w:rsidRPr="0077392E">
        <w:rPr>
          <w:color w:val="000000"/>
          <w:sz w:val="24"/>
          <w:szCs w:val="24"/>
        </w:rPr>
        <w:t xml:space="preserve"> is the party charged with bearing the burden of proof.  </w:t>
      </w:r>
      <w:r w:rsidR="0018764C">
        <w:rPr>
          <w:color w:val="000000"/>
          <w:sz w:val="24"/>
          <w:szCs w:val="24"/>
        </w:rPr>
        <w:t xml:space="preserve">It is </w:t>
      </w:r>
      <w:r w:rsidR="0018764C" w:rsidRPr="00AF1281">
        <w:rPr>
          <w:color w:val="000000"/>
          <w:sz w:val="24"/>
          <w:szCs w:val="24"/>
        </w:rPr>
        <w:t>PAWC</w:t>
      </w:r>
      <w:r w:rsidR="0018764C">
        <w:rPr>
          <w:color w:val="000000"/>
          <w:sz w:val="24"/>
          <w:szCs w:val="24"/>
        </w:rPr>
        <w:t xml:space="preserve"> which</w:t>
      </w:r>
      <w:r w:rsidRPr="0077392E">
        <w:rPr>
          <w:color w:val="000000"/>
          <w:sz w:val="24"/>
          <w:szCs w:val="24"/>
        </w:rPr>
        <w:t xml:space="preserve"> must show that </w:t>
      </w:r>
      <w:r w:rsidR="0018764C" w:rsidRPr="00AF1281">
        <w:rPr>
          <w:color w:val="000000"/>
          <w:sz w:val="24"/>
          <w:szCs w:val="24"/>
        </w:rPr>
        <w:t>PAWC’s</w:t>
      </w:r>
      <w:r w:rsidRPr="0077392E">
        <w:rPr>
          <w:color w:val="000000"/>
          <w:sz w:val="24"/>
          <w:szCs w:val="24"/>
        </w:rPr>
        <w:t xml:space="preserve"> deliberations resulted in </w:t>
      </w:r>
      <w:r w:rsidR="00F536EC">
        <w:rPr>
          <w:color w:val="000000"/>
          <w:sz w:val="24"/>
          <w:szCs w:val="24"/>
        </w:rPr>
        <w:t xml:space="preserve">filing </w:t>
      </w:r>
      <w:r w:rsidRPr="0077392E">
        <w:rPr>
          <w:color w:val="000000"/>
          <w:sz w:val="24"/>
          <w:szCs w:val="24"/>
        </w:rPr>
        <w:t xml:space="preserve">an application that should be approved.  The legal meanderings and discussions of the other parties </w:t>
      </w:r>
      <w:r w:rsidR="00F536EC">
        <w:rPr>
          <w:color w:val="000000"/>
          <w:sz w:val="24"/>
          <w:szCs w:val="24"/>
        </w:rPr>
        <w:t xml:space="preserve">back in their offices </w:t>
      </w:r>
      <w:r w:rsidRPr="0077392E">
        <w:rPr>
          <w:color w:val="000000"/>
          <w:sz w:val="24"/>
          <w:szCs w:val="24"/>
        </w:rPr>
        <w:t xml:space="preserve">are not relevant and do not answer the ultimate question in this proceeding which is: whether </w:t>
      </w:r>
      <w:r w:rsidRPr="00AF1281">
        <w:rPr>
          <w:color w:val="000000"/>
          <w:sz w:val="24"/>
          <w:szCs w:val="24"/>
        </w:rPr>
        <w:t>PAWC</w:t>
      </w:r>
      <w:r w:rsidR="0018764C">
        <w:rPr>
          <w:color w:val="000000"/>
          <w:sz w:val="24"/>
          <w:szCs w:val="24"/>
        </w:rPr>
        <w:t xml:space="preserve"> provides </w:t>
      </w:r>
      <w:r w:rsidR="0018764C">
        <w:rPr>
          <w:color w:val="000000"/>
          <w:sz w:val="24"/>
          <w:szCs w:val="24"/>
        </w:rPr>
        <w:lastRenderedPageBreak/>
        <w:t>sufficient evidence in support of it</w:t>
      </w:r>
      <w:r w:rsidRPr="0077392E">
        <w:rPr>
          <w:color w:val="000000"/>
          <w:sz w:val="24"/>
          <w:szCs w:val="24"/>
        </w:rPr>
        <w:t xml:space="preserve">s application for approval of </w:t>
      </w:r>
      <w:r w:rsidR="0018764C">
        <w:rPr>
          <w:color w:val="000000"/>
          <w:sz w:val="24"/>
          <w:szCs w:val="24"/>
        </w:rPr>
        <w:t>the</w:t>
      </w:r>
      <w:r w:rsidRPr="0077392E">
        <w:rPr>
          <w:color w:val="000000"/>
          <w:sz w:val="24"/>
          <w:szCs w:val="24"/>
        </w:rPr>
        <w:t xml:space="preserve"> acquisition of the Brentwood wastewater system and whether PAWC should be granted a Certificate of Public Convenience to provide wastewater service to the affected customers in Brentwood.  </w:t>
      </w:r>
      <w:r w:rsidR="00626B41" w:rsidRPr="0077392E">
        <w:rPr>
          <w:color w:val="000000"/>
          <w:sz w:val="24"/>
          <w:szCs w:val="24"/>
        </w:rPr>
        <w:tab/>
      </w:r>
      <w:r w:rsidR="005705AB" w:rsidRPr="0077392E">
        <w:rPr>
          <w:color w:val="000000"/>
          <w:sz w:val="24"/>
          <w:szCs w:val="24"/>
        </w:rPr>
        <w:t xml:space="preserve">  </w:t>
      </w:r>
    </w:p>
    <w:p w14:paraId="207C857B" w14:textId="77777777" w:rsidR="005705AB" w:rsidRPr="0077392E" w:rsidRDefault="005705AB" w:rsidP="005705AB">
      <w:pPr>
        <w:spacing w:line="360" w:lineRule="auto"/>
        <w:rPr>
          <w:sz w:val="24"/>
          <w:szCs w:val="24"/>
        </w:rPr>
      </w:pPr>
    </w:p>
    <w:p w14:paraId="207C857C" w14:textId="45B8B2E4" w:rsidR="00E202EE" w:rsidRPr="0077392E" w:rsidRDefault="009B6A3E" w:rsidP="005705AB">
      <w:pPr>
        <w:spacing w:line="360" w:lineRule="auto"/>
        <w:ind w:firstLine="1440"/>
        <w:rPr>
          <w:color w:val="000000"/>
          <w:sz w:val="24"/>
          <w:szCs w:val="24"/>
        </w:rPr>
      </w:pPr>
      <w:r w:rsidRPr="0077392E">
        <w:rPr>
          <w:sz w:val="24"/>
          <w:szCs w:val="24"/>
        </w:rPr>
        <w:t xml:space="preserve">Accordingly, </w:t>
      </w:r>
      <w:r w:rsidR="00C74444" w:rsidRPr="0077392E">
        <w:rPr>
          <w:sz w:val="24"/>
          <w:szCs w:val="24"/>
        </w:rPr>
        <w:t>OCA</w:t>
      </w:r>
      <w:r w:rsidRPr="0077392E">
        <w:rPr>
          <w:sz w:val="24"/>
          <w:szCs w:val="24"/>
        </w:rPr>
        <w:t xml:space="preserve"> will </w:t>
      </w:r>
      <w:r w:rsidR="005705AB" w:rsidRPr="0077392E">
        <w:rPr>
          <w:b/>
          <w:bCs/>
          <w:sz w:val="24"/>
          <w:szCs w:val="24"/>
          <w:u w:val="single"/>
        </w:rPr>
        <w:t>not</w:t>
      </w:r>
      <w:r w:rsidR="005705AB" w:rsidRPr="0077392E">
        <w:rPr>
          <w:sz w:val="24"/>
          <w:szCs w:val="24"/>
        </w:rPr>
        <w:t xml:space="preserve"> </w:t>
      </w:r>
      <w:r w:rsidRPr="0077392E">
        <w:rPr>
          <w:sz w:val="24"/>
          <w:szCs w:val="24"/>
        </w:rPr>
        <w:t xml:space="preserve">be compelled to answer </w:t>
      </w:r>
      <w:r w:rsidR="009C03E0" w:rsidRPr="0077392E">
        <w:rPr>
          <w:sz w:val="24"/>
          <w:szCs w:val="24"/>
        </w:rPr>
        <w:t>Interrogatory No.</w:t>
      </w:r>
      <w:r w:rsidRPr="0077392E">
        <w:rPr>
          <w:sz w:val="24"/>
          <w:szCs w:val="24"/>
        </w:rPr>
        <w:t xml:space="preserve"> </w:t>
      </w:r>
      <w:r w:rsidR="00C74444" w:rsidRPr="0077392E">
        <w:rPr>
          <w:sz w:val="24"/>
          <w:szCs w:val="24"/>
        </w:rPr>
        <w:t>1(c)</w:t>
      </w:r>
      <w:r w:rsidR="005705AB" w:rsidRPr="0077392E">
        <w:rPr>
          <w:sz w:val="24"/>
          <w:szCs w:val="24"/>
        </w:rPr>
        <w:t>, to the extent the interrogatory remains unanswered</w:t>
      </w:r>
      <w:r w:rsidRPr="0077392E">
        <w:rPr>
          <w:sz w:val="24"/>
          <w:szCs w:val="24"/>
        </w:rPr>
        <w:t>.</w:t>
      </w:r>
      <w:r w:rsidR="00E202EE" w:rsidRPr="0077392E">
        <w:rPr>
          <w:sz w:val="24"/>
          <w:szCs w:val="24"/>
        </w:rPr>
        <w:t xml:space="preserve">  </w:t>
      </w:r>
    </w:p>
    <w:p w14:paraId="207C857D" w14:textId="77777777" w:rsidR="00E202EE" w:rsidRPr="0077392E" w:rsidRDefault="00E202EE" w:rsidP="00E202EE">
      <w:pPr>
        <w:tabs>
          <w:tab w:val="left" w:pos="0"/>
        </w:tabs>
        <w:spacing w:line="360" w:lineRule="auto"/>
        <w:textAlignment w:val="baseline"/>
        <w:rPr>
          <w:sz w:val="24"/>
          <w:szCs w:val="24"/>
          <w:u w:val="single"/>
        </w:rPr>
      </w:pPr>
    </w:p>
    <w:p w14:paraId="207C857E" w14:textId="069A2372" w:rsidR="0022339C" w:rsidRPr="0077392E" w:rsidRDefault="0022339C" w:rsidP="00E202EE">
      <w:pPr>
        <w:tabs>
          <w:tab w:val="left" w:pos="0"/>
        </w:tabs>
        <w:spacing w:line="360" w:lineRule="auto"/>
        <w:textAlignment w:val="baseline"/>
        <w:rPr>
          <w:sz w:val="24"/>
          <w:szCs w:val="24"/>
          <w:u w:val="single"/>
        </w:rPr>
      </w:pPr>
      <w:r w:rsidRPr="0077392E">
        <w:rPr>
          <w:sz w:val="24"/>
          <w:szCs w:val="24"/>
          <w:u w:val="single"/>
        </w:rPr>
        <w:t>Identified Interrogatory No</w:t>
      </w:r>
      <w:r w:rsidR="00C74444" w:rsidRPr="0077392E">
        <w:rPr>
          <w:sz w:val="24"/>
          <w:szCs w:val="24"/>
          <w:u w:val="single"/>
        </w:rPr>
        <w:t>s</w:t>
      </w:r>
      <w:r w:rsidRPr="0077392E">
        <w:rPr>
          <w:sz w:val="24"/>
          <w:szCs w:val="24"/>
          <w:u w:val="single"/>
        </w:rPr>
        <w:t xml:space="preserve">. </w:t>
      </w:r>
      <w:r w:rsidR="00C74444" w:rsidRPr="0077392E">
        <w:rPr>
          <w:sz w:val="24"/>
          <w:szCs w:val="24"/>
          <w:u w:val="single"/>
        </w:rPr>
        <w:t>3 and 4</w:t>
      </w:r>
    </w:p>
    <w:p w14:paraId="207C857F" w14:textId="77777777" w:rsidR="009B6A3E" w:rsidRPr="0077392E" w:rsidRDefault="009B6A3E" w:rsidP="00E14A6A">
      <w:pPr>
        <w:spacing w:line="360" w:lineRule="auto"/>
        <w:rPr>
          <w:sz w:val="24"/>
          <w:szCs w:val="24"/>
          <w:u w:val="single"/>
        </w:rPr>
      </w:pPr>
    </w:p>
    <w:p w14:paraId="207C8580" w14:textId="062CA80D" w:rsidR="00231190" w:rsidRPr="0077392E" w:rsidRDefault="009B6A3E" w:rsidP="00E14A6A">
      <w:pPr>
        <w:spacing w:line="360" w:lineRule="auto"/>
        <w:rPr>
          <w:sz w:val="24"/>
          <w:szCs w:val="24"/>
        </w:rPr>
      </w:pPr>
      <w:r w:rsidRPr="0077392E">
        <w:rPr>
          <w:sz w:val="24"/>
          <w:szCs w:val="24"/>
        </w:rPr>
        <w:tab/>
      </w:r>
      <w:r w:rsidRPr="0077392E">
        <w:rPr>
          <w:sz w:val="24"/>
          <w:szCs w:val="24"/>
        </w:rPr>
        <w:tab/>
      </w:r>
      <w:r w:rsidR="009C03E0" w:rsidRPr="0077392E">
        <w:rPr>
          <w:sz w:val="24"/>
          <w:szCs w:val="24"/>
        </w:rPr>
        <w:t>Interrogatory No.</w:t>
      </w:r>
      <w:r w:rsidR="00231190" w:rsidRPr="0077392E">
        <w:rPr>
          <w:sz w:val="24"/>
          <w:szCs w:val="24"/>
        </w:rPr>
        <w:t xml:space="preserve"> </w:t>
      </w:r>
      <w:r w:rsidR="00C74444" w:rsidRPr="0077392E">
        <w:rPr>
          <w:sz w:val="24"/>
          <w:szCs w:val="24"/>
        </w:rPr>
        <w:t>3</w:t>
      </w:r>
      <w:r w:rsidR="00231190" w:rsidRPr="0077392E">
        <w:rPr>
          <w:sz w:val="24"/>
          <w:szCs w:val="24"/>
        </w:rPr>
        <w:t xml:space="preserve">, in </w:t>
      </w:r>
      <w:r w:rsidR="00231190" w:rsidRPr="0077392E">
        <w:rPr>
          <w:i/>
          <w:sz w:val="24"/>
          <w:szCs w:val="24"/>
        </w:rPr>
        <w:t>verbatim</w:t>
      </w:r>
      <w:r w:rsidR="00231190" w:rsidRPr="0077392E">
        <w:rPr>
          <w:sz w:val="24"/>
          <w:szCs w:val="24"/>
        </w:rPr>
        <w:t xml:space="preserve"> asks</w:t>
      </w:r>
      <w:r w:rsidRPr="0077392E">
        <w:rPr>
          <w:sz w:val="24"/>
          <w:szCs w:val="24"/>
        </w:rPr>
        <w:t xml:space="preserve">:  </w:t>
      </w:r>
    </w:p>
    <w:p w14:paraId="525A0C56" w14:textId="77777777" w:rsidR="003E02C3" w:rsidRPr="0077392E" w:rsidRDefault="003E02C3" w:rsidP="00E14A6A">
      <w:pPr>
        <w:spacing w:line="360" w:lineRule="auto"/>
        <w:rPr>
          <w:sz w:val="24"/>
          <w:szCs w:val="24"/>
        </w:rPr>
      </w:pPr>
    </w:p>
    <w:p w14:paraId="1DFE9819" w14:textId="77777777" w:rsidR="003E02C3" w:rsidRPr="0077392E" w:rsidRDefault="003E02C3" w:rsidP="00E14A6A">
      <w:pPr>
        <w:ind w:left="720" w:right="720" w:firstLine="720"/>
        <w:jc w:val="both"/>
        <w:rPr>
          <w:sz w:val="24"/>
          <w:szCs w:val="24"/>
        </w:rPr>
      </w:pPr>
      <w:r w:rsidRPr="0077392E">
        <w:rPr>
          <w:sz w:val="24"/>
          <w:szCs w:val="24"/>
        </w:rPr>
        <w:t>3.</w:t>
      </w:r>
      <w:r w:rsidRPr="0077392E">
        <w:rPr>
          <w:sz w:val="24"/>
          <w:szCs w:val="24"/>
        </w:rPr>
        <w:tab/>
        <w:t>Please provide the caption and docket number for every application, rate proceeding or Section 507 proceeding in the last five years in which the OCA has participated in which a water and/or wastewater utility has proposed a contractual billing arrangement to collect amounts due to a third party.</w:t>
      </w:r>
    </w:p>
    <w:p w14:paraId="207C8588" w14:textId="77777777" w:rsidR="00231190" w:rsidRPr="0077392E" w:rsidRDefault="00231190" w:rsidP="00E14A6A">
      <w:pPr>
        <w:spacing w:line="360" w:lineRule="auto"/>
        <w:rPr>
          <w:sz w:val="24"/>
          <w:szCs w:val="24"/>
        </w:rPr>
      </w:pPr>
    </w:p>
    <w:p w14:paraId="4EF4424D" w14:textId="207B5A69" w:rsidR="00C74444" w:rsidRDefault="00C74444" w:rsidP="00E14A6A">
      <w:pPr>
        <w:spacing w:line="360" w:lineRule="auto"/>
        <w:rPr>
          <w:sz w:val="24"/>
          <w:szCs w:val="24"/>
        </w:rPr>
      </w:pPr>
      <w:r w:rsidRPr="0077392E">
        <w:rPr>
          <w:sz w:val="24"/>
          <w:szCs w:val="24"/>
        </w:rPr>
        <w:tab/>
      </w:r>
      <w:r w:rsidRPr="0077392E">
        <w:rPr>
          <w:sz w:val="24"/>
          <w:szCs w:val="24"/>
        </w:rPr>
        <w:tab/>
        <w:t xml:space="preserve">Interrogatory No. 4, in </w:t>
      </w:r>
      <w:r w:rsidRPr="0077392E">
        <w:rPr>
          <w:i/>
          <w:sz w:val="24"/>
          <w:szCs w:val="24"/>
        </w:rPr>
        <w:t>verbatim</w:t>
      </w:r>
      <w:r w:rsidRPr="0077392E">
        <w:rPr>
          <w:sz w:val="24"/>
          <w:szCs w:val="24"/>
        </w:rPr>
        <w:t xml:space="preserve"> asks:  </w:t>
      </w:r>
    </w:p>
    <w:p w14:paraId="0F25D82D" w14:textId="77777777" w:rsidR="006D4CFA" w:rsidRPr="0077392E" w:rsidRDefault="006D4CFA" w:rsidP="00E14A6A">
      <w:pPr>
        <w:spacing w:line="360" w:lineRule="auto"/>
        <w:rPr>
          <w:sz w:val="24"/>
          <w:szCs w:val="24"/>
        </w:rPr>
      </w:pPr>
    </w:p>
    <w:p w14:paraId="0B93A1C3" w14:textId="77777777" w:rsidR="003E02C3" w:rsidRPr="0077392E" w:rsidRDefault="003E02C3" w:rsidP="00E14A6A">
      <w:pPr>
        <w:spacing w:after="240"/>
        <w:ind w:left="720" w:right="720" w:firstLine="720"/>
        <w:jc w:val="both"/>
        <w:rPr>
          <w:sz w:val="24"/>
          <w:szCs w:val="24"/>
        </w:rPr>
      </w:pPr>
      <w:r w:rsidRPr="0077392E">
        <w:rPr>
          <w:sz w:val="24"/>
          <w:szCs w:val="24"/>
        </w:rPr>
        <w:t>4.</w:t>
      </w:r>
      <w:r w:rsidRPr="0077392E">
        <w:rPr>
          <w:sz w:val="24"/>
          <w:szCs w:val="24"/>
        </w:rPr>
        <w:tab/>
        <w:t xml:space="preserve">For every case listed in response to Interrogatory 3, please indicate whether the OCA opposed the proposed contractual billing arrangement. </w:t>
      </w:r>
    </w:p>
    <w:p w14:paraId="0EA79B0F" w14:textId="77777777" w:rsidR="00C74444" w:rsidRPr="0077392E" w:rsidRDefault="00C74444" w:rsidP="00E14A6A">
      <w:pPr>
        <w:spacing w:line="360" w:lineRule="auto"/>
        <w:rPr>
          <w:sz w:val="24"/>
          <w:szCs w:val="24"/>
        </w:rPr>
      </w:pPr>
    </w:p>
    <w:p w14:paraId="073FF269" w14:textId="2E7CFC73" w:rsidR="00C74444" w:rsidRPr="0077392E" w:rsidRDefault="0077392E" w:rsidP="00C74444">
      <w:pPr>
        <w:spacing w:line="360" w:lineRule="auto"/>
        <w:ind w:firstLine="1440"/>
        <w:rPr>
          <w:sz w:val="24"/>
          <w:szCs w:val="24"/>
        </w:rPr>
      </w:pPr>
      <w:r>
        <w:rPr>
          <w:sz w:val="24"/>
          <w:szCs w:val="24"/>
        </w:rPr>
        <w:t>PAWC</w:t>
      </w:r>
      <w:r w:rsidR="009B6A3E" w:rsidRPr="0077392E">
        <w:rPr>
          <w:sz w:val="24"/>
          <w:szCs w:val="24"/>
        </w:rPr>
        <w:t xml:space="preserve"> </w:t>
      </w:r>
      <w:r w:rsidR="00C74444" w:rsidRPr="0077392E">
        <w:rPr>
          <w:sz w:val="24"/>
          <w:szCs w:val="24"/>
        </w:rPr>
        <w:t xml:space="preserve">argues </w:t>
      </w:r>
      <w:r w:rsidR="00042600" w:rsidRPr="0077392E">
        <w:rPr>
          <w:sz w:val="24"/>
          <w:szCs w:val="24"/>
        </w:rPr>
        <w:t>the Commission should reject OCA’s objections because OCA</w:t>
      </w:r>
      <w:r w:rsidR="00312972" w:rsidRPr="0077392E">
        <w:rPr>
          <w:sz w:val="24"/>
          <w:szCs w:val="24"/>
        </w:rPr>
        <w:t xml:space="preserve"> </w:t>
      </w:r>
      <w:r w:rsidR="00042600" w:rsidRPr="0077392E">
        <w:rPr>
          <w:sz w:val="24"/>
          <w:szCs w:val="24"/>
        </w:rPr>
        <w:t>claim</w:t>
      </w:r>
      <w:r w:rsidR="00312972" w:rsidRPr="0077392E">
        <w:rPr>
          <w:sz w:val="24"/>
          <w:szCs w:val="24"/>
        </w:rPr>
        <w:t>s</w:t>
      </w:r>
      <w:r w:rsidR="00042600" w:rsidRPr="0077392E">
        <w:rPr>
          <w:sz w:val="24"/>
          <w:szCs w:val="24"/>
        </w:rPr>
        <w:t xml:space="preserve"> the term “contractual billing arrangement” is vague.  </w:t>
      </w:r>
      <w:r>
        <w:rPr>
          <w:sz w:val="24"/>
          <w:szCs w:val="24"/>
        </w:rPr>
        <w:t>PAWC</w:t>
      </w:r>
      <w:r w:rsidR="00042600" w:rsidRPr="0077392E">
        <w:rPr>
          <w:sz w:val="24"/>
          <w:szCs w:val="24"/>
        </w:rPr>
        <w:t xml:space="preserve"> asserts it gave OCA a specific example of a “contractual billing arrangement” and cited to PAWC’s arrangement - to collect treatment charges due to ALCOSAN - as a second example of a “contractual billing arrangement.”  Further, </w:t>
      </w:r>
      <w:r>
        <w:rPr>
          <w:sz w:val="24"/>
          <w:szCs w:val="24"/>
        </w:rPr>
        <w:t>PAWC</w:t>
      </w:r>
      <w:r w:rsidR="00042600" w:rsidRPr="0077392E">
        <w:rPr>
          <w:sz w:val="24"/>
          <w:szCs w:val="24"/>
        </w:rPr>
        <w:t xml:space="preserve"> insists it orally explained the meaning of the phrase to OCA’s counsel when OCA orally objected to the interrogatory.  </w:t>
      </w:r>
      <w:r w:rsidR="00312972" w:rsidRPr="0077392E">
        <w:rPr>
          <w:sz w:val="24"/>
          <w:szCs w:val="24"/>
        </w:rPr>
        <w:t>Further, PAWC insists that requesting information over a five-year period is a regular time period used in proceedings before the Commission</w:t>
      </w:r>
      <w:r w:rsidR="00F536EC">
        <w:rPr>
          <w:sz w:val="24"/>
          <w:szCs w:val="24"/>
        </w:rPr>
        <w:t xml:space="preserve"> in OCA’s interrogatories</w:t>
      </w:r>
      <w:r w:rsidR="00312972" w:rsidRPr="0077392E">
        <w:rPr>
          <w:sz w:val="24"/>
          <w:szCs w:val="24"/>
        </w:rPr>
        <w:t>.  Lastly, PAWC argues the objection should be rejected because OCA may challenge the contractual billing arrangement and, while PAWC is aware of one other example of a similar arrangement, PAWC contends it is appropriate and reasonable for it to request and obtain information from OCA about any other examples of similar arrangements of which OCA might be aware.</w:t>
      </w:r>
    </w:p>
    <w:p w14:paraId="207C858F" w14:textId="38BF93B5" w:rsidR="009B6A3E" w:rsidRPr="0077392E" w:rsidRDefault="00C74444" w:rsidP="00C74444">
      <w:pPr>
        <w:spacing w:line="360" w:lineRule="auto"/>
        <w:ind w:firstLine="1440"/>
        <w:rPr>
          <w:color w:val="000000"/>
          <w:sz w:val="24"/>
          <w:szCs w:val="24"/>
        </w:rPr>
      </w:pPr>
      <w:r w:rsidRPr="0077392E">
        <w:rPr>
          <w:sz w:val="24"/>
          <w:szCs w:val="24"/>
        </w:rPr>
        <w:lastRenderedPageBreak/>
        <w:t xml:space="preserve">OCA contends </w:t>
      </w:r>
      <w:r w:rsidR="009B6A3E" w:rsidRPr="0077392E">
        <w:rPr>
          <w:sz w:val="24"/>
          <w:szCs w:val="24"/>
        </w:rPr>
        <w:t xml:space="preserve"> </w:t>
      </w:r>
      <w:r w:rsidR="00312972" w:rsidRPr="0077392E">
        <w:rPr>
          <w:sz w:val="24"/>
          <w:szCs w:val="24"/>
        </w:rPr>
        <w:t>PAWC seeks to force OCA to waste limited time and resource</w:t>
      </w:r>
      <w:r w:rsidR="00F536EC">
        <w:rPr>
          <w:sz w:val="24"/>
          <w:szCs w:val="24"/>
        </w:rPr>
        <w:t>s</w:t>
      </w:r>
      <w:r w:rsidR="00312972" w:rsidRPr="0077392E">
        <w:rPr>
          <w:sz w:val="24"/>
          <w:szCs w:val="24"/>
        </w:rPr>
        <w:t xml:space="preserve"> – during an expedited case – and scour five years’ worth of litigation in order to find every application proceeding, every rate proceeding and every Section 507 proceeding in the last five years (back to 2018) in which OCA participate</w:t>
      </w:r>
      <w:r w:rsidR="00F536EC">
        <w:rPr>
          <w:sz w:val="24"/>
          <w:szCs w:val="24"/>
        </w:rPr>
        <w:t>d</w:t>
      </w:r>
      <w:r w:rsidR="00312972" w:rsidRPr="0077392E">
        <w:rPr>
          <w:sz w:val="24"/>
          <w:szCs w:val="24"/>
        </w:rPr>
        <w:t xml:space="preserve"> and in which a water and/or wastewater utility proposed a contractual billing arrangement to collect amount</w:t>
      </w:r>
      <w:r w:rsidR="00F536EC">
        <w:rPr>
          <w:sz w:val="24"/>
          <w:szCs w:val="24"/>
        </w:rPr>
        <w:t>s</w:t>
      </w:r>
      <w:r w:rsidR="00312972" w:rsidRPr="0077392E">
        <w:rPr>
          <w:sz w:val="24"/>
          <w:szCs w:val="24"/>
        </w:rPr>
        <w:t xml:space="preserve"> due to a third party</w:t>
      </w:r>
      <w:r w:rsidR="00F536EC">
        <w:rPr>
          <w:sz w:val="24"/>
          <w:szCs w:val="24"/>
        </w:rPr>
        <w:t>, a</w:t>
      </w:r>
      <w:r w:rsidR="00312972" w:rsidRPr="0077392E">
        <w:rPr>
          <w:sz w:val="24"/>
          <w:szCs w:val="24"/>
        </w:rPr>
        <w:t xml:space="preserve">nd then indicate for each case listed if OCA opposed the billing arrangement.  </w:t>
      </w:r>
    </w:p>
    <w:p w14:paraId="207C8590" w14:textId="77777777" w:rsidR="005705AB" w:rsidRPr="0077392E" w:rsidRDefault="005705AB" w:rsidP="00231190">
      <w:pPr>
        <w:spacing w:line="360" w:lineRule="auto"/>
        <w:ind w:firstLine="1440"/>
        <w:rPr>
          <w:sz w:val="24"/>
          <w:szCs w:val="24"/>
        </w:rPr>
      </w:pPr>
    </w:p>
    <w:p w14:paraId="207C8591" w14:textId="77777777" w:rsidR="005705AB" w:rsidRPr="0077392E" w:rsidRDefault="005705AB" w:rsidP="00C97353">
      <w:pPr>
        <w:spacing w:line="360" w:lineRule="auto"/>
        <w:rPr>
          <w:sz w:val="24"/>
          <w:szCs w:val="24"/>
          <w:u w:val="single"/>
        </w:rPr>
      </w:pPr>
      <w:r w:rsidRPr="0077392E">
        <w:rPr>
          <w:sz w:val="24"/>
          <w:szCs w:val="24"/>
          <w:u w:val="single"/>
        </w:rPr>
        <w:t>Disposition</w:t>
      </w:r>
    </w:p>
    <w:p w14:paraId="207C8592" w14:textId="77777777" w:rsidR="005705AB" w:rsidRPr="0077392E" w:rsidRDefault="005705AB" w:rsidP="009B6A3E">
      <w:pPr>
        <w:spacing w:line="360" w:lineRule="auto"/>
        <w:rPr>
          <w:sz w:val="24"/>
          <w:szCs w:val="24"/>
        </w:rPr>
      </w:pPr>
    </w:p>
    <w:p w14:paraId="207C8593" w14:textId="6D461D7B" w:rsidR="005705AB" w:rsidRPr="0077392E" w:rsidRDefault="005705AB" w:rsidP="009B6A3E">
      <w:pPr>
        <w:spacing w:line="360" w:lineRule="auto"/>
        <w:rPr>
          <w:sz w:val="24"/>
          <w:szCs w:val="24"/>
        </w:rPr>
      </w:pPr>
      <w:r w:rsidRPr="0077392E">
        <w:rPr>
          <w:sz w:val="24"/>
          <w:szCs w:val="24"/>
        </w:rPr>
        <w:tab/>
      </w:r>
      <w:r w:rsidRPr="0077392E">
        <w:rPr>
          <w:sz w:val="24"/>
          <w:szCs w:val="24"/>
        </w:rPr>
        <w:tab/>
      </w:r>
      <w:r w:rsidR="00312972" w:rsidRPr="0077392E">
        <w:rPr>
          <w:sz w:val="24"/>
          <w:szCs w:val="24"/>
        </w:rPr>
        <w:t xml:space="preserve">The scope of these requests from PAWC </w:t>
      </w:r>
      <w:r w:rsidR="0077392E">
        <w:rPr>
          <w:sz w:val="24"/>
          <w:szCs w:val="24"/>
        </w:rPr>
        <w:t>is</w:t>
      </w:r>
      <w:r w:rsidR="00312972" w:rsidRPr="0077392E">
        <w:rPr>
          <w:sz w:val="24"/>
          <w:szCs w:val="24"/>
        </w:rPr>
        <w:t xml:space="preserve"> astounding in size, the amount of time required to answer them and the audaciousness of PAWC to insist OCA must do the legwork for PAWC</w:t>
      </w:r>
      <w:r w:rsidR="00F536EC">
        <w:rPr>
          <w:sz w:val="24"/>
          <w:szCs w:val="24"/>
        </w:rPr>
        <w:t>.  The information requested could be accomplished</w:t>
      </w:r>
      <w:r w:rsidR="0077392E">
        <w:rPr>
          <w:sz w:val="24"/>
          <w:szCs w:val="24"/>
        </w:rPr>
        <w:t xml:space="preserve"> </w:t>
      </w:r>
      <w:r w:rsidR="00312972" w:rsidRPr="0077392E">
        <w:rPr>
          <w:sz w:val="24"/>
          <w:szCs w:val="24"/>
        </w:rPr>
        <w:t>through a search of the Commission’s records and/or legal search engines</w:t>
      </w:r>
      <w:r w:rsidR="00F536EC">
        <w:rPr>
          <w:sz w:val="24"/>
          <w:szCs w:val="24"/>
        </w:rPr>
        <w:t xml:space="preserve"> by PAWC’s staff</w:t>
      </w:r>
      <w:r w:rsidR="00312972" w:rsidRPr="0077392E">
        <w:rPr>
          <w:sz w:val="24"/>
          <w:szCs w:val="24"/>
        </w:rPr>
        <w:t xml:space="preserve">.  Further, PAWC is disingenuous to characterize OCA as asking for the same breadth of material in its scope and time frames in </w:t>
      </w:r>
      <w:r w:rsidR="0018764C" w:rsidRPr="005403CD">
        <w:rPr>
          <w:sz w:val="24"/>
          <w:szCs w:val="24"/>
        </w:rPr>
        <w:t>OCA’s</w:t>
      </w:r>
      <w:r w:rsidR="00312972" w:rsidRPr="0077392E">
        <w:rPr>
          <w:sz w:val="24"/>
          <w:szCs w:val="24"/>
        </w:rPr>
        <w:t xml:space="preserve"> Interrogatories on PAWC.  OCA asked for </w:t>
      </w:r>
      <w:r w:rsidR="0018764C">
        <w:rPr>
          <w:sz w:val="24"/>
          <w:szCs w:val="24"/>
        </w:rPr>
        <w:t xml:space="preserve">mathematical </w:t>
      </w:r>
      <w:r w:rsidR="00312972" w:rsidRPr="0077392E">
        <w:rPr>
          <w:sz w:val="24"/>
          <w:szCs w:val="24"/>
        </w:rPr>
        <w:t xml:space="preserve">projections – projections which a water/wastewater utility </w:t>
      </w:r>
      <w:r w:rsidR="00AF1281">
        <w:rPr>
          <w:sz w:val="24"/>
          <w:szCs w:val="24"/>
        </w:rPr>
        <w:t>would likely</w:t>
      </w:r>
      <w:r w:rsidR="00312972" w:rsidRPr="0077392E">
        <w:rPr>
          <w:sz w:val="24"/>
          <w:szCs w:val="24"/>
        </w:rPr>
        <w:t xml:space="preserve"> have before it files an application seeking approval of an acquisition under Section 1329. </w:t>
      </w:r>
      <w:r w:rsidR="0018764C">
        <w:rPr>
          <w:sz w:val="24"/>
          <w:szCs w:val="24"/>
        </w:rPr>
        <w:t>In contrast,</w:t>
      </w:r>
      <w:r w:rsidR="00312972" w:rsidRPr="0077392E">
        <w:rPr>
          <w:sz w:val="24"/>
          <w:szCs w:val="24"/>
        </w:rPr>
        <w:t xml:space="preserve"> PAWC asks OCA for historical documents which exist in any legal search engine or within the Commission’s publicly</w:t>
      </w:r>
      <w:r w:rsidR="0018764C">
        <w:rPr>
          <w:sz w:val="24"/>
          <w:szCs w:val="24"/>
        </w:rPr>
        <w:t xml:space="preserve"> </w:t>
      </w:r>
      <w:r w:rsidR="00312972" w:rsidRPr="0077392E">
        <w:rPr>
          <w:sz w:val="24"/>
          <w:szCs w:val="24"/>
        </w:rPr>
        <w:t>available database.</w:t>
      </w:r>
    </w:p>
    <w:p w14:paraId="207C8594" w14:textId="77777777" w:rsidR="00971A71" w:rsidRPr="0077392E" w:rsidRDefault="00971A71" w:rsidP="00971A71">
      <w:pPr>
        <w:spacing w:line="360" w:lineRule="auto"/>
        <w:rPr>
          <w:sz w:val="24"/>
          <w:szCs w:val="24"/>
        </w:rPr>
      </w:pPr>
    </w:p>
    <w:p w14:paraId="207C8595" w14:textId="28F167CA" w:rsidR="00971A71" w:rsidRPr="0077392E" w:rsidRDefault="00971A71" w:rsidP="00971A71">
      <w:pPr>
        <w:spacing w:line="360" w:lineRule="auto"/>
        <w:ind w:firstLine="1440"/>
        <w:rPr>
          <w:color w:val="000000"/>
          <w:sz w:val="24"/>
          <w:szCs w:val="24"/>
        </w:rPr>
      </w:pPr>
      <w:r w:rsidRPr="0077392E">
        <w:rPr>
          <w:sz w:val="24"/>
          <w:szCs w:val="24"/>
        </w:rPr>
        <w:t xml:space="preserve">Accordingly, </w:t>
      </w:r>
      <w:r w:rsidR="00C74444" w:rsidRPr="0077392E">
        <w:rPr>
          <w:sz w:val="24"/>
          <w:szCs w:val="24"/>
        </w:rPr>
        <w:t>OCA</w:t>
      </w:r>
      <w:r w:rsidRPr="0077392E">
        <w:rPr>
          <w:sz w:val="24"/>
          <w:szCs w:val="24"/>
        </w:rPr>
        <w:t xml:space="preserve"> will </w:t>
      </w:r>
      <w:r w:rsidRPr="0077392E">
        <w:rPr>
          <w:b/>
          <w:bCs/>
          <w:sz w:val="24"/>
          <w:szCs w:val="24"/>
          <w:u w:val="single"/>
        </w:rPr>
        <w:t>not</w:t>
      </w:r>
      <w:r w:rsidRPr="0077392E">
        <w:rPr>
          <w:sz w:val="24"/>
          <w:szCs w:val="24"/>
        </w:rPr>
        <w:t xml:space="preserve"> be compelled to answer Interrogatory No. </w:t>
      </w:r>
      <w:r w:rsidR="00C74444" w:rsidRPr="0077392E">
        <w:rPr>
          <w:sz w:val="24"/>
          <w:szCs w:val="24"/>
        </w:rPr>
        <w:t>3</w:t>
      </w:r>
      <w:r w:rsidRPr="0077392E">
        <w:rPr>
          <w:sz w:val="24"/>
          <w:szCs w:val="24"/>
        </w:rPr>
        <w:t xml:space="preserve">, to the extent the interrogatory remains unanswered.  </w:t>
      </w:r>
      <w:r w:rsidR="00C74444" w:rsidRPr="0077392E">
        <w:rPr>
          <w:sz w:val="24"/>
          <w:szCs w:val="24"/>
        </w:rPr>
        <w:t xml:space="preserve">Further, OCA will </w:t>
      </w:r>
      <w:r w:rsidR="00C74444" w:rsidRPr="0077392E">
        <w:rPr>
          <w:b/>
          <w:bCs/>
          <w:sz w:val="24"/>
          <w:szCs w:val="24"/>
        </w:rPr>
        <w:t>not</w:t>
      </w:r>
      <w:r w:rsidR="00C74444" w:rsidRPr="0077392E">
        <w:rPr>
          <w:sz w:val="24"/>
          <w:szCs w:val="24"/>
        </w:rPr>
        <w:t xml:space="preserve"> be compelled to answer Interrogatory No. 4, to the extent the interrogatory remains unanswered.</w:t>
      </w:r>
    </w:p>
    <w:p w14:paraId="207C8596" w14:textId="77777777" w:rsidR="009B6A3E" w:rsidRPr="0077392E" w:rsidRDefault="009B6A3E" w:rsidP="009B6A3E">
      <w:pPr>
        <w:spacing w:line="360" w:lineRule="auto"/>
        <w:rPr>
          <w:sz w:val="24"/>
          <w:szCs w:val="24"/>
        </w:rPr>
      </w:pPr>
    </w:p>
    <w:p w14:paraId="359DFC72" w14:textId="77777777" w:rsidR="0018764C" w:rsidRDefault="009B6A3E" w:rsidP="000E6DA0">
      <w:pPr>
        <w:spacing w:line="360" w:lineRule="auto"/>
        <w:rPr>
          <w:sz w:val="24"/>
          <w:szCs w:val="24"/>
          <w:u w:val="single"/>
        </w:rPr>
      </w:pPr>
      <w:r w:rsidRPr="0077392E">
        <w:rPr>
          <w:sz w:val="24"/>
          <w:szCs w:val="24"/>
          <w:u w:val="single"/>
        </w:rPr>
        <w:t>Identified Interrogatory No</w:t>
      </w:r>
      <w:r w:rsidR="000E6DA0" w:rsidRPr="0077392E">
        <w:rPr>
          <w:sz w:val="24"/>
          <w:szCs w:val="24"/>
          <w:u w:val="single"/>
        </w:rPr>
        <w:t>s</w:t>
      </w:r>
      <w:r w:rsidRPr="0077392E">
        <w:rPr>
          <w:sz w:val="24"/>
          <w:szCs w:val="24"/>
          <w:u w:val="single"/>
        </w:rPr>
        <w:t xml:space="preserve">. </w:t>
      </w:r>
      <w:r w:rsidR="000E6DA0" w:rsidRPr="0077392E">
        <w:rPr>
          <w:sz w:val="24"/>
          <w:szCs w:val="24"/>
          <w:u w:val="single"/>
        </w:rPr>
        <w:t>7 and 8</w:t>
      </w:r>
    </w:p>
    <w:p w14:paraId="6F6D1E86" w14:textId="0C0BA3F7" w:rsidR="000E6DA0" w:rsidRPr="0077392E" w:rsidRDefault="00231190" w:rsidP="000E6DA0">
      <w:pPr>
        <w:spacing w:line="360" w:lineRule="auto"/>
        <w:rPr>
          <w:sz w:val="24"/>
          <w:szCs w:val="24"/>
          <w:u w:val="single"/>
        </w:rPr>
      </w:pPr>
      <w:r w:rsidRPr="0077392E">
        <w:rPr>
          <w:sz w:val="24"/>
          <w:szCs w:val="24"/>
        </w:rPr>
        <w:tab/>
      </w:r>
    </w:p>
    <w:p w14:paraId="4838DF62" w14:textId="7BA429A2" w:rsidR="000E6DA0" w:rsidRPr="0077392E" w:rsidRDefault="000E6DA0" w:rsidP="000E6DA0">
      <w:pPr>
        <w:spacing w:line="360" w:lineRule="auto"/>
        <w:rPr>
          <w:sz w:val="24"/>
          <w:szCs w:val="24"/>
        </w:rPr>
      </w:pPr>
      <w:r w:rsidRPr="0077392E">
        <w:rPr>
          <w:sz w:val="24"/>
          <w:szCs w:val="24"/>
        </w:rPr>
        <w:tab/>
      </w:r>
      <w:r w:rsidRPr="0077392E">
        <w:rPr>
          <w:sz w:val="24"/>
          <w:szCs w:val="24"/>
        </w:rPr>
        <w:tab/>
        <w:t xml:space="preserve">Interrogatory No. </w:t>
      </w:r>
      <w:r w:rsidR="00E14A6A" w:rsidRPr="0077392E">
        <w:rPr>
          <w:sz w:val="24"/>
          <w:szCs w:val="24"/>
        </w:rPr>
        <w:t>7</w:t>
      </w:r>
      <w:r w:rsidRPr="0077392E">
        <w:rPr>
          <w:sz w:val="24"/>
          <w:szCs w:val="24"/>
        </w:rPr>
        <w:t xml:space="preserve">, in </w:t>
      </w:r>
      <w:r w:rsidRPr="0077392E">
        <w:rPr>
          <w:i/>
          <w:sz w:val="24"/>
          <w:szCs w:val="24"/>
        </w:rPr>
        <w:t>verbatim</w:t>
      </w:r>
      <w:r w:rsidRPr="0077392E">
        <w:rPr>
          <w:sz w:val="24"/>
          <w:szCs w:val="24"/>
        </w:rPr>
        <w:t xml:space="preserve"> asks:  </w:t>
      </w:r>
    </w:p>
    <w:p w14:paraId="5A81271C" w14:textId="77777777" w:rsidR="00E14A6A" w:rsidRPr="0077392E" w:rsidRDefault="00E14A6A" w:rsidP="000E6DA0">
      <w:pPr>
        <w:spacing w:line="360" w:lineRule="auto"/>
        <w:rPr>
          <w:sz w:val="24"/>
          <w:szCs w:val="24"/>
        </w:rPr>
      </w:pPr>
    </w:p>
    <w:p w14:paraId="77710F09" w14:textId="77777777" w:rsidR="00E14A6A" w:rsidRPr="0077392E" w:rsidRDefault="00E14A6A" w:rsidP="00E14A6A">
      <w:pPr>
        <w:spacing w:after="240"/>
        <w:ind w:left="720" w:right="720" w:firstLine="720"/>
        <w:jc w:val="both"/>
        <w:rPr>
          <w:sz w:val="24"/>
          <w:szCs w:val="24"/>
        </w:rPr>
      </w:pPr>
      <w:r w:rsidRPr="0077392E">
        <w:rPr>
          <w:sz w:val="24"/>
          <w:szCs w:val="24"/>
        </w:rPr>
        <w:t>7.</w:t>
      </w:r>
      <w:r w:rsidRPr="0077392E">
        <w:rPr>
          <w:sz w:val="24"/>
          <w:szCs w:val="24"/>
        </w:rPr>
        <w:tab/>
        <w:t xml:space="preserve">Please identify and produce any communications between OCA and any anti-privatization group, including but not limited to Neighbors Opposing Privatization Efforts (“NOPE”) and Food &amp; Water Watch, regarding PAWC’s </w:t>
      </w:r>
      <w:r w:rsidRPr="0077392E">
        <w:rPr>
          <w:sz w:val="24"/>
          <w:szCs w:val="24"/>
        </w:rPr>
        <w:lastRenderedPageBreak/>
        <w:t>proposed acquisition of the Brentwood System.  This request includes communications with leaders and other members of such groups.</w:t>
      </w:r>
    </w:p>
    <w:p w14:paraId="1D769473" w14:textId="77777777" w:rsidR="000E6DA0" w:rsidRPr="0077392E" w:rsidRDefault="000E6DA0" w:rsidP="000E6DA0">
      <w:pPr>
        <w:spacing w:line="360" w:lineRule="auto"/>
        <w:rPr>
          <w:sz w:val="24"/>
          <w:szCs w:val="24"/>
        </w:rPr>
      </w:pPr>
    </w:p>
    <w:p w14:paraId="6929B799" w14:textId="7ACBD92A" w:rsidR="000E6DA0" w:rsidRPr="0077392E" w:rsidRDefault="000E6DA0" w:rsidP="000E6DA0">
      <w:pPr>
        <w:spacing w:line="360" w:lineRule="auto"/>
        <w:rPr>
          <w:sz w:val="24"/>
          <w:szCs w:val="24"/>
        </w:rPr>
      </w:pPr>
      <w:r w:rsidRPr="0077392E">
        <w:rPr>
          <w:sz w:val="24"/>
          <w:szCs w:val="24"/>
        </w:rPr>
        <w:tab/>
      </w:r>
      <w:r w:rsidRPr="0077392E">
        <w:rPr>
          <w:sz w:val="24"/>
          <w:szCs w:val="24"/>
        </w:rPr>
        <w:tab/>
        <w:t xml:space="preserve">Interrogatory No. </w:t>
      </w:r>
      <w:r w:rsidR="00E14A6A" w:rsidRPr="0077392E">
        <w:rPr>
          <w:sz w:val="24"/>
          <w:szCs w:val="24"/>
        </w:rPr>
        <w:t>8</w:t>
      </w:r>
      <w:r w:rsidRPr="0077392E">
        <w:rPr>
          <w:sz w:val="24"/>
          <w:szCs w:val="24"/>
        </w:rPr>
        <w:t xml:space="preserve">, in </w:t>
      </w:r>
      <w:r w:rsidRPr="0077392E">
        <w:rPr>
          <w:i/>
          <w:sz w:val="24"/>
          <w:szCs w:val="24"/>
        </w:rPr>
        <w:t>verbatim</w:t>
      </w:r>
      <w:r w:rsidRPr="0077392E">
        <w:rPr>
          <w:sz w:val="24"/>
          <w:szCs w:val="24"/>
        </w:rPr>
        <w:t xml:space="preserve"> asks:  </w:t>
      </w:r>
    </w:p>
    <w:p w14:paraId="00754ECA" w14:textId="77777777" w:rsidR="000E6DA0" w:rsidRPr="0077392E" w:rsidRDefault="000E6DA0" w:rsidP="000E6DA0">
      <w:pPr>
        <w:spacing w:line="360" w:lineRule="auto"/>
        <w:rPr>
          <w:sz w:val="24"/>
          <w:szCs w:val="24"/>
        </w:rPr>
      </w:pPr>
    </w:p>
    <w:p w14:paraId="1BB3A101" w14:textId="77777777" w:rsidR="00E14A6A" w:rsidRPr="0077392E" w:rsidRDefault="00E14A6A" w:rsidP="00E14A6A">
      <w:pPr>
        <w:spacing w:after="240"/>
        <w:ind w:left="720" w:right="720" w:firstLine="720"/>
        <w:jc w:val="both"/>
        <w:rPr>
          <w:sz w:val="24"/>
          <w:szCs w:val="24"/>
        </w:rPr>
      </w:pPr>
      <w:r w:rsidRPr="0077392E">
        <w:rPr>
          <w:sz w:val="24"/>
          <w:szCs w:val="24"/>
        </w:rPr>
        <w:t>8.</w:t>
      </w:r>
      <w:r w:rsidRPr="0077392E">
        <w:rPr>
          <w:sz w:val="24"/>
          <w:szCs w:val="24"/>
        </w:rPr>
        <w:tab/>
        <w:t>Please identify and produce any communications between OCA and any anti-privatization group, including but not limited to Neighbors Opposing Privatization Efforts (“NOPE”) and Food &amp; Water Watch, regarding any other proposed Section 1329 acquisition during the last five years.  This request includes communications with leaders and other members of such groups.</w:t>
      </w:r>
    </w:p>
    <w:p w14:paraId="2F5C4592" w14:textId="77777777" w:rsidR="000E6DA0" w:rsidRPr="0077392E" w:rsidRDefault="000E6DA0" w:rsidP="000E6DA0">
      <w:pPr>
        <w:spacing w:line="360" w:lineRule="auto"/>
        <w:rPr>
          <w:sz w:val="24"/>
          <w:szCs w:val="24"/>
        </w:rPr>
      </w:pPr>
    </w:p>
    <w:p w14:paraId="638FA4AA" w14:textId="473092D7" w:rsidR="000E6DA0" w:rsidRDefault="0018764C" w:rsidP="006D4CFA">
      <w:pPr>
        <w:spacing w:line="360" w:lineRule="auto"/>
        <w:ind w:firstLine="1440"/>
        <w:rPr>
          <w:sz w:val="24"/>
          <w:szCs w:val="24"/>
        </w:rPr>
      </w:pPr>
      <w:r>
        <w:rPr>
          <w:sz w:val="24"/>
          <w:szCs w:val="24"/>
        </w:rPr>
        <w:t>PAWC</w:t>
      </w:r>
      <w:r w:rsidR="000E6DA0" w:rsidRPr="0077392E">
        <w:rPr>
          <w:sz w:val="24"/>
          <w:szCs w:val="24"/>
        </w:rPr>
        <w:t xml:space="preserve"> argues </w:t>
      </w:r>
      <w:r>
        <w:rPr>
          <w:sz w:val="24"/>
          <w:szCs w:val="24"/>
        </w:rPr>
        <w:t>OCA’s objection that “anti-privatization group” is not defined is without merit and should be self-evident.  Further, PAWC contends its request is not overly broad because it only requests any communication between OCA and anti-privatization groups regarding the acquisition of the Brentwood system by PAWC and any other Section 1329 proposed acquisition during the last five years.  PAWC asserts it needs this information in order to prepare for cross-examination of witnesses at the public input hearings and evidentiary hearings</w:t>
      </w:r>
      <w:r w:rsidR="00CF475E">
        <w:rPr>
          <w:sz w:val="24"/>
          <w:szCs w:val="24"/>
        </w:rPr>
        <w:t>.  PAWC argues it cannot adequately prepare for these hearings without the information because PAWC believes presiding officers give considerable weight to the testimony introduced at public input hearings.</w:t>
      </w:r>
    </w:p>
    <w:p w14:paraId="5A6A5FEE" w14:textId="77777777" w:rsidR="00CF475E" w:rsidRPr="0077392E" w:rsidRDefault="00CF475E" w:rsidP="006D4CFA">
      <w:pPr>
        <w:spacing w:line="360" w:lineRule="auto"/>
        <w:ind w:firstLine="1440"/>
        <w:rPr>
          <w:sz w:val="24"/>
          <w:szCs w:val="24"/>
        </w:rPr>
      </w:pPr>
    </w:p>
    <w:p w14:paraId="18AD08E8" w14:textId="7B9A3E8A" w:rsidR="000E6DA0" w:rsidRDefault="000E6DA0" w:rsidP="006D4CFA">
      <w:pPr>
        <w:spacing w:line="360" w:lineRule="auto"/>
        <w:ind w:firstLine="1440"/>
        <w:rPr>
          <w:sz w:val="24"/>
          <w:szCs w:val="24"/>
        </w:rPr>
      </w:pPr>
      <w:r w:rsidRPr="0077392E">
        <w:rPr>
          <w:sz w:val="24"/>
          <w:szCs w:val="24"/>
        </w:rPr>
        <w:t xml:space="preserve">OCA contends </w:t>
      </w:r>
      <w:r w:rsidR="00CF475E">
        <w:rPr>
          <w:sz w:val="24"/>
          <w:szCs w:val="24"/>
        </w:rPr>
        <w:t xml:space="preserve">these interrogatories would require OCA to investigate current and former OCA personnel  (including attorneys, support staff and call center personnel) to try to determine if any one of those individuals communicated with a member or leader of any “anti-privatization” group concerning PAWC’s acquisition of Brentwood within the previous two years (when PAWC first filed and indicated its intention to pursue a Section 1329 proceeding in Brentwood) </w:t>
      </w:r>
      <w:r w:rsidR="00CF475E" w:rsidRPr="00CF475E">
        <w:rPr>
          <w:b/>
          <w:bCs/>
          <w:sz w:val="24"/>
          <w:szCs w:val="24"/>
          <w:u w:val="single"/>
        </w:rPr>
        <w:t>and</w:t>
      </w:r>
      <w:r w:rsidR="00CF475E">
        <w:rPr>
          <w:sz w:val="24"/>
          <w:szCs w:val="24"/>
        </w:rPr>
        <w:t xml:space="preserve"> about any such communication regarding any other proposed Section 1329 proceeding in the last five years filed by any water or wastewater utility.  OCA argues the request creates an unreasonable burden and unreasonable annoyance on OCA, which burden is magnified given the shortened litigation timeline used in Section 1329 proceedings.  OCA further contends the information PAWC seeks will not lead to admissible evidence nor is it calculated to lead to admissible evidence, given the vagueness and breadth of the information </w:t>
      </w:r>
      <w:r w:rsidR="00CF475E">
        <w:rPr>
          <w:sz w:val="24"/>
          <w:szCs w:val="24"/>
        </w:rPr>
        <w:lastRenderedPageBreak/>
        <w:t>sought</w:t>
      </w:r>
      <w:r w:rsidR="00D25216">
        <w:rPr>
          <w:sz w:val="24"/>
          <w:szCs w:val="24"/>
        </w:rPr>
        <w:t>.  Lastly, OCA accuses PAWC of requesting the Commission force OCA to embark on a fishing expedition which will not advance any claim or defense that PAWC might make in this proceeding.</w:t>
      </w:r>
    </w:p>
    <w:p w14:paraId="207C85A0" w14:textId="413B77BC" w:rsidR="00B35770" w:rsidRPr="0077392E" w:rsidRDefault="00B35770" w:rsidP="006D4CFA">
      <w:pPr>
        <w:spacing w:line="360" w:lineRule="auto"/>
        <w:rPr>
          <w:sz w:val="24"/>
          <w:szCs w:val="24"/>
        </w:rPr>
      </w:pPr>
    </w:p>
    <w:p w14:paraId="207C85A1" w14:textId="77777777" w:rsidR="00B35770" w:rsidRPr="0077392E" w:rsidRDefault="00B35770" w:rsidP="006D4CFA">
      <w:pPr>
        <w:spacing w:line="360" w:lineRule="auto"/>
        <w:rPr>
          <w:sz w:val="24"/>
          <w:szCs w:val="24"/>
          <w:u w:val="single"/>
        </w:rPr>
      </w:pPr>
      <w:r w:rsidRPr="0077392E">
        <w:rPr>
          <w:sz w:val="24"/>
          <w:szCs w:val="24"/>
          <w:u w:val="single"/>
        </w:rPr>
        <w:t>Disposition</w:t>
      </w:r>
    </w:p>
    <w:p w14:paraId="207C85A2" w14:textId="77777777" w:rsidR="00231190" w:rsidRPr="0077392E" w:rsidRDefault="00231190" w:rsidP="006D4CFA">
      <w:pPr>
        <w:spacing w:line="360" w:lineRule="auto"/>
        <w:rPr>
          <w:sz w:val="24"/>
          <w:szCs w:val="24"/>
        </w:rPr>
      </w:pPr>
    </w:p>
    <w:p w14:paraId="207C85A3" w14:textId="3EB830BD" w:rsidR="004D78BB" w:rsidRDefault="004D78BB" w:rsidP="006D4CFA">
      <w:pPr>
        <w:spacing w:line="360" w:lineRule="auto"/>
        <w:rPr>
          <w:color w:val="000000"/>
          <w:sz w:val="24"/>
          <w:szCs w:val="24"/>
        </w:rPr>
      </w:pPr>
      <w:r w:rsidRPr="0077392E">
        <w:rPr>
          <w:sz w:val="24"/>
          <w:szCs w:val="24"/>
        </w:rPr>
        <w:tab/>
      </w:r>
      <w:r w:rsidRPr="0077392E">
        <w:rPr>
          <w:sz w:val="24"/>
          <w:szCs w:val="24"/>
        </w:rPr>
        <w:tab/>
      </w:r>
      <w:r w:rsidRPr="0077392E">
        <w:rPr>
          <w:color w:val="000000"/>
          <w:sz w:val="24"/>
          <w:szCs w:val="24"/>
        </w:rPr>
        <w:t xml:space="preserve">  </w:t>
      </w:r>
      <w:r w:rsidR="00D25216">
        <w:rPr>
          <w:color w:val="000000"/>
          <w:sz w:val="24"/>
          <w:szCs w:val="24"/>
        </w:rPr>
        <w:t>It appears from statements ma</w:t>
      </w:r>
      <w:r w:rsidR="00AF1281">
        <w:rPr>
          <w:color w:val="000000"/>
          <w:sz w:val="24"/>
          <w:szCs w:val="24"/>
        </w:rPr>
        <w:t>d</w:t>
      </w:r>
      <w:r w:rsidR="00D25216">
        <w:rPr>
          <w:color w:val="000000"/>
          <w:sz w:val="24"/>
          <w:szCs w:val="24"/>
        </w:rPr>
        <w:t>e by PAWC at the prehearing conference, and by a plain reading of these interrogatories</w:t>
      </w:r>
      <w:r w:rsidR="00A4180A">
        <w:rPr>
          <w:color w:val="000000"/>
          <w:sz w:val="24"/>
          <w:szCs w:val="24"/>
        </w:rPr>
        <w:t>,</w:t>
      </w:r>
      <w:r w:rsidR="00D25216">
        <w:rPr>
          <w:color w:val="000000"/>
          <w:sz w:val="24"/>
          <w:szCs w:val="24"/>
        </w:rPr>
        <w:t xml:space="preserve"> that PAWC plans to aver or hopes to aver inappropriate coordination between OCA and potential witnesses in this proceeding, or in any other Section 1329 proceeding which PAWC has filed or anticipates it might file with the Commission.  When questioned by the presiding officer at the prehearing conference, PAWC denied implying co</w:t>
      </w:r>
      <w:r w:rsidR="00A4180A">
        <w:rPr>
          <w:color w:val="000000"/>
          <w:sz w:val="24"/>
          <w:szCs w:val="24"/>
        </w:rPr>
        <w:t>llusion but continued to assert</w:t>
      </w:r>
      <w:r w:rsidR="005403CD">
        <w:rPr>
          <w:color w:val="000000"/>
          <w:sz w:val="24"/>
          <w:szCs w:val="24"/>
        </w:rPr>
        <w:t xml:space="preserve"> there existed</w:t>
      </w:r>
      <w:r w:rsidR="00A4180A">
        <w:rPr>
          <w:color w:val="000000"/>
          <w:sz w:val="24"/>
          <w:szCs w:val="24"/>
        </w:rPr>
        <w:t xml:space="preserve"> a level of coordination between witnesses at prior public input hearings.  </w:t>
      </w:r>
    </w:p>
    <w:p w14:paraId="43046B04" w14:textId="77777777" w:rsidR="00A4180A" w:rsidRDefault="00A4180A" w:rsidP="006D4CFA">
      <w:pPr>
        <w:spacing w:line="360" w:lineRule="auto"/>
        <w:rPr>
          <w:color w:val="000000"/>
          <w:sz w:val="24"/>
          <w:szCs w:val="24"/>
        </w:rPr>
      </w:pPr>
    </w:p>
    <w:p w14:paraId="23DD206C" w14:textId="699B006B" w:rsidR="00A4180A" w:rsidRDefault="00A4180A" w:rsidP="006D4CFA">
      <w:pPr>
        <w:spacing w:line="360" w:lineRule="auto"/>
        <w:rPr>
          <w:color w:val="000000"/>
          <w:sz w:val="24"/>
          <w:szCs w:val="24"/>
        </w:rPr>
      </w:pPr>
      <w:r>
        <w:rPr>
          <w:color w:val="000000"/>
          <w:sz w:val="24"/>
          <w:szCs w:val="24"/>
        </w:rPr>
        <w:tab/>
      </w:r>
      <w:r>
        <w:rPr>
          <w:color w:val="000000"/>
          <w:sz w:val="24"/>
          <w:szCs w:val="24"/>
        </w:rPr>
        <w:tab/>
        <w:t>PAWC’s concerns – reflected at the prehearing conference as well as in its Interrogatories – run counter to the stated purpose of public input hearings.  Public input hearings are opportunities for members of the affected public (typically customers of the affected or impacted utilities) to tell the Commission what they think about a proposed rate change or application.  Traditionally, the testimony received at public input hearings come from individuals who appear in person and do not include individuals who “sign up” to testify before the date and time of the public input hearing.  Further, presiding officers commonly instruct the public who wish to testify that they may indicate at the start of their testimony if they agree with the testimony provided by another witness and/or if they wish to align themselves with previous statements made by other witnesses.  Further, it is not uncommon for neighbors, family members and friends to get together and read from a document with a prepared statement.  IF PAWC is trying to find any “coordination” between witnesses in a public input hearing, PAWC’s request is contrary to how the Commission conducts public input hearings and the instructions provided to the public when testifying at a public input hearing.</w:t>
      </w:r>
    </w:p>
    <w:p w14:paraId="1E549B90" w14:textId="77777777" w:rsidR="005403CD" w:rsidRDefault="005403CD" w:rsidP="006D4CFA">
      <w:pPr>
        <w:spacing w:line="360" w:lineRule="auto"/>
        <w:rPr>
          <w:color w:val="000000"/>
          <w:sz w:val="24"/>
          <w:szCs w:val="24"/>
        </w:rPr>
      </w:pPr>
    </w:p>
    <w:p w14:paraId="7D7501F8" w14:textId="4005669F" w:rsidR="005403CD" w:rsidRPr="0077392E" w:rsidRDefault="005403CD" w:rsidP="006D4CFA">
      <w:pPr>
        <w:spacing w:line="360" w:lineRule="auto"/>
        <w:rPr>
          <w:sz w:val="24"/>
          <w:szCs w:val="24"/>
        </w:rPr>
      </w:pPr>
      <w:r>
        <w:rPr>
          <w:color w:val="000000"/>
          <w:sz w:val="24"/>
          <w:szCs w:val="24"/>
        </w:rPr>
        <w:tab/>
      </w:r>
      <w:r>
        <w:rPr>
          <w:color w:val="000000"/>
          <w:sz w:val="24"/>
          <w:szCs w:val="24"/>
        </w:rPr>
        <w:tab/>
        <w:t xml:space="preserve">Further it should be noted that public input hearings are the only hearings in this type of proceeding wherein PAWC might be surprised by a witness and wish to have </w:t>
      </w:r>
      <w:r>
        <w:rPr>
          <w:color w:val="000000"/>
          <w:sz w:val="24"/>
          <w:szCs w:val="24"/>
        </w:rPr>
        <w:lastRenderedPageBreak/>
        <w:t xml:space="preserve">foreknowledge that someone will appear a that the public input.  However, historically, public input hearings were conducted in person at which no one – not the presiding officer, the advocates, the utility company, intervenors or any other party – would have prior knowledge of the individuals who intend to come to the public input.  In addition, evidentiary hearings do not involve “surprise” witnesses – all witnesses at the evidentiary hearing </w:t>
      </w:r>
      <w:r w:rsidR="00D34208">
        <w:rPr>
          <w:color w:val="000000"/>
          <w:sz w:val="24"/>
          <w:szCs w:val="24"/>
        </w:rPr>
        <w:t>have submitted a written statement long before the evidentiary hearing is conducted.  So, PAWC’s contentions herein are without merit, and will not reasonably lead to evidence which would be relevant or material to this proceeding.</w:t>
      </w:r>
    </w:p>
    <w:p w14:paraId="207C85A4" w14:textId="77777777" w:rsidR="00B35770" w:rsidRPr="0077392E" w:rsidRDefault="00B35770" w:rsidP="006D4CFA">
      <w:pPr>
        <w:spacing w:line="360" w:lineRule="auto"/>
        <w:rPr>
          <w:sz w:val="24"/>
          <w:szCs w:val="24"/>
        </w:rPr>
      </w:pPr>
    </w:p>
    <w:p w14:paraId="207C85A6" w14:textId="09B4778D" w:rsidR="009B6A3E" w:rsidRPr="00A4180A" w:rsidRDefault="00B35770" w:rsidP="006D4CFA">
      <w:pPr>
        <w:spacing w:line="360" w:lineRule="auto"/>
        <w:ind w:firstLine="1440"/>
        <w:rPr>
          <w:color w:val="000000"/>
          <w:sz w:val="24"/>
          <w:szCs w:val="24"/>
        </w:rPr>
      </w:pPr>
      <w:r w:rsidRPr="0077392E">
        <w:rPr>
          <w:sz w:val="24"/>
          <w:szCs w:val="24"/>
        </w:rPr>
        <w:t xml:space="preserve">Accordingly, </w:t>
      </w:r>
      <w:r w:rsidR="000E6DA0" w:rsidRPr="0077392E">
        <w:rPr>
          <w:sz w:val="24"/>
          <w:szCs w:val="24"/>
        </w:rPr>
        <w:t>OCA</w:t>
      </w:r>
      <w:r w:rsidRPr="0077392E">
        <w:rPr>
          <w:sz w:val="24"/>
          <w:szCs w:val="24"/>
        </w:rPr>
        <w:t xml:space="preserve"> will </w:t>
      </w:r>
      <w:r w:rsidRPr="0077392E">
        <w:rPr>
          <w:b/>
          <w:bCs/>
          <w:sz w:val="24"/>
          <w:szCs w:val="24"/>
          <w:u w:val="single"/>
        </w:rPr>
        <w:t>not</w:t>
      </w:r>
      <w:r w:rsidRPr="0077392E">
        <w:rPr>
          <w:sz w:val="24"/>
          <w:szCs w:val="24"/>
        </w:rPr>
        <w:t xml:space="preserve"> be compelled to answer Interrogatory No</w:t>
      </w:r>
      <w:r w:rsidR="000E6DA0" w:rsidRPr="0077392E">
        <w:rPr>
          <w:sz w:val="24"/>
          <w:szCs w:val="24"/>
        </w:rPr>
        <w:t>s</w:t>
      </w:r>
      <w:r w:rsidRPr="0077392E">
        <w:rPr>
          <w:sz w:val="24"/>
          <w:szCs w:val="24"/>
        </w:rPr>
        <w:t>.</w:t>
      </w:r>
      <w:r w:rsidR="000E6DA0" w:rsidRPr="0077392E">
        <w:rPr>
          <w:sz w:val="24"/>
          <w:szCs w:val="24"/>
        </w:rPr>
        <w:t xml:space="preserve"> 7 and 8,</w:t>
      </w:r>
      <w:r w:rsidRPr="0077392E">
        <w:rPr>
          <w:sz w:val="24"/>
          <w:szCs w:val="24"/>
        </w:rPr>
        <w:t xml:space="preserve"> to the extent the interrogatory remains unanswered.  </w:t>
      </w:r>
    </w:p>
    <w:p w14:paraId="68EE87BB" w14:textId="77777777" w:rsidR="000E6DA0" w:rsidRPr="0077392E" w:rsidRDefault="000E6DA0" w:rsidP="006D4CFA">
      <w:pPr>
        <w:spacing w:line="360" w:lineRule="auto"/>
        <w:ind w:left="720" w:firstLine="720"/>
        <w:rPr>
          <w:sz w:val="24"/>
          <w:szCs w:val="24"/>
          <w:u w:val="single"/>
        </w:rPr>
      </w:pPr>
    </w:p>
    <w:p w14:paraId="207C85D8" w14:textId="04FC950B" w:rsidR="00625250" w:rsidRPr="0077392E" w:rsidRDefault="00625250" w:rsidP="006D4CFA">
      <w:pPr>
        <w:spacing w:line="360" w:lineRule="auto"/>
        <w:ind w:left="720" w:firstLine="720"/>
        <w:rPr>
          <w:sz w:val="24"/>
          <w:szCs w:val="24"/>
        </w:rPr>
      </w:pPr>
      <w:r w:rsidRPr="0077392E">
        <w:rPr>
          <w:sz w:val="24"/>
          <w:szCs w:val="24"/>
        </w:rPr>
        <w:t xml:space="preserve">THEREFORE, </w:t>
      </w:r>
    </w:p>
    <w:p w14:paraId="207C85D9" w14:textId="77777777" w:rsidR="00625250" w:rsidRPr="0077392E" w:rsidRDefault="00625250" w:rsidP="006D4CFA">
      <w:pPr>
        <w:spacing w:line="360" w:lineRule="auto"/>
        <w:ind w:left="720" w:firstLine="720"/>
        <w:rPr>
          <w:sz w:val="24"/>
          <w:szCs w:val="24"/>
        </w:rPr>
      </w:pPr>
    </w:p>
    <w:p w14:paraId="207C85DA" w14:textId="77777777" w:rsidR="00625250" w:rsidRPr="0077392E" w:rsidRDefault="00625250" w:rsidP="006D4CFA">
      <w:pPr>
        <w:spacing w:line="360" w:lineRule="auto"/>
        <w:ind w:left="720" w:firstLine="720"/>
        <w:rPr>
          <w:sz w:val="24"/>
          <w:szCs w:val="24"/>
        </w:rPr>
      </w:pPr>
      <w:r w:rsidRPr="0077392E">
        <w:rPr>
          <w:sz w:val="24"/>
          <w:szCs w:val="24"/>
        </w:rPr>
        <w:t>IT IS ORDERED:</w:t>
      </w:r>
    </w:p>
    <w:p w14:paraId="207C85DB" w14:textId="77777777" w:rsidR="00625250" w:rsidRPr="0077392E" w:rsidRDefault="00625250" w:rsidP="006D4CFA">
      <w:pPr>
        <w:spacing w:line="360" w:lineRule="auto"/>
        <w:rPr>
          <w:sz w:val="24"/>
          <w:szCs w:val="24"/>
        </w:rPr>
      </w:pPr>
    </w:p>
    <w:p w14:paraId="207C85DC" w14:textId="4D0817E0" w:rsidR="00625250" w:rsidRPr="0077392E" w:rsidRDefault="006D4CFA" w:rsidP="006D4CFA">
      <w:pPr>
        <w:spacing w:line="360" w:lineRule="auto"/>
        <w:ind w:firstLine="1440"/>
        <w:rPr>
          <w:sz w:val="24"/>
          <w:szCs w:val="24"/>
        </w:rPr>
      </w:pPr>
      <w:r>
        <w:rPr>
          <w:sz w:val="24"/>
          <w:szCs w:val="24"/>
        </w:rPr>
        <w:t>1.</w:t>
      </w:r>
      <w:r>
        <w:rPr>
          <w:sz w:val="24"/>
          <w:szCs w:val="24"/>
        </w:rPr>
        <w:tab/>
      </w:r>
      <w:r w:rsidR="00625250" w:rsidRPr="0077392E">
        <w:rPr>
          <w:sz w:val="24"/>
          <w:szCs w:val="24"/>
        </w:rPr>
        <w:t xml:space="preserve">That the </w:t>
      </w:r>
      <w:r w:rsidR="003F0684" w:rsidRPr="0077392E">
        <w:rPr>
          <w:sz w:val="24"/>
          <w:szCs w:val="24"/>
        </w:rPr>
        <w:t xml:space="preserve">Motion </w:t>
      </w:r>
      <w:r w:rsidR="00851985" w:rsidRPr="0077392E">
        <w:rPr>
          <w:sz w:val="24"/>
          <w:szCs w:val="24"/>
        </w:rPr>
        <w:t xml:space="preserve">to Overrule </w:t>
      </w:r>
      <w:r w:rsidR="00AC76A7">
        <w:rPr>
          <w:sz w:val="24"/>
          <w:szCs w:val="24"/>
        </w:rPr>
        <w:t>O</w:t>
      </w:r>
      <w:r w:rsidR="00851985" w:rsidRPr="0077392E">
        <w:rPr>
          <w:sz w:val="24"/>
          <w:szCs w:val="24"/>
        </w:rPr>
        <w:t>bjections and Compel Answers to Interrogatories, dated October 23, 2023, p</w:t>
      </w:r>
      <w:r w:rsidR="003F0684" w:rsidRPr="0077392E">
        <w:rPr>
          <w:sz w:val="24"/>
          <w:szCs w:val="24"/>
        </w:rPr>
        <w:t xml:space="preserve">ropounded by </w:t>
      </w:r>
      <w:r w:rsidR="00851985" w:rsidRPr="0077392E">
        <w:rPr>
          <w:sz w:val="24"/>
          <w:szCs w:val="24"/>
        </w:rPr>
        <w:t xml:space="preserve">Pennsylvania-American Water Company </w:t>
      </w:r>
      <w:r w:rsidR="003F0684" w:rsidRPr="0077392E">
        <w:rPr>
          <w:sz w:val="24"/>
          <w:szCs w:val="24"/>
        </w:rPr>
        <w:t xml:space="preserve">– Set I, Nos. </w:t>
      </w:r>
      <w:r w:rsidR="00851985" w:rsidRPr="0077392E">
        <w:rPr>
          <w:sz w:val="24"/>
          <w:szCs w:val="24"/>
        </w:rPr>
        <w:t>1(c), 3, 4, 7 and 8</w:t>
      </w:r>
      <w:r w:rsidR="003F0684" w:rsidRPr="0077392E">
        <w:rPr>
          <w:sz w:val="24"/>
          <w:szCs w:val="24"/>
        </w:rPr>
        <w:t xml:space="preserve">, </w:t>
      </w:r>
      <w:r w:rsidR="00625250" w:rsidRPr="0077392E">
        <w:rPr>
          <w:sz w:val="24"/>
          <w:szCs w:val="24"/>
        </w:rPr>
        <w:t xml:space="preserve">is </w:t>
      </w:r>
      <w:r w:rsidR="00256FBC" w:rsidRPr="00D34208">
        <w:rPr>
          <w:sz w:val="24"/>
          <w:szCs w:val="24"/>
        </w:rPr>
        <w:t>denied</w:t>
      </w:r>
      <w:r w:rsidR="00625250" w:rsidRPr="0077392E">
        <w:rPr>
          <w:sz w:val="24"/>
          <w:szCs w:val="24"/>
        </w:rPr>
        <w:t xml:space="preserve">.  </w:t>
      </w:r>
    </w:p>
    <w:p w14:paraId="207C85DE" w14:textId="77777777" w:rsidR="00625250" w:rsidRPr="0077392E" w:rsidRDefault="00625250" w:rsidP="006D4CFA">
      <w:pPr>
        <w:spacing w:line="360" w:lineRule="auto"/>
        <w:rPr>
          <w:sz w:val="24"/>
          <w:szCs w:val="24"/>
        </w:rPr>
      </w:pPr>
    </w:p>
    <w:p w14:paraId="207C85DF" w14:textId="77777777" w:rsidR="00625250" w:rsidRPr="0077392E" w:rsidRDefault="00625250" w:rsidP="006D4CFA">
      <w:pPr>
        <w:spacing w:line="360" w:lineRule="auto"/>
        <w:rPr>
          <w:sz w:val="24"/>
          <w:szCs w:val="24"/>
        </w:rPr>
      </w:pPr>
    </w:p>
    <w:p w14:paraId="207C85E0" w14:textId="40573B28" w:rsidR="00625250" w:rsidRPr="0077392E" w:rsidRDefault="00625250" w:rsidP="00625250">
      <w:pPr>
        <w:rPr>
          <w:sz w:val="24"/>
          <w:szCs w:val="24"/>
        </w:rPr>
      </w:pPr>
      <w:r w:rsidRPr="0077392E">
        <w:rPr>
          <w:sz w:val="24"/>
          <w:szCs w:val="24"/>
        </w:rPr>
        <w:t xml:space="preserve">Date:  </w:t>
      </w:r>
      <w:r w:rsidR="00851985" w:rsidRPr="0077392E">
        <w:rPr>
          <w:sz w:val="24"/>
          <w:szCs w:val="24"/>
          <w:u w:val="single"/>
        </w:rPr>
        <w:t>October 2</w:t>
      </w:r>
      <w:r w:rsidR="00D34208">
        <w:rPr>
          <w:sz w:val="24"/>
          <w:szCs w:val="24"/>
          <w:u w:val="single"/>
        </w:rPr>
        <w:t>7</w:t>
      </w:r>
      <w:r w:rsidR="00851985" w:rsidRPr="0077392E">
        <w:rPr>
          <w:sz w:val="24"/>
          <w:szCs w:val="24"/>
          <w:u w:val="single"/>
        </w:rPr>
        <w:t>, 2023</w:t>
      </w:r>
      <w:r w:rsidRPr="0077392E">
        <w:rPr>
          <w:sz w:val="24"/>
          <w:szCs w:val="24"/>
        </w:rPr>
        <w:tab/>
      </w:r>
      <w:r w:rsidRPr="0077392E">
        <w:rPr>
          <w:sz w:val="24"/>
          <w:szCs w:val="24"/>
        </w:rPr>
        <w:tab/>
      </w:r>
      <w:r w:rsidRPr="0077392E">
        <w:rPr>
          <w:sz w:val="24"/>
          <w:szCs w:val="24"/>
        </w:rPr>
        <w:tab/>
      </w:r>
      <w:r w:rsidRPr="0077392E">
        <w:rPr>
          <w:sz w:val="24"/>
          <w:szCs w:val="24"/>
        </w:rPr>
        <w:tab/>
        <w:t>____________________________________</w:t>
      </w:r>
    </w:p>
    <w:p w14:paraId="207C85E1" w14:textId="77777777" w:rsidR="00625250" w:rsidRPr="0077392E" w:rsidRDefault="00625250" w:rsidP="00625250">
      <w:pPr>
        <w:rPr>
          <w:sz w:val="24"/>
          <w:szCs w:val="24"/>
        </w:rPr>
      </w:pP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t>Katrina L. Dunderdale</w:t>
      </w:r>
    </w:p>
    <w:p w14:paraId="207C85E3" w14:textId="09A39D16" w:rsidR="00554D3D" w:rsidRPr="0077392E" w:rsidRDefault="00625250">
      <w:pPr>
        <w:rPr>
          <w:sz w:val="24"/>
          <w:szCs w:val="24"/>
        </w:rPr>
      </w:pP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t xml:space="preserve">       </w:t>
      </w:r>
      <w:r w:rsidRPr="0077392E">
        <w:rPr>
          <w:sz w:val="24"/>
          <w:szCs w:val="24"/>
        </w:rPr>
        <w:tab/>
        <w:t>Administrative Law Judge</w:t>
      </w:r>
    </w:p>
    <w:p w14:paraId="207C85E4" w14:textId="77777777" w:rsidR="00554D3D" w:rsidRPr="0077392E" w:rsidRDefault="00554D3D" w:rsidP="00554D3D">
      <w:pPr>
        <w:ind w:left="-360"/>
        <w:rPr>
          <w:b/>
          <w:sz w:val="24"/>
          <w:szCs w:val="24"/>
          <w:u w:val="single"/>
        </w:rPr>
        <w:sectPr w:rsidR="00554D3D" w:rsidRPr="0077392E" w:rsidSect="002E28DF">
          <w:footerReference w:type="even" r:id="rId8"/>
          <w:footerReference w:type="default" r:id="rId9"/>
          <w:pgSz w:w="12240" w:h="15840"/>
          <w:pgMar w:top="1440" w:right="1440" w:bottom="1440" w:left="1440" w:header="720" w:footer="720" w:gutter="0"/>
          <w:cols w:space="720"/>
          <w:titlePg/>
          <w:docGrid w:linePitch="272"/>
        </w:sectPr>
      </w:pPr>
    </w:p>
    <w:p w14:paraId="207C86C4" w14:textId="77777777" w:rsidR="0058151F" w:rsidRPr="0077392E" w:rsidRDefault="0058151F" w:rsidP="0058151F">
      <w:pPr>
        <w:ind w:left="-360"/>
        <w:contextualSpacing/>
        <w:rPr>
          <w:rFonts w:eastAsia="Microsoft Sans Serif"/>
          <w:b/>
          <w:i/>
          <w:sz w:val="24"/>
          <w:szCs w:val="24"/>
          <w:u w:val="single"/>
        </w:rPr>
      </w:pPr>
    </w:p>
    <w:p w14:paraId="207C86C5" w14:textId="77777777" w:rsidR="0058151F" w:rsidRPr="0077392E" w:rsidRDefault="0058151F" w:rsidP="0058151F">
      <w:pPr>
        <w:ind w:left="-360"/>
        <w:contextualSpacing/>
        <w:rPr>
          <w:rFonts w:eastAsia="Microsoft Sans Serif"/>
          <w:sz w:val="24"/>
          <w:szCs w:val="24"/>
        </w:rPr>
      </w:pPr>
    </w:p>
    <w:p w14:paraId="10590F31" w14:textId="77777777" w:rsidR="006D4CFA" w:rsidRDefault="006D4CFA" w:rsidP="00A84121">
      <w:pPr>
        <w:ind w:left="-360"/>
        <w:rPr>
          <w:sz w:val="24"/>
          <w:szCs w:val="24"/>
        </w:rPr>
        <w:sectPr w:rsidR="006D4CFA" w:rsidSect="001E5B82">
          <w:footerReference w:type="default" r:id="rId10"/>
          <w:type w:val="continuous"/>
          <w:pgSz w:w="12240" w:h="15840"/>
          <w:pgMar w:top="1440" w:right="1440" w:bottom="1440" w:left="1440" w:header="720" w:footer="720" w:gutter="0"/>
          <w:cols w:num="2" w:space="720"/>
          <w:docGrid w:linePitch="360"/>
        </w:sectPr>
      </w:pPr>
    </w:p>
    <w:p w14:paraId="44BB21C6" w14:textId="77777777" w:rsidR="006D4CFA" w:rsidRPr="006D4CFA" w:rsidRDefault="006D4CFA" w:rsidP="006D4CFA">
      <w:pPr>
        <w:tabs>
          <w:tab w:val="left" w:pos="-720"/>
        </w:tabs>
        <w:suppressAutoHyphens/>
        <w:spacing w:after="160" w:line="259" w:lineRule="auto"/>
        <w:ind w:left="-144"/>
        <w:rPr>
          <w:rFonts w:ascii="Microsoft Sans Serif" w:eastAsiaTheme="minorEastAsia" w:hAnsi="Microsoft Sans Serif" w:cs="Microsoft Sans Serif"/>
          <w:b/>
          <w:kern w:val="2"/>
          <w:sz w:val="24"/>
          <w:szCs w:val="24"/>
          <w:u w:val="single"/>
          <w14:ligatures w14:val="standardContextual"/>
        </w:rPr>
      </w:pPr>
      <w:r w:rsidRPr="006D4CFA">
        <w:rPr>
          <w:rFonts w:ascii="Microsoft Sans Serif" w:eastAsia="Microsoft Sans Serif" w:hAnsi="Microsoft Sans Serif" w:cs="Microsoft Sans Serif"/>
          <w:b/>
          <w:kern w:val="2"/>
          <w:sz w:val="24"/>
          <w:szCs w:val="22"/>
          <w:u w:val="single"/>
          <w14:ligatures w14:val="standardContextual"/>
        </w:rPr>
        <w:lastRenderedPageBreak/>
        <w:t xml:space="preserve">A-2021-3024058 </w:t>
      </w:r>
      <w:r w:rsidRPr="006D4CFA">
        <w:rPr>
          <w:rFonts w:ascii="Microsoft Sans Serif" w:eastAsia="Microsoft Sans Serif" w:hAnsi="Microsoft Sans Serif" w:cs="Microsoft Sans Serif"/>
          <w:bCs/>
          <w:kern w:val="2"/>
          <w:sz w:val="24"/>
          <w:szCs w:val="24"/>
          <w:u w:val="single"/>
          <w14:ligatures w14:val="standardContextual"/>
        </w:rPr>
        <w:t xml:space="preserve">- </w:t>
      </w:r>
      <w:r w:rsidRPr="006D4CFA">
        <w:rPr>
          <w:rFonts w:ascii="Microsoft Sans Serif" w:eastAsiaTheme="minorEastAsia" w:hAnsi="Microsoft Sans Serif" w:cs="Microsoft Sans Serif"/>
          <w:b/>
          <w:kern w:val="2"/>
          <w:sz w:val="24"/>
          <w:szCs w:val="24"/>
          <w:u w:val="single"/>
          <w14:ligatures w14:val="standardContextual"/>
        </w:rPr>
        <w:t>APPLICATION OF PENNSYLVANIA-AMERICAN WATER COMPANY PURSUANT TO SECTIONS 1102 AND 1329 OF THE PUBLIC UTILITY CODE FOR APPROVAL OF THE TRANSFER, BY SALE, OF SUBSTANTIALLY ALL OF THE ASSETS, PROPERTIES AND RIGHTS RELATED TO THE WASTEWATER COLLECTION AND CONVEYANCE SYSTEM OWNED BY BOROUGH OF BRENTWOOD AND THE RIGHTS TO BEGIN TO OFFER OR FURNISH WASTEWATER SERVICE TO THE PUBLIC IN THE BOROUGH OF BRENTWOOD, ALLEGHENY COUNTY, PENNSYLVANIA.</w:t>
      </w:r>
    </w:p>
    <w:p w14:paraId="5A0B76A1" w14:textId="77777777" w:rsidR="006D4CFA" w:rsidRPr="006D4CFA" w:rsidRDefault="006D4CFA" w:rsidP="006D4CFA">
      <w:pPr>
        <w:tabs>
          <w:tab w:val="left" w:pos="-720"/>
        </w:tabs>
        <w:suppressAutoHyphens/>
        <w:spacing w:after="160" w:line="259" w:lineRule="auto"/>
        <w:rPr>
          <w:rFonts w:ascii="Microsoft Sans Serif" w:eastAsiaTheme="minorEastAsia" w:hAnsi="Microsoft Sans Serif" w:cs="Microsoft Sans Serif"/>
          <w:b/>
          <w:kern w:val="2"/>
          <w:sz w:val="24"/>
          <w:szCs w:val="24"/>
          <w:u w:val="single"/>
          <w14:ligatures w14:val="standardContextual"/>
        </w:rPr>
        <w:sectPr w:rsidR="006D4CFA" w:rsidRPr="006D4CFA">
          <w:pgSz w:w="12240" w:h="15840"/>
          <w:pgMar w:top="1440" w:right="1440" w:bottom="1440" w:left="1440" w:header="720" w:footer="720" w:gutter="0"/>
          <w:cols w:space="720"/>
          <w:docGrid w:linePitch="360"/>
        </w:sectPr>
      </w:pPr>
    </w:p>
    <w:p w14:paraId="04D2E631" w14:textId="77777777" w:rsidR="006D4CFA" w:rsidRPr="006D4CFA" w:rsidRDefault="006D4CFA" w:rsidP="006D4CFA">
      <w:pPr>
        <w:tabs>
          <w:tab w:val="left" w:pos="-720"/>
        </w:tabs>
        <w:suppressAutoHyphens/>
        <w:spacing w:after="160" w:line="259" w:lineRule="auto"/>
        <w:ind w:left="-144"/>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b/>
          <w:kern w:val="2"/>
          <w:sz w:val="24"/>
          <w:szCs w:val="22"/>
          <w:u w:val="single"/>
          <w14:ligatures w14:val="standardContextual"/>
        </w:rPr>
        <w:cr/>
      </w:r>
      <w:r w:rsidRPr="006D4CFA">
        <w:rPr>
          <w:rFonts w:ascii="Microsoft Sans Serif" w:eastAsia="Microsoft Sans Serif" w:hAnsi="Microsoft Sans Serif" w:cs="Microsoft Sans Serif"/>
          <w:kern w:val="2"/>
          <w:sz w:val="24"/>
          <w:szCs w:val="22"/>
          <w14:ligatures w14:val="standardContextual"/>
        </w:rPr>
        <w:t>ELIZABETH ROSE TRISCARI ESQUIRE</w:t>
      </w:r>
      <w:r w:rsidRPr="006D4CFA">
        <w:rPr>
          <w:rFonts w:ascii="Microsoft Sans Serif" w:eastAsia="Microsoft Sans Serif" w:hAnsi="Microsoft Sans Serif" w:cs="Microsoft Sans Serif"/>
          <w:kern w:val="2"/>
          <w:sz w:val="24"/>
          <w:szCs w:val="22"/>
          <w14:ligatures w14:val="standardContextual"/>
        </w:rPr>
        <w:br/>
        <w:t>ERIN K FURE ESQUIRE</w:t>
      </w:r>
      <w:r w:rsidRPr="006D4CFA">
        <w:rPr>
          <w:rFonts w:ascii="Microsoft Sans Serif" w:eastAsia="Microsoft Sans Serif" w:hAnsi="Microsoft Sans Serif" w:cs="Microsoft Sans Serif"/>
          <w:kern w:val="2"/>
          <w:sz w:val="24"/>
          <w:szCs w:val="22"/>
          <w14:ligatures w14:val="standardContextual"/>
        </w:rPr>
        <w:cr/>
        <w:t xml:space="preserve">PENNSYLVANIA-AMERICAN WATER </w:t>
      </w:r>
      <w:r w:rsidRPr="006D4CFA">
        <w:rPr>
          <w:rFonts w:ascii="Microsoft Sans Serif" w:eastAsia="Microsoft Sans Serif" w:hAnsi="Microsoft Sans Serif" w:cs="Microsoft Sans Serif"/>
          <w:kern w:val="2"/>
          <w:sz w:val="24"/>
          <w:szCs w:val="22"/>
          <w14:ligatures w14:val="standardContextual"/>
        </w:rPr>
        <w:cr/>
        <w:t>852 WESLEY DRIVE</w:t>
      </w:r>
      <w:r w:rsidRPr="006D4CFA">
        <w:rPr>
          <w:rFonts w:ascii="Microsoft Sans Serif" w:eastAsia="Microsoft Sans Serif" w:hAnsi="Microsoft Sans Serif" w:cs="Microsoft Sans Serif"/>
          <w:kern w:val="2"/>
          <w:sz w:val="24"/>
          <w:szCs w:val="22"/>
          <w14:ligatures w14:val="standardContextual"/>
        </w:rPr>
        <w:cr/>
        <w:t>MECHANICSBURG PA 17055</w:t>
      </w:r>
      <w:r w:rsidRPr="006D4CFA">
        <w:rPr>
          <w:rFonts w:ascii="Microsoft Sans Serif" w:eastAsia="Microsoft Sans Serif" w:hAnsi="Microsoft Sans Serif" w:cs="Microsoft Sans Serif"/>
          <w:kern w:val="2"/>
          <w:sz w:val="24"/>
          <w:szCs w:val="22"/>
          <w14:ligatures w14:val="standardContextual"/>
        </w:rPr>
        <w:cr/>
      </w:r>
      <w:r w:rsidRPr="006D4CFA">
        <w:rPr>
          <w:rFonts w:ascii="Microsoft Sans Serif" w:eastAsia="Microsoft Sans Serif" w:hAnsi="Microsoft Sans Serif" w:cs="Microsoft Sans Serif"/>
          <w:b/>
          <w:bCs/>
          <w:kern w:val="2"/>
          <w:sz w:val="24"/>
          <w:szCs w:val="22"/>
          <w14:ligatures w14:val="standardContextual"/>
        </w:rPr>
        <w:t>717.550.1574</w:t>
      </w:r>
      <w:r w:rsidRPr="006D4CFA">
        <w:rPr>
          <w:rFonts w:ascii="Microsoft Sans Serif" w:eastAsia="Microsoft Sans Serif" w:hAnsi="Microsoft Sans Serif" w:cs="Microsoft Sans Serif"/>
          <w:b/>
          <w:bCs/>
          <w:kern w:val="2"/>
          <w:sz w:val="24"/>
          <w:szCs w:val="22"/>
          <w14:ligatures w14:val="standardContextual"/>
        </w:rPr>
        <w:cr/>
      </w:r>
      <w:hyperlink r:id="rId11" w:history="1">
        <w:r w:rsidRPr="006D4CFA">
          <w:rPr>
            <w:rFonts w:ascii="Microsoft Sans Serif" w:eastAsia="Microsoft Sans Serif" w:hAnsi="Microsoft Sans Serif" w:cs="Microsoft Sans Serif"/>
            <w:color w:val="0563C1" w:themeColor="hyperlink"/>
            <w:kern w:val="2"/>
            <w:sz w:val="24"/>
            <w:szCs w:val="22"/>
            <w:u w:val="single"/>
            <w14:ligatures w14:val="standardContextual"/>
          </w:rPr>
          <w:t>Elizabeth.Triscari@amwater.com</w:t>
        </w:r>
      </w:hyperlink>
      <w:r w:rsidRPr="006D4CFA">
        <w:rPr>
          <w:rFonts w:ascii="Microsoft Sans Serif" w:eastAsia="Microsoft Sans Serif" w:hAnsi="Microsoft Sans Serif" w:cs="Microsoft Sans Serif"/>
          <w:kern w:val="2"/>
          <w:sz w:val="24"/>
          <w:szCs w:val="22"/>
          <w14:ligatures w14:val="standardContextual"/>
        </w:rPr>
        <w:br/>
      </w:r>
      <w:hyperlink r:id="rId12" w:history="1">
        <w:r w:rsidRPr="006D4CFA">
          <w:rPr>
            <w:rFonts w:ascii="Microsoft Sans Serif" w:eastAsia="Microsoft Sans Serif" w:hAnsi="Microsoft Sans Serif" w:cs="Microsoft Sans Serif"/>
            <w:color w:val="0563C1" w:themeColor="hyperlink"/>
            <w:kern w:val="2"/>
            <w:sz w:val="24"/>
            <w:szCs w:val="22"/>
            <w:u w:val="single"/>
            <w14:ligatures w14:val="standardContextual"/>
          </w:rPr>
          <w:t>erin.fure@amwater.com</w:t>
        </w:r>
      </w:hyperlink>
      <w:r w:rsidRPr="006D4CFA">
        <w:rPr>
          <w:rFonts w:ascii="Microsoft Sans Serif" w:eastAsia="Microsoft Sans Serif" w:hAnsi="Microsoft Sans Serif" w:cs="Microsoft Sans Serif"/>
          <w:kern w:val="2"/>
          <w:sz w:val="24"/>
          <w:szCs w:val="22"/>
          <w14:ligatures w14:val="standardContextual"/>
        </w:rPr>
        <w:br/>
        <w:t>Accepts eService</w:t>
      </w:r>
      <w:r w:rsidRPr="006D4CFA">
        <w:rPr>
          <w:rFonts w:ascii="Microsoft Sans Serif" w:eastAsia="Microsoft Sans Serif" w:hAnsi="Microsoft Sans Serif" w:cs="Microsoft Sans Serif"/>
          <w:kern w:val="2"/>
          <w:sz w:val="24"/>
          <w:szCs w:val="22"/>
          <w14:ligatures w14:val="standardContextual"/>
        </w:rPr>
        <w:br/>
      </w:r>
      <w:r w:rsidRPr="006D4CFA">
        <w:rPr>
          <w:rFonts w:ascii="Microsoft Sans Serif" w:eastAsia="Microsoft Sans Serif" w:hAnsi="Microsoft Sans Serif" w:cs="Microsoft Sans Serif"/>
          <w:i/>
          <w:iCs/>
          <w:kern w:val="2"/>
          <w:sz w:val="24"/>
          <w:szCs w:val="22"/>
          <w14:ligatures w14:val="standardContextual"/>
        </w:rPr>
        <w:t>(Counsel for Pennsylvania-American</w:t>
      </w:r>
      <w:r w:rsidRPr="006D4CFA">
        <w:rPr>
          <w:rFonts w:ascii="Microsoft Sans Serif" w:eastAsia="Microsoft Sans Serif" w:hAnsi="Microsoft Sans Serif" w:cs="Microsoft Sans Serif"/>
          <w:i/>
          <w:iCs/>
          <w:kern w:val="2"/>
          <w:sz w:val="24"/>
          <w:szCs w:val="22"/>
          <w14:ligatures w14:val="standardContextual"/>
        </w:rPr>
        <w:br/>
        <w:t>Water Company)</w:t>
      </w:r>
      <w:r w:rsidRPr="006D4CFA">
        <w:rPr>
          <w:rFonts w:ascii="Microsoft Sans Serif" w:eastAsia="Microsoft Sans Serif" w:hAnsi="Microsoft Sans Serif" w:cs="Microsoft Sans Serif"/>
          <w:i/>
          <w:iCs/>
          <w:kern w:val="2"/>
          <w:sz w:val="24"/>
          <w:szCs w:val="22"/>
          <w14:ligatures w14:val="standardContextual"/>
        </w:rPr>
        <w:cr/>
      </w:r>
      <w:r w:rsidRPr="006D4CFA">
        <w:rPr>
          <w:rFonts w:ascii="Microsoft Sans Serif" w:eastAsia="Microsoft Sans Serif" w:hAnsi="Microsoft Sans Serif" w:cs="Microsoft Sans Serif"/>
          <w:kern w:val="2"/>
          <w:sz w:val="24"/>
          <w:szCs w:val="22"/>
          <w14:ligatures w14:val="standardContextual"/>
        </w:rPr>
        <w:cr/>
      </w:r>
      <w:r w:rsidRPr="006D4CFA">
        <w:rPr>
          <w:rFonts w:ascii="Microsoft Sans Serif" w:eastAsia="Microsoft Sans Serif" w:hAnsi="Microsoft Sans Serif" w:cs="Microsoft Sans Serif"/>
          <w:kern w:val="2"/>
          <w:sz w:val="24"/>
          <w:szCs w:val="22"/>
          <w14:ligatures w14:val="standardContextual"/>
        </w:rPr>
        <w:cr/>
        <w:t>DAVID P ZAMBITO ESQUIRE</w:t>
      </w:r>
      <w:r w:rsidRPr="006D4CFA">
        <w:rPr>
          <w:rFonts w:ascii="Microsoft Sans Serif" w:eastAsia="Microsoft Sans Serif" w:hAnsi="Microsoft Sans Serif" w:cs="Microsoft Sans Serif"/>
          <w:kern w:val="2"/>
          <w:sz w:val="24"/>
          <w:szCs w:val="22"/>
          <w14:ligatures w14:val="standardContextual"/>
        </w:rPr>
        <w:br/>
        <w:t>JONATHAN NASE ESQUIRE</w:t>
      </w:r>
      <w:r w:rsidRPr="006D4CFA">
        <w:rPr>
          <w:rFonts w:ascii="Microsoft Sans Serif" w:eastAsia="Microsoft Sans Serif" w:hAnsi="Microsoft Sans Serif" w:cs="Microsoft Sans Serif"/>
          <w:kern w:val="2"/>
          <w:sz w:val="24"/>
          <w:szCs w:val="22"/>
          <w14:ligatures w14:val="standardContextual"/>
        </w:rPr>
        <w:cr/>
        <w:t>COZEN O'CONNOR</w:t>
      </w:r>
      <w:r w:rsidRPr="006D4CFA">
        <w:rPr>
          <w:rFonts w:ascii="Microsoft Sans Serif" w:eastAsia="Microsoft Sans Serif" w:hAnsi="Microsoft Sans Serif" w:cs="Microsoft Sans Serif"/>
          <w:kern w:val="2"/>
          <w:sz w:val="24"/>
          <w:szCs w:val="22"/>
          <w14:ligatures w14:val="standardContextual"/>
        </w:rPr>
        <w:cr/>
        <w:t>17 NORTH SECOND ST SUITE 1410</w:t>
      </w:r>
      <w:r w:rsidRPr="006D4CFA">
        <w:rPr>
          <w:rFonts w:ascii="Microsoft Sans Serif" w:eastAsia="Microsoft Sans Serif" w:hAnsi="Microsoft Sans Serif" w:cs="Microsoft Sans Serif"/>
          <w:kern w:val="2"/>
          <w:sz w:val="24"/>
          <w:szCs w:val="22"/>
          <w14:ligatures w14:val="standardContextual"/>
        </w:rPr>
        <w:cr/>
        <w:t>HARRISBURG PA  17101</w:t>
      </w:r>
      <w:r w:rsidRPr="006D4CFA">
        <w:rPr>
          <w:rFonts w:ascii="Microsoft Sans Serif" w:eastAsia="Microsoft Sans Serif" w:hAnsi="Microsoft Sans Serif" w:cs="Microsoft Sans Serif"/>
          <w:kern w:val="2"/>
          <w:sz w:val="24"/>
          <w:szCs w:val="22"/>
          <w14:ligatures w14:val="standardContextual"/>
        </w:rPr>
        <w:cr/>
      </w:r>
      <w:r w:rsidRPr="006D4CFA">
        <w:rPr>
          <w:rFonts w:ascii="Microsoft Sans Serif" w:eastAsia="Microsoft Sans Serif" w:hAnsi="Microsoft Sans Serif" w:cs="Microsoft Sans Serif"/>
          <w:b/>
          <w:bCs/>
          <w:kern w:val="2"/>
          <w:sz w:val="24"/>
          <w:szCs w:val="22"/>
          <w14:ligatures w14:val="standardContextual"/>
        </w:rPr>
        <w:t>717.703.5892</w:t>
      </w:r>
      <w:r w:rsidRPr="006D4CFA">
        <w:rPr>
          <w:rFonts w:ascii="Microsoft Sans Serif" w:eastAsia="Microsoft Sans Serif" w:hAnsi="Microsoft Sans Serif" w:cs="Microsoft Sans Serif"/>
          <w:kern w:val="2"/>
          <w:sz w:val="24"/>
          <w:szCs w:val="22"/>
          <w14:ligatures w14:val="standardContextual"/>
        </w:rPr>
        <w:cr/>
      </w:r>
      <w:hyperlink r:id="rId13" w:history="1">
        <w:r w:rsidRPr="006D4CFA">
          <w:rPr>
            <w:rFonts w:ascii="Microsoft Sans Serif" w:eastAsia="Microsoft Sans Serif" w:hAnsi="Microsoft Sans Serif" w:cs="Microsoft Sans Serif"/>
            <w:color w:val="0563C1" w:themeColor="hyperlink"/>
            <w:kern w:val="2"/>
            <w:sz w:val="24"/>
            <w:szCs w:val="22"/>
            <w:u w:val="single"/>
            <w14:ligatures w14:val="standardContextual"/>
          </w:rPr>
          <w:t>dzambito@cozen.com</w:t>
        </w:r>
      </w:hyperlink>
      <w:r w:rsidRPr="006D4CFA">
        <w:rPr>
          <w:rFonts w:ascii="Microsoft Sans Serif" w:eastAsia="Microsoft Sans Serif" w:hAnsi="Microsoft Sans Serif" w:cs="Microsoft Sans Serif"/>
          <w:kern w:val="2"/>
          <w:sz w:val="24"/>
          <w:szCs w:val="22"/>
          <w14:ligatures w14:val="standardContextual"/>
        </w:rPr>
        <w:br/>
      </w:r>
      <w:hyperlink r:id="rId14" w:history="1">
        <w:r w:rsidRPr="006D4CFA">
          <w:rPr>
            <w:rFonts w:ascii="Microsoft Sans Serif" w:eastAsia="Microsoft Sans Serif" w:hAnsi="Microsoft Sans Serif" w:cs="Microsoft Sans Serif"/>
            <w:color w:val="0563C1" w:themeColor="hyperlink"/>
            <w:kern w:val="2"/>
            <w:sz w:val="24"/>
            <w:szCs w:val="22"/>
            <w:u w:val="single"/>
            <w14:ligatures w14:val="standardContextual"/>
          </w:rPr>
          <w:t>jnase@cozen.com</w:t>
        </w:r>
      </w:hyperlink>
      <w:r w:rsidRPr="006D4CFA">
        <w:rPr>
          <w:rFonts w:ascii="Microsoft Sans Serif" w:eastAsia="Microsoft Sans Serif" w:hAnsi="Microsoft Sans Serif" w:cs="Microsoft Sans Serif"/>
          <w:kern w:val="2"/>
          <w:sz w:val="24"/>
          <w:szCs w:val="22"/>
          <w14:ligatures w14:val="standardContextual"/>
        </w:rPr>
        <w:br/>
        <w:t>Accepts eService</w:t>
      </w:r>
      <w:r w:rsidRPr="006D4CFA">
        <w:rPr>
          <w:rFonts w:ascii="Microsoft Sans Serif" w:eastAsia="Microsoft Sans Serif" w:hAnsi="Microsoft Sans Serif" w:cs="Microsoft Sans Serif"/>
          <w:kern w:val="2"/>
          <w:sz w:val="24"/>
          <w:szCs w:val="22"/>
          <w14:ligatures w14:val="standardContextual"/>
        </w:rPr>
        <w:br/>
      </w:r>
      <w:r w:rsidRPr="006D4CFA">
        <w:rPr>
          <w:rFonts w:ascii="Microsoft Sans Serif" w:eastAsia="Microsoft Sans Serif" w:hAnsi="Microsoft Sans Serif" w:cs="Microsoft Sans Serif"/>
          <w:i/>
          <w:iCs/>
          <w:kern w:val="2"/>
          <w:sz w:val="24"/>
          <w:szCs w:val="22"/>
          <w14:ligatures w14:val="standardContextual"/>
        </w:rPr>
        <w:t>(Counsel for Pennsylvania-American</w:t>
      </w:r>
      <w:r w:rsidRPr="006D4CFA">
        <w:rPr>
          <w:rFonts w:ascii="Microsoft Sans Serif" w:eastAsia="Microsoft Sans Serif" w:hAnsi="Microsoft Sans Serif" w:cs="Microsoft Sans Serif"/>
          <w:i/>
          <w:iCs/>
          <w:kern w:val="2"/>
          <w:sz w:val="24"/>
          <w:szCs w:val="22"/>
          <w14:ligatures w14:val="standardContextual"/>
        </w:rPr>
        <w:br/>
        <w:t>Water Company)</w:t>
      </w:r>
      <w:r w:rsidRPr="006D4CFA">
        <w:rPr>
          <w:rFonts w:ascii="Microsoft Sans Serif" w:eastAsia="Microsoft Sans Serif" w:hAnsi="Microsoft Sans Serif" w:cs="Microsoft Sans Serif"/>
          <w:i/>
          <w:iCs/>
          <w:kern w:val="2"/>
          <w:sz w:val="24"/>
          <w:szCs w:val="22"/>
          <w14:ligatures w14:val="standardContextual"/>
        </w:rPr>
        <w:cr/>
      </w:r>
    </w:p>
    <w:p w14:paraId="29D5A844" w14:textId="77777777" w:rsidR="006D4CFA" w:rsidRPr="006D4CFA" w:rsidRDefault="006D4CFA" w:rsidP="006D4CFA">
      <w:pPr>
        <w:tabs>
          <w:tab w:val="left" w:pos="-720"/>
        </w:tabs>
        <w:suppressAutoHyphens/>
        <w:spacing w:after="160" w:line="259" w:lineRule="auto"/>
        <w:ind w:left="-144" w:right="-432"/>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kern w:val="2"/>
          <w:sz w:val="24"/>
          <w:szCs w:val="22"/>
          <w14:ligatures w14:val="standardContextual"/>
        </w:rPr>
        <w:t>SHARON E WEBB ESQUIRE</w:t>
      </w:r>
      <w:r w:rsidRPr="006D4CFA">
        <w:rPr>
          <w:rFonts w:ascii="Microsoft Sans Serif" w:eastAsia="Microsoft Sans Serif" w:hAnsi="Microsoft Sans Serif" w:cs="Microsoft Sans Serif"/>
          <w:kern w:val="2"/>
          <w:sz w:val="24"/>
          <w:szCs w:val="22"/>
          <w14:ligatures w14:val="standardContextual"/>
        </w:rPr>
        <w:cr/>
        <w:t>OFFICE OF SMALL BUSINESS ADVOCATE</w:t>
      </w:r>
      <w:r w:rsidRPr="006D4CFA">
        <w:rPr>
          <w:rFonts w:ascii="Microsoft Sans Serif" w:eastAsia="Microsoft Sans Serif" w:hAnsi="Microsoft Sans Serif" w:cs="Microsoft Sans Serif"/>
          <w:kern w:val="2"/>
          <w:sz w:val="24"/>
          <w:szCs w:val="22"/>
          <w14:ligatures w14:val="standardContextual"/>
        </w:rPr>
        <w:cr/>
        <w:t>FORUM PLACE</w:t>
      </w:r>
      <w:r w:rsidRPr="006D4CFA">
        <w:rPr>
          <w:rFonts w:ascii="Microsoft Sans Serif" w:eastAsia="Microsoft Sans Serif" w:hAnsi="Microsoft Sans Serif" w:cs="Microsoft Sans Serif"/>
          <w:kern w:val="2"/>
          <w:sz w:val="24"/>
          <w:szCs w:val="22"/>
          <w14:ligatures w14:val="standardContextual"/>
        </w:rPr>
        <w:cr/>
        <w:t>555 WALNUT STREET 1ST FLOOR</w:t>
      </w:r>
      <w:r w:rsidRPr="006D4CFA">
        <w:rPr>
          <w:rFonts w:ascii="Microsoft Sans Serif" w:eastAsia="Microsoft Sans Serif" w:hAnsi="Microsoft Sans Serif" w:cs="Microsoft Sans Serif"/>
          <w:kern w:val="2"/>
          <w:sz w:val="24"/>
          <w:szCs w:val="22"/>
          <w14:ligatures w14:val="standardContextual"/>
        </w:rPr>
        <w:cr/>
        <w:t>HARRISBURG PA  17101</w:t>
      </w:r>
      <w:r w:rsidRPr="006D4CFA">
        <w:rPr>
          <w:rFonts w:ascii="Microsoft Sans Serif" w:eastAsia="Microsoft Sans Serif" w:hAnsi="Microsoft Sans Serif" w:cs="Microsoft Sans Serif"/>
          <w:kern w:val="2"/>
          <w:sz w:val="24"/>
          <w:szCs w:val="22"/>
          <w14:ligatures w14:val="standardContextual"/>
        </w:rPr>
        <w:cr/>
      </w:r>
      <w:r w:rsidRPr="006D4CFA">
        <w:rPr>
          <w:rFonts w:ascii="Microsoft Sans Serif" w:eastAsia="Microsoft Sans Serif" w:hAnsi="Microsoft Sans Serif" w:cs="Microsoft Sans Serif"/>
          <w:b/>
          <w:bCs/>
          <w:kern w:val="2"/>
          <w:sz w:val="24"/>
          <w:szCs w:val="22"/>
          <w14:ligatures w14:val="standardContextual"/>
        </w:rPr>
        <w:t>717.783.2525</w:t>
      </w:r>
      <w:r w:rsidRPr="006D4CFA">
        <w:rPr>
          <w:rFonts w:ascii="Microsoft Sans Serif" w:eastAsia="Microsoft Sans Serif" w:hAnsi="Microsoft Sans Serif" w:cs="Microsoft Sans Serif"/>
          <w:b/>
          <w:bCs/>
          <w:kern w:val="2"/>
          <w:sz w:val="24"/>
          <w:szCs w:val="22"/>
          <w14:ligatures w14:val="standardContextual"/>
        </w:rPr>
        <w:cr/>
      </w:r>
      <w:hyperlink r:id="rId15" w:history="1">
        <w:r w:rsidRPr="006D4CFA">
          <w:rPr>
            <w:rFonts w:ascii="Microsoft Sans Serif" w:eastAsia="Microsoft Sans Serif" w:hAnsi="Microsoft Sans Serif" w:cs="Microsoft Sans Serif"/>
            <w:color w:val="0563C1" w:themeColor="hyperlink"/>
            <w:kern w:val="2"/>
            <w:sz w:val="24"/>
            <w:szCs w:val="22"/>
            <w:u w:val="single"/>
            <w14:ligatures w14:val="standardContextual"/>
          </w:rPr>
          <w:t>swebb@pa.gov</w:t>
        </w:r>
      </w:hyperlink>
      <w:r w:rsidRPr="006D4CFA">
        <w:rPr>
          <w:rFonts w:ascii="Microsoft Sans Serif" w:eastAsia="Microsoft Sans Serif" w:hAnsi="Microsoft Sans Serif" w:cs="Microsoft Sans Serif"/>
          <w:kern w:val="2"/>
          <w:sz w:val="24"/>
          <w:szCs w:val="22"/>
          <w14:ligatures w14:val="standardContextual"/>
        </w:rPr>
        <w:br/>
      </w:r>
      <w:r w:rsidRPr="006D4CFA">
        <w:rPr>
          <w:rFonts w:ascii="Microsoft Sans Serif" w:eastAsia="Microsoft Sans Serif" w:hAnsi="Microsoft Sans Serif" w:cs="Microsoft Sans Serif"/>
          <w:kern w:val="2"/>
          <w:sz w:val="24"/>
          <w:szCs w:val="22"/>
          <w14:ligatures w14:val="standardContextual"/>
        </w:rPr>
        <w:cr/>
      </w:r>
    </w:p>
    <w:p w14:paraId="04A4F09B" w14:textId="77777777" w:rsidR="006D4CFA" w:rsidRPr="006D4CFA" w:rsidRDefault="006D4CFA" w:rsidP="006D4CFA">
      <w:pPr>
        <w:tabs>
          <w:tab w:val="left" w:pos="-720"/>
        </w:tabs>
        <w:suppressAutoHyphens/>
        <w:spacing w:after="160" w:line="259" w:lineRule="auto"/>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kern w:val="2"/>
          <w:sz w:val="24"/>
          <w:szCs w:val="22"/>
          <w14:ligatures w14:val="standardContextual"/>
        </w:rPr>
        <w:br/>
        <w:t>ARON J BEATTY ESQUIRE</w:t>
      </w:r>
      <w:r w:rsidRPr="006D4CFA">
        <w:rPr>
          <w:rFonts w:ascii="Microsoft Sans Serif" w:eastAsia="Microsoft Sans Serif" w:hAnsi="Microsoft Sans Serif" w:cs="Microsoft Sans Serif"/>
          <w:kern w:val="2"/>
          <w:sz w:val="24"/>
          <w:szCs w:val="22"/>
          <w14:ligatures w14:val="standardContextual"/>
        </w:rPr>
        <w:br/>
        <w:t>CHRISTINE M HOOVER ESQUIRE</w:t>
      </w:r>
      <w:r w:rsidRPr="006D4CFA">
        <w:rPr>
          <w:rFonts w:ascii="Microsoft Sans Serif" w:eastAsia="Microsoft Sans Serif" w:hAnsi="Microsoft Sans Serif" w:cs="Microsoft Sans Serif"/>
          <w:kern w:val="2"/>
          <w:sz w:val="24"/>
          <w:szCs w:val="22"/>
          <w14:ligatures w14:val="standardContextual"/>
        </w:rPr>
        <w:br/>
        <w:t>ANDREW J ZERBY ESQUIRE</w:t>
      </w:r>
      <w:r w:rsidRPr="006D4CFA">
        <w:rPr>
          <w:rFonts w:ascii="Microsoft Sans Serif" w:eastAsia="Microsoft Sans Serif" w:hAnsi="Microsoft Sans Serif" w:cs="Microsoft Sans Serif"/>
          <w:kern w:val="2"/>
          <w:sz w:val="24"/>
          <w:szCs w:val="22"/>
          <w14:ligatures w14:val="standardContextual"/>
        </w:rPr>
        <w:br/>
        <w:t>OFFICE OF CONSUMER ADVOCATE</w:t>
      </w:r>
      <w:r w:rsidRPr="006D4CFA">
        <w:rPr>
          <w:rFonts w:ascii="Microsoft Sans Serif" w:eastAsia="Microsoft Sans Serif" w:hAnsi="Microsoft Sans Serif" w:cs="Microsoft Sans Serif"/>
          <w:kern w:val="2"/>
          <w:sz w:val="24"/>
          <w:szCs w:val="22"/>
          <w14:ligatures w14:val="standardContextual"/>
        </w:rPr>
        <w:cr/>
        <w:t>555 WALNUT STREET 5TH FLOOR</w:t>
      </w:r>
      <w:r w:rsidRPr="006D4CFA">
        <w:rPr>
          <w:rFonts w:ascii="Microsoft Sans Serif" w:eastAsia="Microsoft Sans Serif" w:hAnsi="Microsoft Sans Serif" w:cs="Microsoft Sans Serif"/>
          <w:kern w:val="2"/>
          <w:sz w:val="24"/>
          <w:szCs w:val="22"/>
          <w14:ligatures w14:val="standardContextual"/>
        </w:rPr>
        <w:cr/>
        <w:t>FORUM PLACE</w:t>
      </w:r>
      <w:r w:rsidRPr="006D4CFA">
        <w:rPr>
          <w:rFonts w:ascii="Microsoft Sans Serif" w:eastAsia="Microsoft Sans Serif" w:hAnsi="Microsoft Sans Serif" w:cs="Microsoft Sans Serif"/>
          <w:kern w:val="2"/>
          <w:sz w:val="24"/>
          <w:szCs w:val="22"/>
          <w14:ligatures w14:val="standardContextual"/>
        </w:rPr>
        <w:cr/>
        <w:t>HARRISBURG PA  17101</w:t>
      </w:r>
      <w:r w:rsidRPr="006D4CFA">
        <w:rPr>
          <w:rFonts w:ascii="Microsoft Sans Serif" w:eastAsia="Microsoft Sans Serif" w:hAnsi="Microsoft Sans Serif" w:cs="Microsoft Sans Serif"/>
          <w:kern w:val="2"/>
          <w:sz w:val="24"/>
          <w:szCs w:val="22"/>
          <w14:ligatures w14:val="standardContextual"/>
        </w:rPr>
        <w:cr/>
      </w:r>
      <w:r w:rsidRPr="006D4CFA">
        <w:rPr>
          <w:rFonts w:ascii="Microsoft Sans Serif" w:eastAsia="Microsoft Sans Serif" w:hAnsi="Microsoft Sans Serif" w:cs="Microsoft Sans Serif"/>
          <w:b/>
          <w:bCs/>
          <w:kern w:val="2"/>
          <w:sz w:val="24"/>
          <w:szCs w:val="22"/>
          <w14:ligatures w14:val="standardContextual"/>
        </w:rPr>
        <w:t>717.783.5048</w:t>
      </w:r>
      <w:r w:rsidRPr="006D4CFA">
        <w:rPr>
          <w:rFonts w:ascii="Microsoft Sans Serif" w:eastAsia="Microsoft Sans Serif" w:hAnsi="Microsoft Sans Serif" w:cs="Microsoft Sans Serif"/>
          <w:b/>
          <w:bCs/>
          <w:kern w:val="2"/>
          <w:sz w:val="24"/>
          <w:szCs w:val="22"/>
          <w14:ligatures w14:val="standardContextual"/>
        </w:rPr>
        <w:cr/>
      </w:r>
      <w:hyperlink r:id="rId16" w:history="1">
        <w:r w:rsidRPr="006D4CFA">
          <w:rPr>
            <w:rFonts w:ascii="Microsoft Sans Serif" w:eastAsia="Microsoft Sans Serif" w:hAnsi="Microsoft Sans Serif" w:cs="Microsoft Sans Serif"/>
            <w:color w:val="0563C1" w:themeColor="hyperlink"/>
            <w:kern w:val="2"/>
            <w:sz w:val="24"/>
            <w:szCs w:val="22"/>
            <w:u w:val="single"/>
            <w14:ligatures w14:val="standardContextual"/>
          </w:rPr>
          <w:t>abeatty@paoca.org</w:t>
        </w:r>
      </w:hyperlink>
      <w:r w:rsidRPr="006D4CFA">
        <w:rPr>
          <w:rFonts w:ascii="Microsoft Sans Serif" w:eastAsia="Microsoft Sans Serif" w:hAnsi="Microsoft Sans Serif" w:cs="Microsoft Sans Serif"/>
          <w:kern w:val="2"/>
          <w:sz w:val="24"/>
          <w:szCs w:val="22"/>
          <w14:ligatures w14:val="standardContextual"/>
        </w:rPr>
        <w:br/>
      </w:r>
      <w:hyperlink r:id="rId17" w:history="1">
        <w:r w:rsidRPr="006D4CFA">
          <w:rPr>
            <w:rFonts w:ascii="Microsoft Sans Serif" w:eastAsia="Microsoft Sans Serif" w:hAnsi="Microsoft Sans Serif" w:cs="Microsoft Sans Serif"/>
            <w:color w:val="0563C1" w:themeColor="hyperlink"/>
            <w:kern w:val="2"/>
            <w:sz w:val="24"/>
            <w:szCs w:val="22"/>
            <w:u w:val="single"/>
            <w14:ligatures w14:val="standardContextual"/>
          </w:rPr>
          <w:t>choover@paoca.org</w:t>
        </w:r>
      </w:hyperlink>
      <w:r w:rsidRPr="006D4CFA">
        <w:rPr>
          <w:rFonts w:ascii="Microsoft Sans Serif" w:eastAsia="Microsoft Sans Serif" w:hAnsi="Microsoft Sans Serif" w:cs="Microsoft Sans Serif"/>
          <w:kern w:val="2"/>
          <w:sz w:val="24"/>
          <w:szCs w:val="22"/>
          <w14:ligatures w14:val="standardContextual"/>
        </w:rPr>
        <w:br/>
      </w:r>
      <w:hyperlink r:id="rId18" w:history="1">
        <w:r w:rsidRPr="006D4CFA">
          <w:rPr>
            <w:rFonts w:ascii="Microsoft Sans Serif" w:eastAsia="Microsoft Sans Serif" w:hAnsi="Microsoft Sans Serif" w:cs="Microsoft Sans Serif"/>
            <w:color w:val="0563C1" w:themeColor="hyperlink"/>
            <w:kern w:val="2"/>
            <w:sz w:val="24"/>
            <w:szCs w:val="22"/>
            <w:u w:val="single"/>
            <w14:ligatures w14:val="standardContextual"/>
          </w:rPr>
          <w:t>azerby@paoca.org</w:t>
        </w:r>
      </w:hyperlink>
      <w:r w:rsidRPr="006D4CFA">
        <w:rPr>
          <w:rFonts w:ascii="Microsoft Sans Serif" w:eastAsia="Microsoft Sans Serif" w:hAnsi="Microsoft Sans Serif" w:cs="Microsoft Sans Serif"/>
          <w:kern w:val="2"/>
          <w:sz w:val="24"/>
          <w:szCs w:val="22"/>
          <w14:ligatures w14:val="standardContextual"/>
        </w:rPr>
        <w:br/>
        <w:t>Accepts eService</w:t>
      </w:r>
      <w:r w:rsidRPr="006D4CFA">
        <w:rPr>
          <w:rFonts w:ascii="Microsoft Sans Serif" w:eastAsia="Microsoft Sans Serif" w:hAnsi="Microsoft Sans Serif" w:cs="Microsoft Sans Serif"/>
          <w:kern w:val="2"/>
          <w:sz w:val="24"/>
          <w:szCs w:val="22"/>
          <w14:ligatures w14:val="standardContextual"/>
        </w:rPr>
        <w:cr/>
      </w:r>
    </w:p>
    <w:p w14:paraId="6D679AF5" w14:textId="22C5ECDC" w:rsidR="00EE7AA9" w:rsidRDefault="006D4CFA"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kern w:val="2"/>
          <w:sz w:val="24"/>
          <w:szCs w:val="22"/>
          <w14:ligatures w14:val="standardContextual"/>
        </w:rPr>
        <w:t>CARRIE B WRIGHT ESQUIRE</w:t>
      </w:r>
      <w:r w:rsidRPr="006D4CFA">
        <w:rPr>
          <w:rFonts w:ascii="Microsoft Sans Serif" w:eastAsia="Microsoft Sans Serif" w:hAnsi="Microsoft Sans Serif" w:cs="Microsoft Sans Serif"/>
          <w:kern w:val="2"/>
          <w:sz w:val="24"/>
          <w:szCs w:val="22"/>
          <w14:ligatures w14:val="standardContextual"/>
        </w:rPr>
        <w:cr/>
      </w:r>
      <w:r w:rsidR="00EE7AA9">
        <w:rPr>
          <w:rFonts w:ascii="Microsoft Sans Serif" w:eastAsia="Microsoft Sans Serif" w:hAnsi="Microsoft Sans Serif" w:cs="Microsoft Sans Serif"/>
          <w:kern w:val="2"/>
          <w:sz w:val="24"/>
          <w:szCs w:val="22"/>
          <w14:ligatures w14:val="standardContextual"/>
        </w:rPr>
        <w:t>MICHAEL A PODSKOCH JR ESQUIRE</w:t>
      </w:r>
      <w:r w:rsidR="00EE7AA9">
        <w:rPr>
          <w:rFonts w:ascii="Microsoft Sans Serif" w:eastAsia="Microsoft Sans Serif" w:hAnsi="Microsoft Sans Serif" w:cs="Microsoft Sans Serif"/>
          <w:kern w:val="2"/>
          <w:sz w:val="24"/>
          <w:szCs w:val="22"/>
          <w14:ligatures w14:val="standardContextual"/>
        </w:rPr>
        <w:br/>
      </w:r>
      <w:r w:rsidRPr="006D4CFA">
        <w:rPr>
          <w:rFonts w:ascii="Microsoft Sans Serif" w:eastAsia="Microsoft Sans Serif" w:hAnsi="Microsoft Sans Serif" w:cs="Microsoft Sans Serif"/>
          <w:kern w:val="2"/>
          <w:sz w:val="24"/>
          <w:szCs w:val="22"/>
          <w14:ligatures w14:val="standardContextual"/>
        </w:rPr>
        <w:t>PA PUC BIE LEGAL TECHNICAL</w:t>
      </w:r>
      <w:r w:rsidRPr="006D4CFA">
        <w:rPr>
          <w:rFonts w:ascii="Microsoft Sans Serif" w:eastAsia="Microsoft Sans Serif" w:hAnsi="Microsoft Sans Serif" w:cs="Microsoft Sans Serif"/>
          <w:kern w:val="2"/>
          <w:sz w:val="24"/>
          <w:szCs w:val="22"/>
          <w14:ligatures w14:val="standardContextual"/>
        </w:rPr>
        <w:cr/>
        <w:t>SECOND FLOOR WEST</w:t>
      </w:r>
      <w:r w:rsidRPr="006D4CFA">
        <w:rPr>
          <w:rFonts w:ascii="Microsoft Sans Serif" w:eastAsia="Microsoft Sans Serif" w:hAnsi="Microsoft Sans Serif" w:cs="Microsoft Sans Serif"/>
          <w:kern w:val="2"/>
          <w:sz w:val="24"/>
          <w:szCs w:val="22"/>
          <w14:ligatures w14:val="standardContextual"/>
        </w:rPr>
        <w:cr/>
        <w:t>400 NORTH STREET</w:t>
      </w:r>
      <w:r w:rsidRPr="006D4CFA">
        <w:rPr>
          <w:rFonts w:ascii="Microsoft Sans Serif" w:eastAsia="Microsoft Sans Serif" w:hAnsi="Microsoft Sans Serif" w:cs="Microsoft Sans Serif"/>
          <w:kern w:val="2"/>
          <w:sz w:val="24"/>
          <w:szCs w:val="22"/>
          <w14:ligatures w14:val="standardContextual"/>
        </w:rPr>
        <w:cr/>
        <w:t>HARRISBURG PA  17120</w:t>
      </w:r>
      <w:r w:rsidRPr="006D4CFA">
        <w:rPr>
          <w:rFonts w:ascii="Microsoft Sans Serif" w:eastAsia="Microsoft Sans Serif" w:hAnsi="Microsoft Sans Serif" w:cs="Microsoft Sans Serif"/>
          <w:kern w:val="2"/>
          <w:sz w:val="24"/>
          <w:szCs w:val="22"/>
          <w14:ligatures w14:val="standardContextual"/>
        </w:rPr>
        <w:cr/>
      </w:r>
      <w:r w:rsidRPr="006D4CFA">
        <w:rPr>
          <w:rFonts w:ascii="Microsoft Sans Serif" w:eastAsia="Microsoft Sans Serif" w:hAnsi="Microsoft Sans Serif" w:cs="Microsoft Sans Serif"/>
          <w:b/>
          <w:bCs/>
          <w:kern w:val="2"/>
          <w:sz w:val="24"/>
          <w:szCs w:val="22"/>
          <w14:ligatures w14:val="standardContextual"/>
        </w:rPr>
        <w:t>717.783.6156</w:t>
      </w:r>
      <w:r w:rsidRPr="006D4CFA">
        <w:rPr>
          <w:rFonts w:ascii="Microsoft Sans Serif" w:eastAsia="Microsoft Sans Serif" w:hAnsi="Microsoft Sans Serif" w:cs="Microsoft Sans Serif"/>
          <w:b/>
          <w:bCs/>
          <w:kern w:val="2"/>
          <w:sz w:val="24"/>
          <w:szCs w:val="22"/>
          <w14:ligatures w14:val="standardContextual"/>
        </w:rPr>
        <w:cr/>
      </w:r>
      <w:r w:rsidR="00EE7AA9" w:rsidRPr="00EE7AA9">
        <w:rPr>
          <w:rFonts w:ascii="Microsoft Sans Serif" w:eastAsia="Microsoft Sans Serif" w:hAnsi="Microsoft Sans Serif" w:cs="Microsoft Sans Serif"/>
          <w:b/>
          <w:bCs/>
          <w:kern w:val="2"/>
          <w:sz w:val="24"/>
          <w:szCs w:val="22"/>
          <w14:ligatures w14:val="standardContextual"/>
        </w:rPr>
        <w:t>717</w:t>
      </w:r>
      <w:r w:rsidR="00EE7AA9">
        <w:rPr>
          <w:rFonts w:ascii="Microsoft Sans Serif" w:eastAsia="Microsoft Sans Serif" w:hAnsi="Microsoft Sans Serif" w:cs="Microsoft Sans Serif"/>
          <w:b/>
          <w:bCs/>
          <w:kern w:val="2"/>
          <w:sz w:val="24"/>
          <w:szCs w:val="22"/>
          <w14:ligatures w14:val="standardContextual"/>
        </w:rPr>
        <w:t>.</w:t>
      </w:r>
      <w:r w:rsidR="00EE7AA9" w:rsidRPr="00EE7AA9">
        <w:rPr>
          <w:rFonts w:ascii="Microsoft Sans Serif" w:eastAsia="Microsoft Sans Serif" w:hAnsi="Microsoft Sans Serif" w:cs="Microsoft Sans Serif"/>
          <w:b/>
          <w:bCs/>
          <w:kern w:val="2"/>
          <w:sz w:val="24"/>
          <w:szCs w:val="22"/>
          <w14:ligatures w14:val="standardContextual"/>
        </w:rPr>
        <w:t>783</w:t>
      </w:r>
      <w:r w:rsidR="00EE7AA9">
        <w:rPr>
          <w:rFonts w:ascii="Microsoft Sans Serif" w:eastAsia="Microsoft Sans Serif" w:hAnsi="Microsoft Sans Serif" w:cs="Microsoft Sans Serif"/>
          <w:b/>
          <w:bCs/>
          <w:kern w:val="2"/>
          <w:sz w:val="24"/>
          <w:szCs w:val="22"/>
          <w14:ligatures w14:val="standardContextual"/>
        </w:rPr>
        <w:t>.</w:t>
      </w:r>
      <w:r w:rsidR="00EE7AA9" w:rsidRPr="00EE7AA9">
        <w:rPr>
          <w:rFonts w:ascii="Microsoft Sans Serif" w:eastAsia="Microsoft Sans Serif" w:hAnsi="Microsoft Sans Serif" w:cs="Microsoft Sans Serif"/>
          <w:b/>
          <w:bCs/>
          <w:kern w:val="2"/>
          <w:sz w:val="24"/>
          <w:szCs w:val="22"/>
          <w14:ligatures w14:val="standardContextual"/>
        </w:rPr>
        <w:t>6151</w:t>
      </w:r>
      <w:r w:rsidR="00EE7AA9">
        <w:rPr>
          <w:rFonts w:ascii="Microsoft Sans Serif" w:eastAsia="Microsoft Sans Serif" w:hAnsi="Microsoft Sans Serif" w:cs="Microsoft Sans Serif"/>
          <w:b/>
          <w:bCs/>
          <w:kern w:val="2"/>
          <w:sz w:val="24"/>
          <w:szCs w:val="22"/>
          <w14:ligatures w14:val="standardContextual"/>
        </w:rPr>
        <w:br/>
      </w:r>
      <w:hyperlink r:id="rId19" w:history="1">
        <w:r w:rsidR="00EE7AA9" w:rsidRPr="00DF0E3A">
          <w:rPr>
            <w:rStyle w:val="Hyperlink"/>
            <w:rFonts w:ascii="Microsoft Sans Serif" w:eastAsia="Microsoft Sans Serif" w:hAnsi="Microsoft Sans Serif" w:cs="Microsoft Sans Serif"/>
            <w:kern w:val="2"/>
            <w:sz w:val="24"/>
            <w:szCs w:val="22"/>
            <w14:ligatures w14:val="standardContextual"/>
          </w:rPr>
          <w:t>carwright@pa.gov</w:t>
        </w:r>
      </w:hyperlink>
      <w:r w:rsidR="00EE7AA9">
        <w:rPr>
          <w:rFonts w:ascii="Microsoft Sans Serif" w:eastAsia="Microsoft Sans Serif" w:hAnsi="Microsoft Sans Serif" w:cs="Microsoft Sans Serif"/>
          <w:color w:val="0563C1" w:themeColor="hyperlink"/>
          <w:kern w:val="2"/>
          <w:sz w:val="24"/>
          <w:szCs w:val="22"/>
          <w:u w:val="single"/>
          <w14:ligatures w14:val="standardContextual"/>
        </w:rPr>
        <w:br/>
      </w:r>
      <w:hyperlink r:id="rId20" w:history="1">
        <w:r w:rsidR="00EE7AA9" w:rsidRPr="00DF0E3A">
          <w:rPr>
            <w:rStyle w:val="Hyperlink"/>
            <w:rFonts w:ascii="Microsoft Sans Serif" w:eastAsia="Microsoft Sans Serif" w:hAnsi="Microsoft Sans Serif" w:cs="Microsoft Sans Serif"/>
            <w:kern w:val="2"/>
            <w:sz w:val="24"/>
            <w:szCs w:val="22"/>
            <w14:ligatures w14:val="standardContextual"/>
          </w:rPr>
          <w:t>mpodskoch@pa.gov</w:t>
        </w:r>
      </w:hyperlink>
    </w:p>
    <w:p w14:paraId="46AF0AC1" w14:textId="30A36A06" w:rsidR="006D4CFA" w:rsidRPr="006D4CFA" w:rsidRDefault="006D4CFA"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kern w:val="2"/>
          <w:sz w:val="24"/>
          <w:szCs w:val="22"/>
          <w14:ligatures w14:val="standardContextual"/>
        </w:rPr>
        <w:t>Accepts eService</w:t>
      </w:r>
      <w:r w:rsidRPr="006D4CFA">
        <w:rPr>
          <w:rFonts w:ascii="Microsoft Sans Serif" w:eastAsia="Microsoft Sans Serif" w:hAnsi="Microsoft Sans Serif" w:cs="Microsoft Sans Serif"/>
          <w:kern w:val="2"/>
          <w:sz w:val="24"/>
          <w:szCs w:val="22"/>
          <w14:ligatures w14:val="standardContextual"/>
        </w:rPr>
        <w:cr/>
      </w:r>
      <w:r w:rsidRPr="006D4CFA">
        <w:rPr>
          <w:rFonts w:ascii="Microsoft Sans Serif" w:eastAsia="Microsoft Sans Serif" w:hAnsi="Microsoft Sans Serif" w:cs="Microsoft Sans Serif"/>
          <w:kern w:val="2"/>
          <w:sz w:val="24"/>
          <w:szCs w:val="22"/>
          <w14:ligatures w14:val="standardContextual"/>
        </w:rPr>
        <w:cr/>
        <w:t>THOMAS WYATT ESQUIRE</w:t>
      </w:r>
    </w:p>
    <w:p w14:paraId="443C5A8A" w14:textId="77777777" w:rsidR="006D4CFA" w:rsidRPr="006D4CFA" w:rsidRDefault="006D4CFA"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kern w:val="2"/>
          <w:sz w:val="24"/>
          <w:szCs w:val="22"/>
          <w14:ligatures w14:val="standardContextual"/>
        </w:rPr>
        <w:t>MATTHEW S. OLESH ESQUIRE</w:t>
      </w:r>
    </w:p>
    <w:p w14:paraId="5A6A4476" w14:textId="77777777" w:rsidR="006D4CFA" w:rsidRPr="006D4CFA" w:rsidRDefault="006D4CFA"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kern w:val="2"/>
          <w:sz w:val="24"/>
          <w:szCs w:val="22"/>
          <w14:ligatures w14:val="standardContextual"/>
        </w:rPr>
        <w:t xml:space="preserve">SYDNEY N. MELILLO ESQUIRE </w:t>
      </w:r>
    </w:p>
    <w:p w14:paraId="39D14506" w14:textId="77777777" w:rsidR="006D4CFA" w:rsidRPr="006D4CFA" w:rsidRDefault="006D4CFA"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kern w:val="2"/>
          <w:sz w:val="24"/>
          <w:szCs w:val="22"/>
          <w14:ligatures w14:val="standardContextual"/>
        </w:rPr>
        <w:t>OBERMAYER REBMANN MAXWELL &amp; HIPPEL, LLP</w:t>
      </w:r>
    </w:p>
    <w:p w14:paraId="2C51CF12" w14:textId="77777777" w:rsidR="006D4CFA" w:rsidRPr="006D4CFA" w:rsidRDefault="006D4CFA"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kern w:val="2"/>
          <w:sz w:val="24"/>
          <w:szCs w:val="22"/>
          <w14:ligatures w14:val="standardContextual"/>
        </w:rPr>
        <w:t>1500 MARKET STREET, SUITE 3400</w:t>
      </w:r>
    </w:p>
    <w:p w14:paraId="5981C1D9" w14:textId="77777777" w:rsidR="006D4CFA" w:rsidRPr="006D4CFA" w:rsidRDefault="006D4CFA"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kern w:val="2"/>
          <w:sz w:val="24"/>
          <w:szCs w:val="22"/>
          <w14:ligatures w14:val="standardContextual"/>
        </w:rPr>
        <w:t>PHILADELPHIA, PA 19102</w:t>
      </w:r>
    </w:p>
    <w:p w14:paraId="61F699A4" w14:textId="77777777" w:rsidR="006D4CFA" w:rsidRPr="006D4CFA" w:rsidRDefault="00EE7AA9"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hyperlink r:id="rId21" w:history="1">
        <w:r w:rsidR="006D4CFA" w:rsidRPr="006D4CFA">
          <w:rPr>
            <w:rFonts w:ascii="Microsoft Sans Serif" w:eastAsia="Microsoft Sans Serif" w:hAnsi="Microsoft Sans Serif" w:cs="Microsoft Sans Serif"/>
            <w:color w:val="0563C1" w:themeColor="hyperlink"/>
            <w:kern w:val="2"/>
            <w:sz w:val="24"/>
            <w:szCs w:val="22"/>
            <w:u w:val="single"/>
            <w14:ligatures w14:val="standardContextual"/>
          </w:rPr>
          <w:t>Thomas.Wyatt@obermayer.com</w:t>
        </w:r>
      </w:hyperlink>
    </w:p>
    <w:p w14:paraId="4C71136D" w14:textId="77777777" w:rsidR="006D4CFA" w:rsidRPr="006D4CFA" w:rsidRDefault="00EE7AA9"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hyperlink r:id="rId22" w:history="1">
        <w:r w:rsidR="006D4CFA" w:rsidRPr="006D4CFA">
          <w:rPr>
            <w:rFonts w:ascii="Microsoft Sans Serif" w:eastAsia="Microsoft Sans Serif" w:hAnsi="Microsoft Sans Serif" w:cs="Microsoft Sans Serif"/>
            <w:color w:val="0563C1" w:themeColor="hyperlink"/>
            <w:kern w:val="2"/>
            <w:sz w:val="24"/>
            <w:szCs w:val="22"/>
            <w:u w:val="single"/>
            <w14:ligatures w14:val="standardContextual"/>
          </w:rPr>
          <w:t>Matthew.Olesh@obermayer.com</w:t>
        </w:r>
      </w:hyperlink>
    </w:p>
    <w:p w14:paraId="29031730" w14:textId="77777777" w:rsidR="006D4CFA" w:rsidRPr="006D4CFA" w:rsidRDefault="00EE7AA9" w:rsidP="006D4CFA">
      <w:pPr>
        <w:tabs>
          <w:tab w:val="left" w:pos="-720"/>
        </w:tabs>
        <w:suppressAutoHyphens/>
        <w:rPr>
          <w:rFonts w:ascii="Microsoft Sans Serif" w:eastAsia="Microsoft Sans Serif" w:hAnsi="Microsoft Sans Serif" w:cs="Microsoft Sans Serif"/>
          <w:color w:val="000000" w:themeColor="text1"/>
          <w:kern w:val="2"/>
          <w:sz w:val="24"/>
          <w:szCs w:val="22"/>
          <w14:ligatures w14:val="standardContextual"/>
        </w:rPr>
      </w:pPr>
      <w:hyperlink r:id="rId23" w:history="1">
        <w:r w:rsidR="006D4CFA" w:rsidRPr="006D4CFA">
          <w:rPr>
            <w:rFonts w:ascii="Microsoft Sans Serif" w:eastAsia="Microsoft Sans Serif" w:hAnsi="Microsoft Sans Serif" w:cs="Microsoft Sans Serif"/>
            <w:color w:val="0563C1" w:themeColor="hyperlink"/>
            <w:kern w:val="2"/>
            <w:sz w:val="24"/>
            <w:szCs w:val="22"/>
            <w:u w:val="single"/>
            <w14:ligatures w14:val="standardContextual"/>
          </w:rPr>
          <w:t>Sydney.Melillo@obermayer.com</w:t>
        </w:r>
      </w:hyperlink>
      <w:r w:rsidR="006D4CFA" w:rsidRPr="006D4CFA">
        <w:rPr>
          <w:rFonts w:ascii="Microsoft Sans Serif" w:eastAsia="Microsoft Sans Serif" w:hAnsi="Microsoft Sans Serif" w:cs="Microsoft Sans Serif"/>
          <w:color w:val="0563C1" w:themeColor="hyperlink"/>
          <w:kern w:val="2"/>
          <w:sz w:val="24"/>
          <w:szCs w:val="22"/>
          <w:u w:val="single"/>
          <w14:ligatures w14:val="standardContextual"/>
        </w:rPr>
        <w:br/>
      </w:r>
      <w:r w:rsidR="006D4CFA" w:rsidRPr="006D4CFA">
        <w:rPr>
          <w:rFonts w:ascii="Microsoft Sans Serif" w:eastAsia="Microsoft Sans Serif" w:hAnsi="Microsoft Sans Serif" w:cs="Microsoft Sans Serif"/>
          <w:color w:val="000000" w:themeColor="text1"/>
          <w:kern w:val="2"/>
          <w:sz w:val="24"/>
          <w:szCs w:val="22"/>
          <w14:ligatures w14:val="standardContextual"/>
        </w:rPr>
        <w:t>Accepts eService</w:t>
      </w:r>
    </w:p>
    <w:p w14:paraId="769D5710" w14:textId="77777777" w:rsidR="006D4CFA" w:rsidRPr="006D4CFA" w:rsidRDefault="006D4CFA" w:rsidP="006D4CFA">
      <w:pPr>
        <w:tabs>
          <w:tab w:val="left" w:pos="-720"/>
        </w:tabs>
        <w:suppressAutoHyphens/>
        <w:rPr>
          <w:rFonts w:ascii="Microsoft Sans Serif" w:eastAsia="Microsoft Sans Serif" w:hAnsi="Microsoft Sans Serif" w:cs="Microsoft Sans Serif"/>
          <w:i/>
          <w:iCs/>
          <w:kern w:val="2"/>
          <w:sz w:val="24"/>
          <w:szCs w:val="22"/>
          <w14:ligatures w14:val="standardContextual"/>
        </w:rPr>
      </w:pPr>
      <w:r w:rsidRPr="006D4CFA">
        <w:rPr>
          <w:rFonts w:ascii="Microsoft Sans Serif" w:eastAsia="Microsoft Sans Serif" w:hAnsi="Microsoft Sans Serif" w:cs="Microsoft Sans Serif"/>
          <w:i/>
          <w:iCs/>
          <w:kern w:val="2"/>
          <w:sz w:val="24"/>
          <w:szCs w:val="22"/>
          <w14:ligatures w14:val="standardContextual"/>
        </w:rPr>
        <w:t>(Counsel for the Borough of Brentwood)</w:t>
      </w:r>
      <w:r w:rsidRPr="006D4CFA">
        <w:rPr>
          <w:rFonts w:ascii="Microsoft Sans Serif" w:eastAsia="Microsoft Sans Serif" w:hAnsi="Microsoft Sans Serif" w:cs="Microsoft Sans Serif"/>
          <w:i/>
          <w:iCs/>
          <w:kern w:val="2"/>
          <w:sz w:val="24"/>
          <w:szCs w:val="22"/>
          <w14:ligatures w14:val="standardContextual"/>
        </w:rPr>
        <w:br/>
      </w:r>
    </w:p>
    <w:p w14:paraId="0D21FDB9" w14:textId="77777777" w:rsidR="006D4CFA" w:rsidRPr="006D4CFA" w:rsidRDefault="006D4CFA" w:rsidP="006D4CFA">
      <w:pPr>
        <w:spacing w:after="160" w:line="259" w:lineRule="auto"/>
        <w:rPr>
          <w:rFonts w:asciiTheme="minorHAnsi" w:eastAsiaTheme="minorEastAsia" w:hAnsiTheme="minorHAnsi" w:cstheme="minorBidi"/>
          <w:kern w:val="2"/>
          <w:sz w:val="22"/>
          <w:szCs w:val="22"/>
          <w14:ligatures w14:val="standardContextual"/>
        </w:rPr>
      </w:pPr>
    </w:p>
    <w:p w14:paraId="6C0F4DE3" w14:textId="77777777" w:rsidR="006D4CFA" w:rsidRPr="006D4CFA" w:rsidRDefault="006D4CFA" w:rsidP="006D4CFA">
      <w:pPr>
        <w:rPr>
          <w:rFonts w:ascii="Microsoft Sans Serif" w:eastAsiaTheme="minorEastAsia" w:hAnsi="Microsoft Sans Serif" w:cs="Microsoft Sans Serif"/>
          <w:kern w:val="2"/>
          <w:sz w:val="24"/>
          <w:szCs w:val="24"/>
          <w14:ligatures w14:val="standardContextual"/>
        </w:rPr>
      </w:pPr>
      <w:r w:rsidRPr="006D4CFA">
        <w:rPr>
          <w:rFonts w:ascii="Microsoft Sans Serif" w:eastAsiaTheme="minorEastAsia" w:hAnsi="Microsoft Sans Serif" w:cs="Microsoft Sans Serif"/>
          <w:kern w:val="2"/>
          <w:sz w:val="24"/>
          <w:szCs w:val="24"/>
          <w14:ligatures w14:val="standardContextual"/>
        </w:rPr>
        <w:t>SCOTT T. WYLAND ESQUIRE</w:t>
      </w:r>
    </w:p>
    <w:p w14:paraId="222BF9B3" w14:textId="77777777" w:rsidR="006D4CFA" w:rsidRPr="006D4CFA" w:rsidRDefault="006D4CFA" w:rsidP="006D4CFA">
      <w:pPr>
        <w:rPr>
          <w:rFonts w:ascii="Microsoft Sans Serif" w:eastAsiaTheme="minorEastAsia" w:hAnsi="Microsoft Sans Serif" w:cs="Microsoft Sans Serif"/>
          <w:kern w:val="2"/>
          <w:sz w:val="24"/>
          <w:szCs w:val="24"/>
          <w14:ligatures w14:val="standardContextual"/>
        </w:rPr>
      </w:pPr>
      <w:r w:rsidRPr="006D4CFA">
        <w:rPr>
          <w:rFonts w:ascii="Microsoft Sans Serif" w:eastAsiaTheme="minorEastAsia" w:hAnsi="Microsoft Sans Serif" w:cs="Microsoft Sans Serif"/>
          <w:kern w:val="2"/>
          <w:sz w:val="24"/>
          <w:szCs w:val="24"/>
          <w14:ligatures w14:val="standardContextual"/>
        </w:rPr>
        <w:t>ELANA D. SCHNALL ESQUIRE</w:t>
      </w:r>
      <w:r w:rsidRPr="006D4CFA">
        <w:rPr>
          <w:rFonts w:ascii="Microsoft Sans Serif" w:eastAsiaTheme="minorEastAsia" w:hAnsi="Microsoft Sans Serif" w:cs="Microsoft Sans Serif"/>
          <w:kern w:val="2"/>
          <w:sz w:val="24"/>
          <w:szCs w:val="24"/>
          <w14:ligatures w14:val="standardContextual"/>
        </w:rPr>
        <w:br/>
        <w:t>SALZMANN HUGHES, P.C.</w:t>
      </w:r>
    </w:p>
    <w:p w14:paraId="0C1701CD" w14:textId="77777777" w:rsidR="006D4CFA" w:rsidRPr="006D4CFA" w:rsidRDefault="006D4CFA" w:rsidP="006D4CFA">
      <w:pPr>
        <w:rPr>
          <w:rFonts w:ascii="Microsoft Sans Serif" w:eastAsiaTheme="minorEastAsia" w:hAnsi="Microsoft Sans Serif" w:cs="Microsoft Sans Serif"/>
          <w:kern w:val="2"/>
          <w:sz w:val="24"/>
          <w:szCs w:val="24"/>
          <w14:ligatures w14:val="standardContextual"/>
        </w:rPr>
      </w:pPr>
      <w:r w:rsidRPr="006D4CFA">
        <w:rPr>
          <w:rFonts w:ascii="Microsoft Sans Serif" w:eastAsiaTheme="minorEastAsia" w:hAnsi="Microsoft Sans Serif" w:cs="Microsoft Sans Serif"/>
          <w:kern w:val="2"/>
          <w:sz w:val="24"/>
          <w:szCs w:val="24"/>
          <w14:ligatures w14:val="standardContextual"/>
        </w:rPr>
        <w:t xml:space="preserve">1801 MARKET STREET, SUITE 300 </w:t>
      </w:r>
      <w:r w:rsidRPr="006D4CFA">
        <w:rPr>
          <w:rFonts w:ascii="Microsoft Sans Serif" w:eastAsiaTheme="minorEastAsia" w:hAnsi="Microsoft Sans Serif" w:cs="Microsoft Sans Serif"/>
          <w:kern w:val="2"/>
          <w:sz w:val="24"/>
          <w:szCs w:val="24"/>
          <w14:ligatures w14:val="standardContextual"/>
        </w:rPr>
        <w:br/>
        <w:t xml:space="preserve">CAMP HILL PA 17011 </w:t>
      </w:r>
      <w:r w:rsidRPr="006D4CFA">
        <w:rPr>
          <w:rFonts w:ascii="Microsoft Sans Serif" w:eastAsiaTheme="minorEastAsia" w:hAnsi="Microsoft Sans Serif" w:cs="Microsoft Sans Serif"/>
          <w:kern w:val="2"/>
          <w:sz w:val="24"/>
          <w:szCs w:val="24"/>
          <w14:ligatures w14:val="standardContextual"/>
        </w:rPr>
        <w:br/>
      </w:r>
      <w:r w:rsidRPr="006D4CFA">
        <w:rPr>
          <w:rFonts w:ascii="Microsoft Sans Serif" w:eastAsiaTheme="minorEastAsia" w:hAnsi="Microsoft Sans Serif" w:cs="Microsoft Sans Serif"/>
          <w:b/>
          <w:bCs/>
          <w:kern w:val="2"/>
          <w:sz w:val="24"/>
          <w:szCs w:val="24"/>
          <w14:ligatures w14:val="standardContextual"/>
        </w:rPr>
        <w:t>717.234.6700</w:t>
      </w:r>
      <w:r w:rsidRPr="006D4CFA">
        <w:rPr>
          <w:rFonts w:ascii="Microsoft Sans Serif" w:eastAsiaTheme="minorEastAsia" w:hAnsi="Microsoft Sans Serif" w:cs="Microsoft Sans Serif"/>
          <w:b/>
          <w:bCs/>
          <w:kern w:val="2"/>
          <w:sz w:val="24"/>
          <w:szCs w:val="24"/>
          <w14:ligatures w14:val="standardContextual"/>
        </w:rPr>
        <w:br/>
      </w:r>
      <w:hyperlink r:id="rId24" w:history="1">
        <w:r w:rsidRPr="006D4CFA">
          <w:rPr>
            <w:rFonts w:ascii="Microsoft Sans Serif" w:eastAsiaTheme="minorEastAsia" w:hAnsi="Microsoft Sans Serif" w:cs="Microsoft Sans Serif"/>
            <w:color w:val="0563C1" w:themeColor="hyperlink"/>
            <w:kern w:val="2"/>
            <w:sz w:val="24"/>
            <w:szCs w:val="24"/>
            <w:u w:val="single"/>
            <w14:ligatures w14:val="standardContextual"/>
          </w:rPr>
          <w:t>swyland@salzmannhughes.com</w:t>
        </w:r>
      </w:hyperlink>
      <w:r w:rsidRPr="006D4CFA">
        <w:rPr>
          <w:rFonts w:ascii="Microsoft Sans Serif" w:eastAsiaTheme="minorEastAsia" w:hAnsi="Microsoft Sans Serif" w:cs="Microsoft Sans Serif"/>
          <w:kern w:val="2"/>
          <w:sz w:val="24"/>
          <w:szCs w:val="24"/>
          <w14:ligatures w14:val="standardContextual"/>
        </w:rPr>
        <w:br/>
      </w:r>
      <w:hyperlink r:id="rId25" w:history="1">
        <w:r w:rsidRPr="006D4CFA">
          <w:rPr>
            <w:rFonts w:ascii="Microsoft Sans Serif" w:eastAsiaTheme="minorEastAsia" w:hAnsi="Microsoft Sans Serif" w:cs="Microsoft Sans Serif"/>
            <w:color w:val="0563C1" w:themeColor="hyperlink"/>
            <w:kern w:val="2"/>
            <w:sz w:val="24"/>
            <w:szCs w:val="24"/>
            <w:u w:val="single"/>
            <w14:ligatures w14:val="standardContextual"/>
          </w:rPr>
          <w:t>eschnall@salzmannhughes.com</w:t>
        </w:r>
      </w:hyperlink>
      <w:r w:rsidRPr="006D4CFA">
        <w:rPr>
          <w:rFonts w:ascii="Microsoft Sans Serif" w:eastAsiaTheme="minorEastAsia" w:hAnsi="Microsoft Sans Serif" w:cs="Microsoft Sans Serif"/>
          <w:color w:val="0563C1" w:themeColor="hyperlink"/>
          <w:kern w:val="2"/>
          <w:sz w:val="24"/>
          <w:szCs w:val="24"/>
          <w:u w:val="single"/>
          <w14:ligatures w14:val="standardContextual"/>
        </w:rPr>
        <w:br/>
      </w:r>
      <w:r w:rsidRPr="006D4CFA">
        <w:rPr>
          <w:rFonts w:ascii="Microsoft Sans Serif" w:eastAsiaTheme="minorEastAsia" w:hAnsi="Microsoft Sans Serif" w:cs="Microsoft Sans Serif"/>
          <w:kern w:val="2"/>
          <w:sz w:val="24"/>
          <w:szCs w:val="24"/>
          <w14:ligatures w14:val="standardContextual"/>
        </w:rPr>
        <w:t>Accepts eService</w:t>
      </w:r>
      <w:r w:rsidRPr="006D4CFA">
        <w:rPr>
          <w:rFonts w:ascii="Microsoft Sans Serif" w:eastAsiaTheme="minorEastAsia" w:hAnsi="Microsoft Sans Serif" w:cs="Microsoft Sans Serif"/>
          <w:kern w:val="2"/>
          <w:sz w:val="24"/>
          <w:szCs w:val="24"/>
          <w14:ligatures w14:val="standardContextual"/>
        </w:rPr>
        <w:br/>
      </w:r>
      <w:r w:rsidRPr="006D4CFA">
        <w:rPr>
          <w:rFonts w:ascii="Microsoft Sans Serif" w:eastAsiaTheme="minorEastAsia" w:hAnsi="Microsoft Sans Serif" w:cs="Microsoft Sans Serif"/>
          <w:i/>
          <w:iCs/>
          <w:kern w:val="2"/>
          <w:sz w:val="24"/>
          <w:szCs w:val="24"/>
          <w14:ligatures w14:val="standardContextual"/>
        </w:rPr>
        <w:t>(Representing ALCOSAN)</w:t>
      </w:r>
      <w:r w:rsidRPr="006D4CFA">
        <w:rPr>
          <w:rFonts w:ascii="Microsoft Sans Serif" w:eastAsiaTheme="minorEastAsia" w:hAnsi="Microsoft Sans Serif" w:cs="Microsoft Sans Serif"/>
          <w:kern w:val="2"/>
          <w:sz w:val="24"/>
          <w:szCs w:val="24"/>
          <w14:ligatures w14:val="standardContextual"/>
        </w:rPr>
        <w:br/>
      </w:r>
    </w:p>
    <w:p w14:paraId="69ACCAAB" w14:textId="77777777" w:rsidR="006D4CFA" w:rsidRPr="006D4CFA" w:rsidRDefault="006D4CFA" w:rsidP="006D4CFA">
      <w:pPr>
        <w:rPr>
          <w:rFonts w:ascii="Microsoft Sans Serif" w:eastAsiaTheme="minorEastAsia" w:hAnsi="Microsoft Sans Serif" w:cs="Microsoft Sans Serif"/>
          <w:kern w:val="2"/>
          <w:sz w:val="24"/>
          <w:szCs w:val="24"/>
          <w14:ligatures w14:val="standardContextual"/>
        </w:rPr>
      </w:pPr>
      <w:r w:rsidRPr="006D4CFA">
        <w:rPr>
          <w:rFonts w:ascii="Microsoft Sans Serif" w:eastAsiaTheme="minorEastAsia" w:hAnsi="Microsoft Sans Serif" w:cs="Microsoft Sans Serif"/>
          <w:kern w:val="2"/>
          <w:sz w:val="24"/>
          <w:szCs w:val="24"/>
          <w14:ligatures w14:val="standardContextual"/>
        </w:rPr>
        <w:br/>
        <w:t xml:space="preserve">CHESTER R. BABST, III, ESQUIRE </w:t>
      </w:r>
      <w:r w:rsidRPr="006D4CFA">
        <w:rPr>
          <w:rFonts w:ascii="Microsoft Sans Serif" w:eastAsiaTheme="minorEastAsia" w:hAnsi="Microsoft Sans Serif" w:cs="Microsoft Sans Serif"/>
          <w:kern w:val="2"/>
          <w:sz w:val="24"/>
          <w:szCs w:val="24"/>
          <w14:ligatures w14:val="standardContextual"/>
        </w:rPr>
        <w:br/>
        <w:t>ROBERT MAX JUNKER, ESQUIRE</w:t>
      </w:r>
      <w:r w:rsidRPr="006D4CFA">
        <w:rPr>
          <w:rFonts w:ascii="Microsoft Sans Serif" w:eastAsiaTheme="minorEastAsia" w:hAnsi="Microsoft Sans Serif" w:cs="Microsoft Sans Serif"/>
          <w:kern w:val="2"/>
          <w:sz w:val="24"/>
          <w:szCs w:val="24"/>
          <w14:ligatures w14:val="standardContextual"/>
        </w:rPr>
        <w:br/>
        <w:t>LAURA STONE, ESQUIRE</w:t>
      </w:r>
    </w:p>
    <w:p w14:paraId="24E800FA" w14:textId="77777777" w:rsidR="006D4CFA" w:rsidRPr="006D4CFA" w:rsidRDefault="006D4CFA" w:rsidP="006D4CFA">
      <w:pPr>
        <w:rPr>
          <w:rFonts w:ascii="Microsoft Sans Serif" w:eastAsiaTheme="minorEastAsia" w:hAnsi="Microsoft Sans Serif" w:cs="Microsoft Sans Serif"/>
          <w:kern w:val="2"/>
          <w:sz w:val="24"/>
          <w:szCs w:val="24"/>
          <w14:ligatures w14:val="standardContextual"/>
        </w:rPr>
      </w:pPr>
      <w:r w:rsidRPr="006D4CFA">
        <w:rPr>
          <w:rFonts w:ascii="Microsoft Sans Serif" w:eastAsiaTheme="minorEastAsia" w:hAnsi="Microsoft Sans Serif" w:cs="Microsoft Sans Serif"/>
          <w:kern w:val="2"/>
          <w:sz w:val="24"/>
          <w:szCs w:val="24"/>
          <w14:ligatures w14:val="standardContextual"/>
        </w:rPr>
        <w:t>BABST CALLAND CLEMENTS &amp; ZOMNIR, P.C.</w:t>
      </w:r>
      <w:r w:rsidRPr="006D4CFA">
        <w:rPr>
          <w:rFonts w:ascii="Microsoft Sans Serif" w:eastAsiaTheme="minorEastAsia" w:hAnsi="Microsoft Sans Serif" w:cs="Microsoft Sans Serif"/>
          <w:kern w:val="2"/>
          <w:sz w:val="24"/>
          <w:szCs w:val="24"/>
          <w14:ligatures w14:val="standardContextual"/>
        </w:rPr>
        <w:br/>
        <w:t>603 STANWIX STREET</w:t>
      </w:r>
    </w:p>
    <w:p w14:paraId="737A3E26" w14:textId="77777777" w:rsidR="006D4CFA" w:rsidRPr="006D4CFA" w:rsidRDefault="006D4CFA" w:rsidP="006D4CFA">
      <w:pPr>
        <w:rPr>
          <w:rFonts w:ascii="Microsoft Sans Serif" w:eastAsiaTheme="minorEastAsia" w:hAnsi="Microsoft Sans Serif" w:cs="Microsoft Sans Serif"/>
          <w:kern w:val="2"/>
          <w:sz w:val="24"/>
          <w:szCs w:val="24"/>
          <w14:ligatures w14:val="standardContextual"/>
        </w:rPr>
      </w:pPr>
      <w:r w:rsidRPr="006D4CFA">
        <w:rPr>
          <w:rFonts w:ascii="Microsoft Sans Serif" w:eastAsiaTheme="minorEastAsia" w:hAnsi="Microsoft Sans Serif" w:cs="Microsoft Sans Serif"/>
          <w:kern w:val="2"/>
          <w:sz w:val="24"/>
          <w:szCs w:val="24"/>
          <w14:ligatures w14:val="standardContextual"/>
        </w:rPr>
        <w:t xml:space="preserve">TWO GATEWAY CENTER, 6ᵗʰ FL </w:t>
      </w:r>
      <w:r w:rsidRPr="006D4CFA">
        <w:rPr>
          <w:rFonts w:ascii="Microsoft Sans Serif" w:eastAsiaTheme="minorEastAsia" w:hAnsi="Microsoft Sans Serif" w:cs="Microsoft Sans Serif"/>
          <w:kern w:val="2"/>
          <w:sz w:val="24"/>
          <w:szCs w:val="24"/>
          <w14:ligatures w14:val="standardContextual"/>
        </w:rPr>
        <w:br/>
        <w:t>PITTSBURGH, PA 15222</w:t>
      </w:r>
    </w:p>
    <w:p w14:paraId="33AF3503" w14:textId="77777777" w:rsidR="006D4CFA" w:rsidRPr="006D4CFA" w:rsidRDefault="006D4CFA" w:rsidP="006D4CFA">
      <w:pPr>
        <w:rPr>
          <w:rFonts w:ascii="Microsoft Sans Serif" w:eastAsiaTheme="minorEastAsia" w:hAnsi="Microsoft Sans Serif" w:cs="Microsoft Sans Serif"/>
          <w:b/>
          <w:bCs/>
          <w:kern w:val="2"/>
          <w:sz w:val="24"/>
          <w:szCs w:val="24"/>
          <w14:ligatures w14:val="standardContextual"/>
        </w:rPr>
      </w:pPr>
      <w:r w:rsidRPr="006D4CFA">
        <w:rPr>
          <w:rFonts w:ascii="Microsoft Sans Serif" w:eastAsiaTheme="minorEastAsia" w:hAnsi="Microsoft Sans Serif" w:cs="Microsoft Sans Serif"/>
          <w:b/>
          <w:bCs/>
          <w:kern w:val="2"/>
          <w:sz w:val="24"/>
          <w:szCs w:val="24"/>
          <w14:ligatures w14:val="standardContextual"/>
        </w:rPr>
        <w:t>412.394.5400</w:t>
      </w:r>
    </w:p>
    <w:p w14:paraId="63917BA5" w14:textId="77777777" w:rsidR="006D4CFA" w:rsidRPr="006D4CFA" w:rsidRDefault="00EE7AA9" w:rsidP="006D4CFA">
      <w:pPr>
        <w:rPr>
          <w:rFonts w:ascii="Microsoft Sans Serif" w:eastAsiaTheme="minorEastAsia" w:hAnsi="Microsoft Sans Serif" w:cs="Microsoft Sans Serif"/>
          <w:kern w:val="2"/>
          <w:sz w:val="24"/>
          <w:szCs w:val="24"/>
          <w14:ligatures w14:val="standardContextual"/>
        </w:rPr>
      </w:pPr>
      <w:hyperlink r:id="rId26" w:history="1">
        <w:r w:rsidR="006D4CFA" w:rsidRPr="006D4CFA">
          <w:rPr>
            <w:rFonts w:ascii="Microsoft Sans Serif" w:eastAsiaTheme="minorEastAsia" w:hAnsi="Microsoft Sans Serif" w:cs="Microsoft Sans Serif"/>
            <w:color w:val="0563C1" w:themeColor="hyperlink"/>
            <w:kern w:val="2"/>
            <w:sz w:val="24"/>
            <w:szCs w:val="24"/>
            <w:u w:val="single"/>
            <w14:ligatures w14:val="standardContextual"/>
          </w:rPr>
          <w:t>cbabst@babstcalland.com</w:t>
        </w:r>
      </w:hyperlink>
      <w:r w:rsidR="006D4CFA" w:rsidRPr="006D4CFA">
        <w:rPr>
          <w:rFonts w:ascii="Microsoft Sans Serif" w:eastAsiaTheme="minorEastAsia" w:hAnsi="Microsoft Sans Serif" w:cs="Microsoft Sans Serif"/>
          <w:kern w:val="2"/>
          <w:sz w:val="24"/>
          <w:szCs w:val="24"/>
          <w14:ligatures w14:val="standardContextual"/>
        </w:rPr>
        <w:br/>
      </w:r>
      <w:hyperlink r:id="rId27" w:history="1">
        <w:r w:rsidR="006D4CFA" w:rsidRPr="006D4CFA">
          <w:rPr>
            <w:rFonts w:ascii="Microsoft Sans Serif" w:eastAsiaTheme="minorEastAsia" w:hAnsi="Microsoft Sans Serif" w:cs="Microsoft Sans Serif"/>
            <w:color w:val="0563C1" w:themeColor="hyperlink"/>
            <w:kern w:val="2"/>
            <w:sz w:val="24"/>
            <w:szCs w:val="24"/>
            <w:u w:val="single"/>
            <w14:ligatures w14:val="standardContextual"/>
          </w:rPr>
          <w:t>rjunker@babstcalland.com</w:t>
        </w:r>
      </w:hyperlink>
      <w:r w:rsidR="006D4CFA" w:rsidRPr="006D4CFA">
        <w:rPr>
          <w:rFonts w:ascii="Microsoft Sans Serif" w:eastAsiaTheme="minorEastAsia" w:hAnsi="Microsoft Sans Serif" w:cs="Microsoft Sans Serif"/>
          <w:kern w:val="2"/>
          <w:sz w:val="24"/>
          <w:szCs w:val="24"/>
          <w14:ligatures w14:val="standardContextual"/>
        </w:rPr>
        <w:br/>
      </w:r>
      <w:hyperlink r:id="rId28" w:history="1">
        <w:r w:rsidR="006D4CFA" w:rsidRPr="006D4CFA">
          <w:rPr>
            <w:rFonts w:ascii="Microsoft Sans Serif" w:eastAsiaTheme="minorEastAsia" w:hAnsi="Microsoft Sans Serif" w:cs="Microsoft Sans Serif"/>
            <w:color w:val="0563C1" w:themeColor="hyperlink"/>
            <w:kern w:val="2"/>
            <w:sz w:val="24"/>
            <w:szCs w:val="24"/>
            <w:u w:val="single"/>
            <w14:ligatures w14:val="standardContextual"/>
          </w:rPr>
          <w:t>lstone@babstcalland.com</w:t>
        </w:r>
      </w:hyperlink>
      <w:r w:rsidR="006D4CFA" w:rsidRPr="006D4CFA">
        <w:rPr>
          <w:rFonts w:ascii="Microsoft Sans Serif" w:eastAsiaTheme="minorEastAsia" w:hAnsi="Microsoft Sans Serif" w:cs="Microsoft Sans Serif"/>
          <w:kern w:val="2"/>
          <w:sz w:val="24"/>
          <w:szCs w:val="24"/>
          <w14:ligatures w14:val="standardContextual"/>
        </w:rPr>
        <w:br/>
      </w:r>
      <w:r w:rsidR="006D4CFA" w:rsidRPr="006D4CFA">
        <w:rPr>
          <w:rFonts w:ascii="Microsoft Sans Serif" w:eastAsiaTheme="minorEastAsia" w:hAnsi="Microsoft Sans Serif" w:cs="Microsoft Sans Serif"/>
          <w:i/>
          <w:iCs/>
          <w:kern w:val="2"/>
          <w:sz w:val="24"/>
          <w:szCs w:val="24"/>
          <w14:ligatures w14:val="standardContextual"/>
        </w:rPr>
        <w:t>(Representing ALCOSAN)</w:t>
      </w:r>
    </w:p>
    <w:p w14:paraId="207C86C6" w14:textId="77777777" w:rsidR="00D450AD" w:rsidRPr="0077392E" w:rsidRDefault="00D450AD" w:rsidP="00A84121">
      <w:pPr>
        <w:ind w:left="-360"/>
        <w:rPr>
          <w:sz w:val="24"/>
          <w:szCs w:val="24"/>
        </w:rPr>
      </w:pPr>
    </w:p>
    <w:sectPr w:rsidR="00D450AD" w:rsidRPr="0077392E" w:rsidSect="0013022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C86C9" w14:textId="77777777" w:rsidR="00946C3D" w:rsidRDefault="00946C3D">
      <w:r>
        <w:separator/>
      </w:r>
    </w:p>
  </w:endnote>
  <w:endnote w:type="continuationSeparator" w:id="0">
    <w:p w14:paraId="207C86CA" w14:textId="77777777" w:rsidR="00946C3D" w:rsidRDefault="0094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86CB" w14:textId="77777777" w:rsidR="00B35770" w:rsidRDefault="00B35770" w:rsidP="00114B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7C86CC" w14:textId="77777777" w:rsidR="00B35770" w:rsidRDefault="00B35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86CD" w14:textId="77777777" w:rsidR="00B35770" w:rsidRDefault="00B35770" w:rsidP="00114B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07C86CE" w14:textId="77777777" w:rsidR="00B35770" w:rsidRDefault="00B357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86CF" w14:textId="77777777" w:rsidR="00B35770" w:rsidRDefault="00B35770" w:rsidP="00114B66">
    <w:pPr>
      <w:pStyle w:val="Footer"/>
      <w:framePr w:wrap="around" w:vAnchor="text" w:hAnchor="margin" w:xAlign="center" w:y="1"/>
      <w:rPr>
        <w:rStyle w:val="PageNumber"/>
      </w:rPr>
    </w:pPr>
  </w:p>
  <w:p w14:paraId="207C86D0" w14:textId="77777777" w:rsidR="00B35770" w:rsidRDefault="00B35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C86C7" w14:textId="77777777" w:rsidR="00946C3D" w:rsidRDefault="00946C3D">
      <w:r>
        <w:separator/>
      </w:r>
    </w:p>
  </w:footnote>
  <w:footnote w:type="continuationSeparator" w:id="0">
    <w:p w14:paraId="207C86C8" w14:textId="77777777" w:rsidR="00946C3D" w:rsidRDefault="00946C3D">
      <w:r>
        <w:continuationSeparator/>
      </w:r>
    </w:p>
  </w:footnote>
  <w:footnote w:id="1">
    <w:p w14:paraId="03D56890" w14:textId="17DFD0EC" w:rsidR="005403CD" w:rsidRDefault="005403CD" w:rsidP="006D4CFA">
      <w:pPr>
        <w:pStyle w:val="FootnoteText"/>
        <w:ind w:firstLine="720"/>
      </w:pPr>
      <w:r>
        <w:rPr>
          <w:rStyle w:val="FootnoteReference"/>
        </w:rPr>
        <w:footnoteRef/>
      </w:r>
      <w:r>
        <w:t xml:space="preserve"> </w:t>
      </w:r>
      <w:r>
        <w:tab/>
      </w:r>
      <w:bookmarkStart w:id="1" w:name="_Hlk514845474"/>
      <w:r w:rsidRPr="005403CD">
        <w:rPr>
          <w:i/>
          <w:iCs/>
        </w:rPr>
        <w:t xml:space="preserve">Pa. Pub. Util. Comm’n </w:t>
      </w:r>
      <w:bookmarkEnd w:id="1"/>
      <w:r w:rsidRPr="005403CD">
        <w:rPr>
          <w:i/>
          <w:iCs/>
        </w:rPr>
        <w:t>v. Peoples Natural Gas Co</w:t>
      </w:r>
      <w:r>
        <w:rPr>
          <w:i/>
          <w:iCs/>
        </w:rPr>
        <w:t>.</w:t>
      </w:r>
      <w:r w:rsidRPr="005403CD">
        <w:t xml:space="preserve">, 62 Pa. PUC 56 (August 26, 1986); and </w:t>
      </w:r>
      <w:r w:rsidRPr="005403CD">
        <w:rPr>
          <w:i/>
          <w:iCs/>
        </w:rPr>
        <w:t>Pa. Pub. Util. Comm’n v. Equitable Gas Co</w:t>
      </w:r>
      <w:r>
        <w:rPr>
          <w:i/>
          <w:iCs/>
        </w:rPr>
        <w:t>.</w:t>
      </w:r>
      <w:r w:rsidRPr="005403CD">
        <w:t>, 61 Pa. PUC 468 (</w:t>
      </w:r>
      <w:smartTag w:uri="urn:schemas-microsoft-com:office:smarttags" w:element="date">
        <w:smartTagPr>
          <w:attr w:name="Month" w:val="5"/>
          <w:attr w:name="Day" w:val="16"/>
          <w:attr w:name="Year" w:val="1986"/>
        </w:smartTagPr>
        <w:r w:rsidRPr="005403CD">
          <w:t>May 16, 1986</w:t>
        </w:r>
      </w:smartTag>
      <w:r w:rsidRPr="005403CD">
        <w:t>).</w:t>
      </w:r>
    </w:p>
    <w:p w14:paraId="6D26CA84" w14:textId="77777777" w:rsidR="005403CD" w:rsidRDefault="005403CD" w:rsidP="006D4CFA">
      <w:pPr>
        <w:pStyle w:val="FootnoteText"/>
        <w:ind w:firstLine="720"/>
      </w:pPr>
    </w:p>
  </w:footnote>
  <w:footnote w:id="2">
    <w:p w14:paraId="2A0DA86C" w14:textId="0A8E20B8" w:rsidR="002D1426" w:rsidRPr="002D1426" w:rsidRDefault="002D1426" w:rsidP="006D4CFA">
      <w:pPr>
        <w:pStyle w:val="FootnoteText"/>
        <w:ind w:firstLine="720"/>
      </w:pPr>
      <w:r w:rsidRPr="002D1426">
        <w:rPr>
          <w:rStyle w:val="FootnoteReference"/>
        </w:rPr>
        <w:footnoteRef/>
      </w:r>
      <w:r w:rsidRPr="002D1426">
        <w:t xml:space="preserve"> </w:t>
      </w:r>
      <w:r w:rsidRPr="002D1426">
        <w:tab/>
      </w:r>
      <w:r w:rsidRPr="002D1426">
        <w:rPr>
          <w:i/>
          <w:iCs/>
        </w:rPr>
        <w:t xml:space="preserve">Id. </w:t>
      </w:r>
      <w:r w:rsidRPr="002D1426">
        <w:t>at 5</w:t>
      </w:r>
      <w:r w:rsidRPr="002D1426">
        <w:rPr>
          <w:i/>
          <w:iCs/>
        </w:rPr>
        <w:t xml:space="preserve"> </w:t>
      </w:r>
      <w:r w:rsidRPr="002D1426">
        <w:t xml:space="preserve">(citing </w:t>
      </w:r>
      <w:r w:rsidRPr="002D1426">
        <w:rPr>
          <w:i/>
          <w:iCs/>
        </w:rPr>
        <w:t>Commonwealth of Pennsylvania v. P</w:t>
      </w:r>
      <w:r w:rsidR="005403CD">
        <w:rPr>
          <w:i/>
          <w:iCs/>
        </w:rPr>
        <w:t xml:space="preserve">a. </w:t>
      </w:r>
      <w:r w:rsidRPr="002D1426">
        <w:rPr>
          <w:i/>
          <w:iCs/>
        </w:rPr>
        <w:t>Pub</w:t>
      </w:r>
      <w:r w:rsidR="005403CD">
        <w:rPr>
          <w:i/>
          <w:iCs/>
        </w:rPr>
        <w:t>.</w:t>
      </w:r>
      <w:r w:rsidRPr="002D1426">
        <w:rPr>
          <w:i/>
          <w:iCs/>
        </w:rPr>
        <w:t xml:space="preserve"> Util</w:t>
      </w:r>
      <w:r w:rsidR="005403CD">
        <w:rPr>
          <w:i/>
          <w:iCs/>
        </w:rPr>
        <w:t>.</w:t>
      </w:r>
      <w:r w:rsidRPr="002D1426">
        <w:rPr>
          <w:i/>
          <w:iCs/>
        </w:rPr>
        <w:t xml:space="preserve"> Comm</w:t>
      </w:r>
      <w:r w:rsidR="005403CD">
        <w:rPr>
          <w:i/>
          <w:iCs/>
        </w:rPr>
        <w:t>’n</w:t>
      </w:r>
      <w:r w:rsidRPr="002D1426">
        <w:t xml:space="preserve">, 17 Pa. Commonwealth Ct. 351, 331 A.2d 598 (1975)); </w:t>
      </w:r>
      <w:r w:rsidRPr="002D1426">
        <w:rPr>
          <w:i/>
          <w:iCs/>
        </w:rPr>
        <w:t>see also Petition of John M. Didonata, Attorney, for Disclosure of Pennsylvania Public Utility Commission Records Relative to Gas Explosion at 1842 Shallcross Avenue, Borough of Folcroft, Delaware County</w:t>
      </w:r>
      <w:r w:rsidRPr="002D1426">
        <w:t>, 73 Pa. PUC 547 (1990) (noting that a Commission staff report is protected by the deliberative process privilege “i.e.., documents prepared by staff to advise the Commission. Here, the Commission staff’s investigative report falls squarely within the deliberative process privilege .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031E"/>
    <w:multiLevelType w:val="hybridMultilevel"/>
    <w:tmpl w:val="8C369F5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C9721B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1800642"/>
    <w:multiLevelType w:val="hybridMultilevel"/>
    <w:tmpl w:val="9E2A3128"/>
    <w:lvl w:ilvl="0" w:tplc="1940342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3C435F"/>
    <w:multiLevelType w:val="singleLevel"/>
    <w:tmpl w:val="0409000F"/>
    <w:lvl w:ilvl="0">
      <w:start w:val="1"/>
      <w:numFmt w:val="decimal"/>
      <w:lvlText w:val="%1."/>
      <w:lvlJc w:val="left"/>
      <w:pPr>
        <w:tabs>
          <w:tab w:val="num" w:pos="720"/>
        </w:tabs>
        <w:ind w:left="720" w:hanging="360"/>
      </w:pPr>
      <w:rPr>
        <w:rFonts w:hint="default"/>
      </w:rPr>
    </w:lvl>
  </w:abstractNum>
  <w:abstractNum w:abstractNumId="4" w15:restartNumberingAfterBreak="0">
    <w:nsid w:val="235A773E"/>
    <w:multiLevelType w:val="hybridMultilevel"/>
    <w:tmpl w:val="9BE8AD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9D64F8"/>
    <w:multiLevelType w:val="hybridMultilevel"/>
    <w:tmpl w:val="9970ED4E"/>
    <w:lvl w:ilvl="0" w:tplc="C4EE85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D6A0896"/>
    <w:multiLevelType w:val="hybridMultilevel"/>
    <w:tmpl w:val="2CFA029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3F561772"/>
    <w:multiLevelType w:val="singleLevel"/>
    <w:tmpl w:val="B546B2C2"/>
    <w:lvl w:ilvl="0">
      <w:start w:val="1"/>
      <w:numFmt w:val="decimal"/>
      <w:pStyle w:val="NumberList2"/>
      <w:lvlText w:val="%1."/>
      <w:lvlJc w:val="left"/>
      <w:pPr>
        <w:ind w:left="360" w:hanging="360"/>
      </w:pPr>
    </w:lvl>
  </w:abstractNum>
  <w:abstractNum w:abstractNumId="8" w15:restartNumberingAfterBreak="0">
    <w:nsid w:val="43420E99"/>
    <w:multiLevelType w:val="hybridMultilevel"/>
    <w:tmpl w:val="4D7CF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10" w15:restartNumberingAfterBreak="0">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11" w15:restartNumberingAfterBreak="0">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595271C0"/>
    <w:multiLevelType w:val="singleLevel"/>
    <w:tmpl w:val="0409000F"/>
    <w:lvl w:ilvl="0">
      <w:start w:val="3"/>
      <w:numFmt w:val="decimal"/>
      <w:lvlText w:val="%1."/>
      <w:lvlJc w:val="left"/>
      <w:pPr>
        <w:tabs>
          <w:tab w:val="num" w:pos="360"/>
        </w:tabs>
        <w:ind w:left="360" w:hanging="360"/>
      </w:pPr>
      <w:rPr>
        <w:rFonts w:hint="default"/>
      </w:rPr>
    </w:lvl>
  </w:abstractNum>
  <w:abstractNum w:abstractNumId="13" w15:restartNumberingAfterBreak="0">
    <w:nsid w:val="5B144BE7"/>
    <w:multiLevelType w:val="hybridMultilevel"/>
    <w:tmpl w:val="3CF6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67DE6E40"/>
    <w:multiLevelType w:val="hybridMultilevel"/>
    <w:tmpl w:val="6706E00E"/>
    <w:lvl w:ilvl="0" w:tplc="2F0C39C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F9F052F"/>
    <w:multiLevelType w:val="singleLevel"/>
    <w:tmpl w:val="18247DE6"/>
    <w:lvl w:ilvl="0">
      <w:start w:val="1"/>
      <w:numFmt w:val="lowerLetter"/>
      <w:pStyle w:val="Lettera"/>
      <w:lvlText w:val="%1)"/>
      <w:lvlJc w:val="left"/>
      <w:pPr>
        <w:ind w:left="360" w:hanging="360"/>
      </w:pPr>
    </w:lvl>
  </w:abstractNum>
  <w:abstractNum w:abstractNumId="16" w15:restartNumberingAfterBreak="0">
    <w:nsid w:val="7AC52F66"/>
    <w:multiLevelType w:val="hybridMultilevel"/>
    <w:tmpl w:val="20CE00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157F5B"/>
    <w:multiLevelType w:val="multilevel"/>
    <w:tmpl w:val="6B4E0ED2"/>
    <w:name w:val=" Firm Standard-Scheme 1"/>
    <w:lvl w:ilvl="0">
      <w:start w:val="1"/>
      <w:numFmt w:val="decimal"/>
      <w:pStyle w:val="Heading1"/>
      <w:lvlText w:val="%1."/>
      <w:lvlJc w:val="left"/>
      <w:pPr>
        <w:ind w:left="720" w:hanging="720"/>
      </w:pPr>
      <w:rPr>
        <w:rFonts w:hint="default"/>
        <w:caps w:val="0"/>
        <w:color w:val="010000"/>
        <w:u w:val="none"/>
      </w:rPr>
    </w:lvl>
    <w:lvl w:ilvl="1">
      <w:start w:val="1"/>
      <w:numFmt w:val="upperLetter"/>
      <w:pStyle w:val="Heading2"/>
      <w:lvlText w:val="%2."/>
      <w:lvlJc w:val="left"/>
      <w:pPr>
        <w:ind w:left="1440" w:hanging="720"/>
      </w:pPr>
      <w:rPr>
        <w:rFonts w:hint="default"/>
        <w:caps w:val="0"/>
        <w:color w:val="010000"/>
        <w:u w:val="none"/>
      </w:rPr>
    </w:lvl>
    <w:lvl w:ilvl="2">
      <w:start w:val="1"/>
      <w:numFmt w:val="decimal"/>
      <w:pStyle w:val="Heading3"/>
      <w:lvlText w:val="%3."/>
      <w:lvlJc w:val="left"/>
      <w:pPr>
        <w:ind w:left="2160" w:hanging="720"/>
      </w:pPr>
      <w:rPr>
        <w:rFonts w:hint="default"/>
        <w:caps w:val="0"/>
        <w:color w:val="010000"/>
        <w:u w:val="none"/>
      </w:rPr>
    </w:lvl>
    <w:lvl w:ilvl="3">
      <w:start w:val="1"/>
      <w:numFmt w:val="lowerLetter"/>
      <w:pStyle w:val="Heading4"/>
      <w:lvlText w:val="%4)"/>
      <w:lvlJc w:val="left"/>
      <w:pPr>
        <w:ind w:left="2880" w:hanging="720"/>
      </w:pPr>
      <w:rPr>
        <w:rFonts w:hint="default"/>
        <w:caps w:val="0"/>
        <w:color w:val="010000"/>
        <w:u w:val="none"/>
      </w:rPr>
    </w:lvl>
    <w:lvl w:ilvl="4">
      <w:start w:val="1"/>
      <w:numFmt w:val="decimal"/>
      <w:pStyle w:val="Heading5"/>
      <w:lvlText w:val="(%5)"/>
      <w:lvlJc w:val="left"/>
      <w:pPr>
        <w:ind w:left="3600" w:hanging="720"/>
      </w:pPr>
      <w:rPr>
        <w:rFonts w:hint="default"/>
        <w:caps w:val="0"/>
        <w:color w:val="010000"/>
        <w:u w:val="none"/>
      </w:rPr>
    </w:lvl>
    <w:lvl w:ilvl="5">
      <w:start w:val="1"/>
      <w:numFmt w:val="lowerLetter"/>
      <w:pStyle w:val="Heading6"/>
      <w:lvlText w:val="(%6)"/>
      <w:lvlJc w:val="left"/>
      <w:pPr>
        <w:ind w:left="4320" w:hanging="720"/>
      </w:pPr>
      <w:rPr>
        <w:rFonts w:hint="default"/>
        <w:caps w:val="0"/>
        <w:color w:val="010000"/>
        <w:u w:val="none"/>
      </w:rPr>
    </w:lvl>
    <w:lvl w:ilvl="6">
      <w:start w:val="1"/>
      <w:numFmt w:val="lowerRoman"/>
      <w:pStyle w:val="Heading7"/>
      <w:lvlText w:val="(%7)"/>
      <w:lvlJc w:val="left"/>
      <w:pPr>
        <w:ind w:left="5040" w:hanging="720"/>
      </w:pPr>
      <w:rPr>
        <w:rFonts w:hint="default"/>
        <w:caps w:val="0"/>
        <w:color w:val="010000"/>
        <w:u w:val="none"/>
      </w:rPr>
    </w:lvl>
    <w:lvl w:ilvl="7">
      <w:start w:val="1"/>
      <w:numFmt w:val="lowerLetter"/>
      <w:pStyle w:val="Heading8"/>
      <w:lvlText w:val="(%8)"/>
      <w:lvlJc w:val="left"/>
      <w:pPr>
        <w:ind w:left="5760" w:hanging="720"/>
      </w:pPr>
      <w:rPr>
        <w:rFonts w:hint="default"/>
        <w:caps w:val="0"/>
        <w:color w:val="010000"/>
        <w:u w:val="none"/>
      </w:rPr>
    </w:lvl>
    <w:lvl w:ilvl="8">
      <w:start w:val="1"/>
      <w:numFmt w:val="lowerRoman"/>
      <w:pStyle w:val="Heading9"/>
      <w:lvlText w:val="%9)"/>
      <w:lvlJc w:val="left"/>
      <w:pPr>
        <w:ind w:left="6480" w:hanging="720"/>
      </w:pPr>
      <w:rPr>
        <w:rFonts w:hint="default"/>
        <w:caps w:val="0"/>
        <w:color w:val="010000"/>
        <w:u w:val="none"/>
      </w:rPr>
    </w:lvl>
  </w:abstractNum>
  <w:abstractNum w:abstractNumId="18" w15:restartNumberingAfterBreak="0">
    <w:nsid w:val="7DEA4656"/>
    <w:multiLevelType w:val="hybridMultilevel"/>
    <w:tmpl w:val="2FFC2FC4"/>
    <w:lvl w:ilvl="0" w:tplc="4120B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8064445">
    <w:abstractNumId w:val="1"/>
  </w:num>
  <w:num w:numId="2" w16cid:durableId="1042899159">
    <w:abstractNumId w:val="12"/>
  </w:num>
  <w:num w:numId="3" w16cid:durableId="1448543687">
    <w:abstractNumId w:val="10"/>
  </w:num>
  <w:num w:numId="4" w16cid:durableId="1102920673">
    <w:abstractNumId w:val="9"/>
  </w:num>
  <w:num w:numId="5" w16cid:durableId="1462726583">
    <w:abstractNumId w:val="3"/>
  </w:num>
  <w:num w:numId="6" w16cid:durableId="1013141591">
    <w:abstractNumId w:val="13"/>
  </w:num>
  <w:num w:numId="7" w16cid:durableId="716205592">
    <w:abstractNumId w:val="14"/>
  </w:num>
  <w:num w:numId="8" w16cid:durableId="1195802230">
    <w:abstractNumId w:val="6"/>
  </w:num>
  <w:num w:numId="9" w16cid:durableId="1497375978">
    <w:abstractNumId w:val="11"/>
  </w:num>
  <w:num w:numId="10" w16cid:durableId="1685814904">
    <w:abstractNumId w:val="0"/>
  </w:num>
  <w:num w:numId="11" w16cid:durableId="1604023911">
    <w:abstractNumId w:val="2"/>
  </w:num>
  <w:num w:numId="12" w16cid:durableId="597372457">
    <w:abstractNumId w:val="5"/>
  </w:num>
  <w:num w:numId="13" w16cid:durableId="1043670539">
    <w:abstractNumId w:val="7"/>
  </w:num>
  <w:num w:numId="14" w16cid:durableId="906765312">
    <w:abstractNumId w:val="18"/>
  </w:num>
  <w:num w:numId="15" w16cid:durableId="1598634265">
    <w:abstractNumId w:val="15"/>
    <w:lvlOverride w:ilvl="0">
      <w:startOverride w:val="1"/>
    </w:lvlOverride>
  </w:num>
  <w:num w:numId="16" w16cid:durableId="1526870676">
    <w:abstractNumId w:val="4"/>
  </w:num>
  <w:num w:numId="17" w16cid:durableId="1961492592">
    <w:abstractNumId w:val="8"/>
  </w:num>
  <w:num w:numId="18" w16cid:durableId="996154758">
    <w:abstractNumId w:val="16"/>
  </w:num>
  <w:num w:numId="19" w16cid:durableId="4838547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2A5"/>
    <w:rsid w:val="00000BE5"/>
    <w:rsid w:val="000109D6"/>
    <w:rsid w:val="000118CE"/>
    <w:rsid w:val="00013F6C"/>
    <w:rsid w:val="00016860"/>
    <w:rsid w:val="00020406"/>
    <w:rsid w:val="00026D3F"/>
    <w:rsid w:val="000369E7"/>
    <w:rsid w:val="000418B4"/>
    <w:rsid w:val="00042600"/>
    <w:rsid w:val="0005163E"/>
    <w:rsid w:val="00052699"/>
    <w:rsid w:val="000567AC"/>
    <w:rsid w:val="00086435"/>
    <w:rsid w:val="0009372D"/>
    <w:rsid w:val="00094EFA"/>
    <w:rsid w:val="00095381"/>
    <w:rsid w:val="00095EBA"/>
    <w:rsid w:val="000A443C"/>
    <w:rsid w:val="000A52A9"/>
    <w:rsid w:val="000B0412"/>
    <w:rsid w:val="000B276B"/>
    <w:rsid w:val="000B47DA"/>
    <w:rsid w:val="000B6967"/>
    <w:rsid w:val="000E6DA0"/>
    <w:rsid w:val="00106127"/>
    <w:rsid w:val="00106209"/>
    <w:rsid w:val="00114B66"/>
    <w:rsid w:val="0012448C"/>
    <w:rsid w:val="00154556"/>
    <w:rsid w:val="00162B76"/>
    <w:rsid w:val="00164AC1"/>
    <w:rsid w:val="00176B72"/>
    <w:rsid w:val="0018764C"/>
    <w:rsid w:val="001B0EDA"/>
    <w:rsid w:val="001B36FF"/>
    <w:rsid w:val="001B4837"/>
    <w:rsid w:val="001C0335"/>
    <w:rsid w:val="001C2241"/>
    <w:rsid w:val="001C23A4"/>
    <w:rsid w:val="001C4133"/>
    <w:rsid w:val="001D42AB"/>
    <w:rsid w:val="001D722F"/>
    <w:rsid w:val="001E5B82"/>
    <w:rsid w:val="00202E78"/>
    <w:rsid w:val="0022339C"/>
    <w:rsid w:val="00231190"/>
    <w:rsid w:val="00241675"/>
    <w:rsid w:val="00256FBC"/>
    <w:rsid w:val="002767D2"/>
    <w:rsid w:val="00281DD0"/>
    <w:rsid w:val="00290AB0"/>
    <w:rsid w:val="00292335"/>
    <w:rsid w:val="00295D11"/>
    <w:rsid w:val="002A5E32"/>
    <w:rsid w:val="002B24A0"/>
    <w:rsid w:val="002C6080"/>
    <w:rsid w:val="002D0901"/>
    <w:rsid w:val="002D1426"/>
    <w:rsid w:val="002E28DF"/>
    <w:rsid w:val="002E4F28"/>
    <w:rsid w:val="002E6D5A"/>
    <w:rsid w:val="002F1811"/>
    <w:rsid w:val="002F3C56"/>
    <w:rsid w:val="00300553"/>
    <w:rsid w:val="00302A4A"/>
    <w:rsid w:val="00310557"/>
    <w:rsid w:val="00312972"/>
    <w:rsid w:val="00343753"/>
    <w:rsid w:val="00354C4C"/>
    <w:rsid w:val="0035578D"/>
    <w:rsid w:val="0036054F"/>
    <w:rsid w:val="00360ED2"/>
    <w:rsid w:val="00380593"/>
    <w:rsid w:val="003865B8"/>
    <w:rsid w:val="00386FBE"/>
    <w:rsid w:val="003871D0"/>
    <w:rsid w:val="00395BC4"/>
    <w:rsid w:val="003C22EE"/>
    <w:rsid w:val="003C3DC9"/>
    <w:rsid w:val="003D191D"/>
    <w:rsid w:val="003D3A94"/>
    <w:rsid w:val="003D72B3"/>
    <w:rsid w:val="003E02C3"/>
    <w:rsid w:val="003F0129"/>
    <w:rsid w:val="003F0684"/>
    <w:rsid w:val="00400EA2"/>
    <w:rsid w:val="0041112D"/>
    <w:rsid w:val="00413FEE"/>
    <w:rsid w:val="00422CB0"/>
    <w:rsid w:val="00424D69"/>
    <w:rsid w:val="004255BA"/>
    <w:rsid w:val="0042732B"/>
    <w:rsid w:val="004358F8"/>
    <w:rsid w:val="00441F5F"/>
    <w:rsid w:val="00461B54"/>
    <w:rsid w:val="0047285B"/>
    <w:rsid w:val="004A2DA1"/>
    <w:rsid w:val="004C410E"/>
    <w:rsid w:val="004D1547"/>
    <w:rsid w:val="004D78BB"/>
    <w:rsid w:val="004D7A5D"/>
    <w:rsid w:val="004F3169"/>
    <w:rsid w:val="00505D80"/>
    <w:rsid w:val="00510455"/>
    <w:rsid w:val="00513445"/>
    <w:rsid w:val="0051619F"/>
    <w:rsid w:val="00527A4B"/>
    <w:rsid w:val="00530B40"/>
    <w:rsid w:val="00533BA2"/>
    <w:rsid w:val="00535803"/>
    <w:rsid w:val="005403CD"/>
    <w:rsid w:val="005410FA"/>
    <w:rsid w:val="005457DC"/>
    <w:rsid w:val="00551338"/>
    <w:rsid w:val="00554D3D"/>
    <w:rsid w:val="00563EF8"/>
    <w:rsid w:val="005705AB"/>
    <w:rsid w:val="00573340"/>
    <w:rsid w:val="0058151F"/>
    <w:rsid w:val="00587D3D"/>
    <w:rsid w:val="00591BE2"/>
    <w:rsid w:val="0059450D"/>
    <w:rsid w:val="00597150"/>
    <w:rsid w:val="005C521B"/>
    <w:rsid w:val="005D39AE"/>
    <w:rsid w:val="005D48D4"/>
    <w:rsid w:val="005E2FD1"/>
    <w:rsid w:val="005E35C6"/>
    <w:rsid w:val="005E3E4F"/>
    <w:rsid w:val="005E4029"/>
    <w:rsid w:val="005E736E"/>
    <w:rsid w:val="005E7C7A"/>
    <w:rsid w:val="005F02E7"/>
    <w:rsid w:val="005F151A"/>
    <w:rsid w:val="006006D8"/>
    <w:rsid w:val="006009FB"/>
    <w:rsid w:val="00616410"/>
    <w:rsid w:val="00617530"/>
    <w:rsid w:val="00622C75"/>
    <w:rsid w:val="00625250"/>
    <w:rsid w:val="00626B41"/>
    <w:rsid w:val="00635EF4"/>
    <w:rsid w:val="00653538"/>
    <w:rsid w:val="00654577"/>
    <w:rsid w:val="00682DD2"/>
    <w:rsid w:val="006A55A2"/>
    <w:rsid w:val="006D25A7"/>
    <w:rsid w:val="006D4CFA"/>
    <w:rsid w:val="006E5F5D"/>
    <w:rsid w:val="006F1B4C"/>
    <w:rsid w:val="00700F9F"/>
    <w:rsid w:val="00707D24"/>
    <w:rsid w:val="0071531C"/>
    <w:rsid w:val="0073760E"/>
    <w:rsid w:val="00740164"/>
    <w:rsid w:val="007441C0"/>
    <w:rsid w:val="00751E38"/>
    <w:rsid w:val="0076181B"/>
    <w:rsid w:val="0077392E"/>
    <w:rsid w:val="007812A5"/>
    <w:rsid w:val="00781641"/>
    <w:rsid w:val="00787C70"/>
    <w:rsid w:val="00790B7D"/>
    <w:rsid w:val="007955B7"/>
    <w:rsid w:val="00797B9E"/>
    <w:rsid w:val="007B0C4C"/>
    <w:rsid w:val="007B1407"/>
    <w:rsid w:val="007B678C"/>
    <w:rsid w:val="007D2642"/>
    <w:rsid w:val="007D7945"/>
    <w:rsid w:val="007E2AF3"/>
    <w:rsid w:val="007E463B"/>
    <w:rsid w:val="007E64BD"/>
    <w:rsid w:val="00800E12"/>
    <w:rsid w:val="00805DC0"/>
    <w:rsid w:val="00814152"/>
    <w:rsid w:val="00822EB9"/>
    <w:rsid w:val="00832D96"/>
    <w:rsid w:val="008433DC"/>
    <w:rsid w:val="00851985"/>
    <w:rsid w:val="00861F72"/>
    <w:rsid w:val="008644D8"/>
    <w:rsid w:val="00864835"/>
    <w:rsid w:val="00884E1F"/>
    <w:rsid w:val="0089299D"/>
    <w:rsid w:val="008B2145"/>
    <w:rsid w:val="008B6F48"/>
    <w:rsid w:val="008C12D5"/>
    <w:rsid w:val="008D4270"/>
    <w:rsid w:val="008D5BFF"/>
    <w:rsid w:val="008D5CC8"/>
    <w:rsid w:val="008D7EA0"/>
    <w:rsid w:val="00925949"/>
    <w:rsid w:val="00934F78"/>
    <w:rsid w:val="00936513"/>
    <w:rsid w:val="00936703"/>
    <w:rsid w:val="00946C3D"/>
    <w:rsid w:val="00971A71"/>
    <w:rsid w:val="009861EE"/>
    <w:rsid w:val="009A0590"/>
    <w:rsid w:val="009A3B1C"/>
    <w:rsid w:val="009B6027"/>
    <w:rsid w:val="009B637B"/>
    <w:rsid w:val="009B6A3E"/>
    <w:rsid w:val="009C03E0"/>
    <w:rsid w:val="009C555B"/>
    <w:rsid w:val="009D04BD"/>
    <w:rsid w:val="009D2383"/>
    <w:rsid w:val="009E1C6D"/>
    <w:rsid w:val="009F26CB"/>
    <w:rsid w:val="00A01076"/>
    <w:rsid w:val="00A075B9"/>
    <w:rsid w:val="00A10AD3"/>
    <w:rsid w:val="00A24827"/>
    <w:rsid w:val="00A379C4"/>
    <w:rsid w:val="00A37E58"/>
    <w:rsid w:val="00A4180A"/>
    <w:rsid w:val="00A55835"/>
    <w:rsid w:val="00A572C7"/>
    <w:rsid w:val="00A71A58"/>
    <w:rsid w:val="00A84121"/>
    <w:rsid w:val="00A95B6C"/>
    <w:rsid w:val="00AB075B"/>
    <w:rsid w:val="00AB629C"/>
    <w:rsid w:val="00AC76A7"/>
    <w:rsid w:val="00AD27CC"/>
    <w:rsid w:val="00AE0D85"/>
    <w:rsid w:val="00AF1281"/>
    <w:rsid w:val="00B04C50"/>
    <w:rsid w:val="00B134C1"/>
    <w:rsid w:val="00B179C7"/>
    <w:rsid w:val="00B25D92"/>
    <w:rsid w:val="00B35770"/>
    <w:rsid w:val="00B44961"/>
    <w:rsid w:val="00B54471"/>
    <w:rsid w:val="00B60C0D"/>
    <w:rsid w:val="00B674D1"/>
    <w:rsid w:val="00B70134"/>
    <w:rsid w:val="00B74DAB"/>
    <w:rsid w:val="00B91274"/>
    <w:rsid w:val="00BA2805"/>
    <w:rsid w:val="00BA6BA0"/>
    <w:rsid w:val="00BB5A19"/>
    <w:rsid w:val="00BB5ED7"/>
    <w:rsid w:val="00BC3075"/>
    <w:rsid w:val="00BD5440"/>
    <w:rsid w:val="00BD60DD"/>
    <w:rsid w:val="00BF2642"/>
    <w:rsid w:val="00C03C8C"/>
    <w:rsid w:val="00C0442D"/>
    <w:rsid w:val="00C06634"/>
    <w:rsid w:val="00C15461"/>
    <w:rsid w:val="00C31467"/>
    <w:rsid w:val="00C41E1D"/>
    <w:rsid w:val="00C50372"/>
    <w:rsid w:val="00C53AB9"/>
    <w:rsid w:val="00C66C6C"/>
    <w:rsid w:val="00C74444"/>
    <w:rsid w:val="00C8417D"/>
    <w:rsid w:val="00C92B1D"/>
    <w:rsid w:val="00C97353"/>
    <w:rsid w:val="00CA360C"/>
    <w:rsid w:val="00CA7DED"/>
    <w:rsid w:val="00CC12C2"/>
    <w:rsid w:val="00CC2203"/>
    <w:rsid w:val="00CC4192"/>
    <w:rsid w:val="00CD2CA0"/>
    <w:rsid w:val="00CF475E"/>
    <w:rsid w:val="00D03506"/>
    <w:rsid w:val="00D049F7"/>
    <w:rsid w:val="00D14483"/>
    <w:rsid w:val="00D16324"/>
    <w:rsid w:val="00D16530"/>
    <w:rsid w:val="00D16ADB"/>
    <w:rsid w:val="00D21C59"/>
    <w:rsid w:val="00D230CA"/>
    <w:rsid w:val="00D236F9"/>
    <w:rsid w:val="00D25216"/>
    <w:rsid w:val="00D34208"/>
    <w:rsid w:val="00D35F28"/>
    <w:rsid w:val="00D450AD"/>
    <w:rsid w:val="00D46893"/>
    <w:rsid w:val="00D518F2"/>
    <w:rsid w:val="00D53B14"/>
    <w:rsid w:val="00D674D1"/>
    <w:rsid w:val="00D70AC0"/>
    <w:rsid w:val="00D711DE"/>
    <w:rsid w:val="00D7795D"/>
    <w:rsid w:val="00D942E8"/>
    <w:rsid w:val="00D94351"/>
    <w:rsid w:val="00DC2E88"/>
    <w:rsid w:val="00DC4251"/>
    <w:rsid w:val="00DD1F04"/>
    <w:rsid w:val="00DD63F2"/>
    <w:rsid w:val="00DE1253"/>
    <w:rsid w:val="00DF76F2"/>
    <w:rsid w:val="00E0053F"/>
    <w:rsid w:val="00E03F81"/>
    <w:rsid w:val="00E044E8"/>
    <w:rsid w:val="00E12948"/>
    <w:rsid w:val="00E13787"/>
    <w:rsid w:val="00E14A6A"/>
    <w:rsid w:val="00E202EE"/>
    <w:rsid w:val="00E30BFA"/>
    <w:rsid w:val="00E32BBE"/>
    <w:rsid w:val="00E37C68"/>
    <w:rsid w:val="00E40B0B"/>
    <w:rsid w:val="00E40B7F"/>
    <w:rsid w:val="00E40BF6"/>
    <w:rsid w:val="00E52474"/>
    <w:rsid w:val="00E539D9"/>
    <w:rsid w:val="00E56260"/>
    <w:rsid w:val="00E72133"/>
    <w:rsid w:val="00E72F3D"/>
    <w:rsid w:val="00E84928"/>
    <w:rsid w:val="00EB7A15"/>
    <w:rsid w:val="00EC0292"/>
    <w:rsid w:val="00EC27D1"/>
    <w:rsid w:val="00ED2109"/>
    <w:rsid w:val="00EE261E"/>
    <w:rsid w:val="00EE689C"/>
    <w:rsid w:val="00EE7AA9"/>
    <w:rsid w:val="00EF05C1"/>
    <w:rsid w:val="00F13E6F"/>
    <w:rsid w:val="00F33848"/>
    <w:rsid w:val="00F33E27"/>
    <w:rsid w:val="00F35898"/>
    <w:rsid w:val="00F41BAE"/>
    <w:rsid w:val="00F45446"/>
    <w:rsid w:val="00F536EC"/>
    <w:rsid w:val="00F62B4C"/>
    <w:rsid w:val="00F75D28"/>
    <w:rsid w:val="00F87EF1"/>
    <w:rsid w:val="00FA771D"/>
    <w:rsid w:val="00FC257A"/>
    <w:rsid w:val="00FC751B"/>
    <w:rsid w:val="00FD0477"/>
    <w:rsid w:val="00FD133B"/>
    <w:rsid w:val="00FF271C"/>
    <w:rsid w:val="00FF5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07C853D"/>
  <w15:chartTrackingRefBased/>
  <w15:docId w15:val="{4D52AAFC-E057-4DB5-BA47-6DD37999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nhideWhenUsed/>
    <w:qFormat/>
    <w:rsid w:val="00295D11"/>
    <w:pPr>
      <w:numPr>
        <w:numId w:val="19"/>
      </w:numPr>
      <w:spacing w:after="240"/>
      <w:outlineLvl w:val="0"/>
    </w:pPr>
    <w:rPr>
      <w:snapToGrid w:val="0"/>
      <w:kern w:val="28"/>
      <w:sz w:val="24"/>
    </w:rPr>
  </w:style>
  <w:style w:type="paragraph" w:styleId="Heading2">
    <w:name w:val="heading 2"/>
    <w:basedOn w:val="Normal"/>
    <w:next w:val="BodyText"/>
    <w:link w:val="Heading2Char"/>
    <w:unhideWhenUsed/>
    <w:qFormat/>
    <w:rsid w:val="00295D11"/>
    <w:pPr>
      <w:numPr>
        <w:ilvl w:val="1"/>
        <w:numId w:val="19"/>
      </w:numPr>
      <w:spacing w:after="240"/>
      <w:outlineLvl w:val="1"/>
    </w:pPr>
    <w:rPr>
      <w:snapToGrid w:val="0"/>
      <w:sz w:val="24"/>
    </w:rPr>
  </w:style>
  <w:style w:type="paragraph" w:styleId="Heading3">
    <w:name w:val="heading 3"/>
    <w:basedOn w:val="Normal"/>
    <w:next w:val="BodyText"/>
    <w:link w:val="Heading3Char"/>
    <w:unhideWhenUsed/>
    <w:qFormat/>
    <w:rsid w:val="00295D11"/>
    <w:pPr>
      <w:numPr>
        <w:ilvl w:val="2"/>
        <w:numId w:val="19"/>
      </w:numPr>
      <w:spacing w:after="240"/>
      <w:outlineLvl w:val="2"/>
    </w:pPr>
    <w:rPr>
      <w:snapToGrid w:val="0"/>
      <w:sz w:val="24"/>
    </w:rPr>
  </w:style>
  <w:style w:type="paragraph" w:styleId="Heading4">
    <w:name w:val="heading 4"/>
    <w:basedOn w:val="Normal"/>
    <w:next w:val="BodyText"/>
    <w:link w:val="Heading4Char"/>
    <w:unhideWhenUsed/>
    <w:qFormat/>
    <w:rsid w:val="00295D11"/>
    <w:pPr>
      <w:numPr>
        <w:ilvl w:val="3"/>
        <w:numId w:val="19"/>
      </w:numPr>
      <w:spacing w:after="240"/>
      <w:outlineLvl w:val="3"/>
    </w:pPr>
    <w:rPr>
      <w:snapToGrid w:val="0"/>
      <w:sz w:val="24"/>
    </w:rPr>
  </w:style>
  <w:style w:type="paragraph" w:styleId="Heading5">
    <w:name w:val="heading 5"/>
    <w:basedOn w:val="Normal"/>
    <w:next w:val="BodyText"/>
    <w:link w:val="Heading5Char"/>
    <w:unhideWhenUsed/>
    <w:qFormat/>
    <w:rsid w:val="00295D11"/>
    <w:pPr>
      <w:numPr>
        <w:ilvl w:val="4"/>
        <w:numId w:val="19"/>
      </w:numPr>
      <w:spacing w:after="240"/>
      <w:outlineLvl w:val="4"/>
    </w:pPr>
    <w:rPr>
      <w:snapToGrid w:val="0"/>
      <w:sz w:val="24"/>
    </w:rPr>
  </w:style>
  <w:style w:type="paragraph" w:styleId="Heading6">
    <w:name w:val="heading 6"/>
    <w:basedOn w:val="Normal"/>
    <w:next w:val="BodyText"/>
    <w:link w:val="Heading6Char"/>
    <w:unhideWhenUsed/>
    <w:qFormat/>
    <w:rsid w:val="00295D11"/>
    <w:pPr>
      <w:numPr>
        <w:ilvl w:val="5"/>
        <w:numId w:val="19"/>
      </w:numPr>
      <w:spacing w:after="240"/>
      <w:outlineLvl w:val="5"/>
    </w:pPr>
    <w:rPr>
      <w:snapToGrid w:val="0"/>
      <w:sz w:val="24"/>
    </w:rPr>
  </w:style>
  <w:style w:type="paragraph" w:styleId="Heading7">
    <w:name w:val="heading 7"/>
    <w:basedOn w:val="Normal"/>
    <w:next w:val="BodyText"/>
    <w:link w:val="Heading7Char"/>
    <w:unhideWhenUsed/>
    <w:qFormat/>
    <w:rsid w:val="00295D11"/>
    <w:pPr>
      <w:numPr>
        <w:ilvl w:val="6"/>
        <w:numId w:val="19"/>
      </w:numPr>
      <w:spacing w:after="240"/>
      <w:outlineLvl w:val="6"/>
    </w:pPr>
    <w:rPr>
      <w:snapToGrid w:val="0"/>
      <w:sz w:val="24"/>
    </w:rPr>
  </w:style>
  <w:style w:type="paragraph" w:styleId="Heading8">
    <w:name w:val="heading 8"/>
    <w:basedOn w:val="Normal"/>
    <w:next w:val="BodyText"/>
    <w:link w:val="Heading8Char"/>
    <w:unhideWhenUsed/>
    <w:qFormat/>
    <w:rsid w:val="00295D11"/>
    <w:pPr>
      <w:numPr>
        <w:ilvl w:val="7"/>
        <w:numId w:val="19"/>
      </w:numPr>
      <w:spacing w:after="240"/>
      <w:outlineLvl w:val="7"/>
    </w:pPr>
    <w:rPr>
      <w:snapToGrid w:val="0"/>
      <w:sz w:val="24"/>
    </w:rPr>
  </w:style>
  <w:style w:type="paragraph" w:styleId="Heading9">
    <w:name w:val="heading 9"/>
    <w:basedOn w:val="Normal"/>
    <w:next w:val="BodyText"/>
    <w:link w:val="Heading9Char"/>
    <w:unhideWhenUsed/>
    <w:qFormat/>
    <w:rsid w:val="00295D11"/>
    <w:pPr>
      <w:numPr>
        <w:ilvl w:val="8"/>
        <w:numId w:val="19"/>
      </w:numPr>
      <w:spacing w:after="240"/>
      <w:outlineLvl w:val="8"/>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Title">
    <w:name w:val="Title"/>
    <w:basedOn w:val="Normal"/>
    <w:qFormat/>
    <w:pPr>
      <w:tabs>
        <w:tab w:val="left" w:pos="360"/>
      </w:tabs>
      <w:spacing w:line="233" w:lineRule="auto"/>
      <w:jc w:val="center"/>
    </w:pPr>
    <w:rPr>
      <w:b/>
      <w:sz w:val="24"/>
    </w:rPr>
  </w:style>
  <w:style w:type="paragraph" w:styleId="FootnoteText">
    <w:name w:val="footnote text"/>
    <w:aliases w:val="Footnote Text Char Char,Footnote Text Char Char Char Char Char,Footnote Text Char Char Char1 Char,Footnote Text Char Char1,Footnote Text Char1,Footnote Text Char1 Char Char Char,Footnote Text Char1 Char1 Char,Footnote text,fn,fn Char Char"/>
    <w:basedOn w:val="Normal"/>
    <w:link w:val="FootnoteTextChar"/>
    <w:rsid w:val="00C50372"/>
  </w:style>
  <w:style w:type="character" w:styleId="FootnoteReference">
    <w:name w:val="footnote reference"/>
    <w:aliases w:val="o,fr,Style 42"/>
    <w:uiPriority w:val="99"/>
    <w:rsid w:val="00C50372"/>
    <w:rPr>
      <w:vertAlign w:val="superscript"/>
    </w:rPr>
  </w:style>
  <w:style w:type="paragraph" w:styleId="ListParagraph">
    <w:name w:val="List Paragraph"/>
    <w:basedOn w:val="Normal"/>
    <w:uiPriority w:val="34"/>
    <w:qFormat/>
    <w:rsid w:val="004C410E"/>
    <w:pPr>
      <w:ind w:left="720"/>
    </w:pPr>
  </w:style>
  <w:style w:type="paragraph" w:styleId="Header">
    <w:name w:val="header"/>
    <w:basedOn w:val="Normal"/>
    <w:link w:val="HeaderChar"/>
    <w:rsid w:val="00554D3D"/>
    <w:pPr>
      <w:tabs>
        <w:tab w:val="center" w:pos="4680"/>
        <w:tab w:val="right" w:pos="9360"/>
      </w:tabs>
    </w:pPr>
  </w:style>
  <w:style w:type="character" w:customStyle="1" w:styleId="HeaderChar">
    <w:name w:val="Header Char"/>
    <w:basedOn w:val="DefaultParagraphFont"/>
    <w:link w:val="Header"/>
    <w:rsid w:val="00554D3D"/>
  </w:style>
  <w:style w:type="character" w:customStyle="1" w:styleId="BulletChar">
    <w:name w:val="Bullet Char"/>
    <w:basedOn w:val="DefaultParagraphFont"/>
    <w:link w:val="Bullet"/>
    <w:locked/>
    <w:rsid w:val="00231190"/>
    <w:rPr>
      <w:sz w:val="24"/>
    </w:rPr>
  </w:style>
  <w:style w:type="paragraph" w:customStyle="1" w:styleId="Bullet">
    <w:name w:val="Bullet"/>
    <w:basedOn w:val="Normal"/>
    <w:link w:val="BulletChar"/>
    <w:rsid w:val="00231190"/>
    <w:pPr>
      <w:spacing w:after="120"/>
    </w:pPr>
    <w:rPr>
      <w:sz w:val="24"/>
    </w:rPr>
  </w:style>
  <w:style w:type="character" w:customStyle="1" w:styleId="NumberListChar">
    <w:name w:val="Number List Char"/>
    <w:basedOn w:val="BulletChar"/>
    <w:link w:val="NumberList"/>
    <w:locked/>
    <w:rsid w:val="00231190"/>
    <w:rPr>
      <w:sz w:val="24"/>
    </w:rPr>
  </w:style>
  <w:style w:type="paragraph" w:customStyle="1" w:styleId="NumberList">
    <w:name w:val="Number List"/>
    <w:basedOn w:val="Bullet"/>
    <w:link w:val="NumberListChar"/>
    <w:rsid w:val="00231190"/>
  </w:style>
  <w:style w:type="paragraph" w:customStyle="1" w:styleId="NumberList2">
    <w:name w:val="Number List 2"/>
    <w:basedOn w:val="NumberList"/>
    <w:qFormat/>
    <w:rsid w:val="00231190"/>
    <w:pPr>
      <w:numPr>
        <w:numId w:val="13"/>
      </w:numPr>
      <w:tabs>
        <w:tab w:val="num" w:pos="2160"/>
      </w:tabs>
      <w:autoSpaceDE w:val="0"/>
      <w:autoSpaceDN w:val="0"/>
      <w:adjustRightInd w:val="0"/>
      <w:spacing w:before="240" w:after="240"/>
      <w:ind w:left="2160" w:hanging="720"/>
    </w:pPr>
  </w:style>
  <w:style w:type="character" w:customStyle="1" w:styleId="LetteraChar">
    <w:name w:val="Letter a) Char"/>
    <w:basedOn w:val="BulletChar"/>
    <w:link w:val="Lettera"/>
    <w:locked/>
    <w:rsid w:val="00231190"/>
    <w:rPr>
      <w:sz w:val="24"/>
    </w:rPr>
  </w:style>
  <w:style w:type="paragraph" w:customStyle="1" w:styleId="Lettera">
    <w:name w:val="Letter a)"/>
    <w:basedOn w:val="Bullet"/>
    <w:link w:val="LetteraChar"/>
    <w:qFormat/>
    <w:rsid w:val="00231190"/>
    <w:pPr>
      <w:numPr>
        <w:numId w:val="15"/>
      </w:numPr>
      <w:spacing w:before="240" w:after="240"/>
    </w:pPr>
  </w:style>
  <w:style w:type="character" w:customStyle="1" w:styleId="FootnoteTextChar">
    <w:name w:val="Footnote Text Char"/>
    <w:aliases w:val="Footnote Text Char Char Char,Footnote Text Char Char Char Char Char Char,Footnote Text Char Char Char1 Char Char,Footnote Text Char Char1 Char,Footnote Text Char1 Char,Footnote Text Char1 Char Char Char Char,Footnote text Char,fn Char"/>
    <w:basedOn w:val="DefaultParagraphFont"/>
    <w:link w:val="FootnoteText"/>
    <w:rsid w:val="00D03506"/>
  </w:style>
  <w:style w:type="paragraph" w:styleId="BalloonText">
    <w:name w:val="Balloon Text"/>
    <w:basedOn w:val="Normal"/>
    <w:link w:val="BalloonTextChar"/>
    <w:rsid w:val="00CA7DED"/>
    <w:rPr>
      <w:rFonts w:ascii="Segoe UI" w:hAnsi="Segoe UI" w:cs="Segoe UI"/>
      <w:sz w:val="18"/>
      <w:szCs w:val="18"/>
    </w:rPr>
  </w:style>
  <w:style w:type="character" w:customStyle="1" w:styleId="BalloonTextChar">
    <w:name w:val="Balloon Text Char"/>
    <w:basedOn w:val="DefaultParagraphFont"/>
    <w:link w:val="BalloonText"/>
    <w:rsid w:val="00CA7DED"/>
    <w:rPr>
      <w:rFonts w:ascii="Segoe UI" w:hAnsi="Segoe UI" w:cs="Segoe UI"/>
      <w:sz w:val="18"/>
      <w:szCs w:val="18"/>
    </w:rPr>
  </w:style>
  <w:style w:type="paragraph" w:styleId="NoSpacing">
    <w:name w:val="No Spacing"/>
    <w:uiPriority w:val="1"/>
    <w:qFormat/>
    <w:rsid w:val="00E84928"/>
    <w:rPr>
      <w:sz w:val="24"/>
    </w:rPr>
  </w:style>
  <w:style w:type="paragraph" w:styleId="BodyText">
    <w:name w:val="Body Text"/>
    <w:aliases w:val="bt"/>
    <w:basedOn w:val="Normal"/>
    <w:link w:val="BodyTextChar"/>
    <w:rsid w:val="00BD5440"/>
    <w:pPr>
      <w:spacing w:after="240"/>
    </w:pPr>
    <w:rPr>
      <w:sz w:val="24"/>
      <w:szCs w:val="24"/>
    </w:rPr>
  </w:style>
  <w:style w:type="character" w:customStyle="1" w:styleId="BodyTextChar">
    <w:name w:val="Body Text Char"/>
    <w:aliases w:val="bt Char"/>
    <w:basedOn w:val="DefaultParagraphFont"/>
    <w:link w:val="BodyText"/>
    <w:rsid w:val="00BD5440"/>
    <w:rPr>
      <w:sz w:val="24"/>
      <w:szCs w:val="24"/>
    </w:rPr>
  </w:style>
  <w:style w:type="character" w:customStyle="1" w:styleId="Heading1Char">
    <w:name w:val="Heading 1 Char"/>
    <w:basedOn w:val="DefaultParagraphFont"/>
    <w:link w:val="Heading1"/>
    <w:rsid w:val="00295D11"/>
    <w:rPr>
      <w:snapToGrid w:val="0"/>
      <w:kern w:val="28"/>
      <w:sz w:val="24"/>
    </w:rPr>
  </w:style>
  <w:style w:type="character" w:customStyle="1" w:styleId="Heading2Char">
    <w:name w:val="Heading 2 Char"/>
    <w:basedOn w:val="DefaultParagraphFont"/>
    <w:link w:val="Heading2"/>
    <w:rsid w:val="00295D11"/>
    <w:rPr>
      <w:snapToGrid w:val="0"/>
      <w:sz w:val="24"/>
    </w:rPr>
  </w:style>
  <w:style w:type="character" w:customStyle="1" w:styleId="Heading3Char">
    <w:name w:val="Heading 3 Char"/>
    <w:basedOn w:val="DefaultParagraphFont"/>
    <w:link w:val="Heading3"/>
    <w:rsid w:val="00295D11"/>
    <w:rPr>
      <w:snapToGrid w:val="0"/>
      <w:sz w:val="24"/>
    </w:rPr>
  </w:style>
  <w:style w:type="character" w:customStyle="1" w:styleId="Heading4Char">
    <w:name w:val="Heading 4 Char"/>
    <w:basedOn w:val="DefaultParagraphFont"/>
    <w:link w:val="Heading4"/>
    <w:rsid w:val="00295D11"/>
    <w:rPr>
      <w:snapToGrid w:val="0"/>
      <w:sz w:val="24"/>
    </w:rPr>
  </w:style>
  <w:style w:type="character" w:customStyle="1" w:styleId="Heading5Char">
    <w:name w:val="Heading 5 Char"/>
    <w:basedOn w:val="DefaultParagraphFont"/>
    <w:link w:val="Heading5"/>
    <w:rsid w:val="00295D11"/>
    <w:rPr>
      <w:snapToGrid w:val="0"/>
      <w:sz w:val="24"/>
    </w:rPr>
  </w:style>
  <w:style w:type="character" w:customStyle="1" w:styleId="Heading6Char">
    <w:name w:val="Heading 6 Char"/>
    <w:basedOn w:val="DefaultParagraphFont"/>
    <w:link w:val="Heading6"/>
    <w:rsid w:val="00295D11"/>
    <w:rPr>
      <w:snapToGrid w:val="0"/>
      <w:sz w:val="24"/>
    </w:rPr>
  </w:style>
  <w:style w:type="character" w:customStyle="1" w:styleId="Heading7Char">
    <w:name w:val="Heading 7 Char"/>
    <w:basedOn w:val="DefaultParagraphFont"/>
    <w:link w:val="Heading7"/>
    <w:rsid w:val="00295D11"/>
    <w:rPr>
      <w:snapToGrid w:val="0"/>
      <w:sz w:val="24"/>
    </w:rPr>
  </w:style>
  <w:style w:type="character" w:customStyle="1" w:styleId="Heading8Char">
    <w:name w:val="Heading 8 Char"/>
    <w:basedOn w:val="DefaultParagraphFont"/>
    <w:link w:val="Heading8"/>
    <w:rsid w:val="00295D11"/>
    <w:rPr>
      <w:snapToGrid w:val="0"/>
      <w:sz w:val="24"/>
    </w:rPr>
  </w:style>
  <w:style w:type="character" w:customStyle="1" w:styleId="Heading9Char">
    <w:name w:val="Heading 9 Char"/>
    <w:basedOn w:val="DefaultParagraphFont"/>
    <w:link w:val="Heading9"/>
    <w:rsid w:val="00295D11"/>
    <w:rPr>
      <w:snapToGrid w:val="0"/>
      <w:sz w:val="24"/>
    </w:rPr>
  </w:style>
  <w:style w:type="character" w:styleId="Hyperlink">
    <w:name w:val="Hyperlink"/>
    <w:basedOn w:val="DefaultParagraphFont"/>
    <w:rsid w:val="00EE7AA9"/>
    <w:rPr>
      <w:color w:val="0563C1" w:themeColor="hyperlink"/>
      <w:u w:val="single"/>
    </w:rPr>
  </w:style>
  <w:style w:type="character" w:styleId="UnresolvedMention">
    <w:name w:val="Unresolved Mention"/>
    <w:basedOn w:val="DefaultParagraphFont"/>
    <w:uiPriority w:val="99"/>
    <w:semiHidden/>
    <w:unhideWhenUsed/>
    <w:rsid w:val="00EE7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172152">
      <w:bodyDiv w:val="1"/>
      <w:marLeft w:val="0"/>
      <w:marRight w:val="0"/>
      <w:marTop w:val="0"/>
      <w:marBottom w:val="0"/>
      <w:divBdr>
        <w:top w:val="none" w:sz="0" w:space="0" w:color="auto"/>
        <w:left w:val="none" w:sz="0" w:space="0" w:color="auto"/>
        <w:bottom w:val="none" w:sz="0" w:space="0" w:color="auto"/>
        <w:right w:val="none" w:sz="0" w:space="0" w:color="auto"/>
      </w:divBdr>
    </w:div>
    <w:div w:id="1588727028">
      <w:bodyDiv w:val="1"/>
      <w:marLeft w:val="0"/>
      <w:marRight w:val="0"/>
      <w:marTop w:val="0"/>
      <w:marBottom w:val="0"/>
      <w:divBdr>
        <w:top w:val="none" w:sz="0" w:space="0" w:color="auto"/>
        <w:left w:val="none" w:sz="0" w:space="0" w:color="auto"/>
        <w:bottom w:val="none" w:sz="0" w:space="0" w:color="auto"/>
        <w:right w:val="none" w:sz="0" w:space="0" w:color="auto"/>
      </w:divBdr>
    </w:div>
    <w:div w:id="1701513501">
      <w:bodyDiv w:val="1"/>
      <w:marLeft w:val="0"/>
      <w:marRight w:val="0"/>
      <w:marTop w:val="0"/>
      <w:marBottom w:val="0"/>
      <w:divBdr>
        <w:top w:val="none" w:sz="0" w:space="0" w:color="auto"/>
        <w:left w:val="none" w:sz="0" w:space="0" w:color="auto"/>
        <w:bottom w:val="none" w:sz="0" w:space="0" w:color="auto"/>
        <w:right w:val="none" w:sz="0" w:space="0" w:color="auto"/>
      </w:divBdr>
    </w:div>
    <w:div w:id="1701543471">
      <w:bodyDiv w:val="1"/>
      <w:marLeft w:val="0"/>
      <w:marRight w:val="0"/>
      <w:marTop w:val="0"/>
      <w:marBottom w:val="0"/>
      <w:divBdr>
        <w:top w:val="none" w:sz="0" w:space="0" w:color="auto"/>
        <w:left w:val="none" w:sz="0" w:space="0" w:color="auto"/>
        <w:bottom w:val="none" w:sz="0" w:space="0" w:color="auto"/>
        <w:right w:val="none" w:sz="0" w:space="0" w:color="auto"/>
      </w:divBdr>
    </w:div>
    <w:div w:id="1972856805">
      <w:bodyDiv w:val="1"/>
      <w:marLeft w:val="0"/>
      <w:marRight w:val="0"/>
      <w:marTop w:val="0"/>
      <w:marBottom w:val="0"/>
      <w:divBdr>
        <w:top w:val="none" w:sz="0" w:space="0" w:color="auto"/>
        <w:left w:val="none" w:sz="0" w:space="0" w:color="auto"/>
        <w:bottom w:val="none" w:sz="0" w:space="0" w:color="auto"/>
        <w:right w:val="none" w:sz="0" w:space="0" w:color="auto"/>
      </w:divBdr>
    </w:div>
    <w:div w:id="210175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zambito@cozen.com" TargetMode="External"/><Relationship Id="rId18" Type="http://schemas.openxmlformats.org/officeDocument/2006/relationships/hyperlink" Target="mailto:azerby@paoca.org" TargetMode="External"/><Relationship Id="rId26" Type="http://schemas.openxmlformats.org/officeDocument/2006/relationships/hyperlink" Target="mailto:cbabst@babstcalland.com" TargetMode="External"/><Relationship Id="rId3" Type="http://schemas.openxmlformats.org/officeDocument/2006/relationships/styles" Target="styles.xml"/><Relationship Id="rId21" Type="http://schemas.openxmlformats.org/officeDocument/2006/relationships/hyperlink" Target="mailto:Thomas.Wyatt@obermayer.com" TargetMode="External"/><Relationship Id="rId7" Type="http://schemas.openxmlformats.org/officeDocument/2006/relationships/endnotes" Target="endnotes.xml"/><Relationship Id="rId12" Type="http://schemas.openxmlformats.org/officeDocument/2006/relationships/hyperlink" Target="mailto:erin.fure@amwater.com" TargetMode="External"/><Relationship Id="rId17" Type="http://schemas.openxmlformats.org/officeDocument/2006/relationships/hyperlink" Target="mailto:choover@paoca.org" TargetMode="External"/><Relationship Id="rId25" Type="http://schemas.openxmlformats.org/officeDocument/2006/relationships/hyperlink" Target="mailto:eschnall@salzmannhughes.com" TargetMode="External"/><Relationship Id="rId2" Type="http://schemas.openxmlformats.org/officeDocument/2006/relationships/numbering" Target="numbering.xml"/><Relationship Id="rId16" Type="http://schemas.openxmlformats.org/officeDocument/2006/relationships/hyperlink" Target="mailto:abeatty@paoca.org" TargetMode="External"/><Relationship Id="rId20" Type="http://schemas.openxmlformats.org/officeDocument/2006/relationships/hyperlink" Target="mailto:mpodskoch@pa.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zabeth.Triscari@amwater.com" TargetMode="External"/><Relationship Id="rId24" Type="http://schemas.openxmlformats.org/officeDocument/2006/relationships/hyperlink" Target="mailto:swyland@salzmannhughes.com" TargetMode="External"/><Relationship Id="rId5" Type="http://schemas.openxmlformats.org/officeDocument/2006/relationships/webSettings" Target="webSettings.xml"/><Relationship Id="rId15" Type="http://schemas.openxmlformats.org/officeDocument/2006/relationships/hyperlink" Target="mailto:swebb@pa.gov" TargetMode="External"/><Relationship Id="rId23" Type="http://schemas.openxmlformats.org/officeDocument/2006/relationships/hyperlink" Target="mailto:Sydney.Melillo@obermayer.com" TargetMode="External"/><Relationship Id="rId28" Type="http://schemas.openxmlformats.org/officeDocument/2006/relationships/hyperlink" Target="mailto:lstone@babstcalland.com" TargetMode="External"/><Relationship Id="rId10" Type="http://schemas.openxmlformats.org/officeDocument/2006/relationships/footer" Target="footer3.xml"/><Relationship Id="rId19" Type="http://schemas.openxmlformats.org/officeDocument/2006/relationships/hyperlink" Target="mailto:carwright@pa.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jnase@cozen.com" TargetMode="External"/><Relationship Id="rId22" Type="http://schemas.openxmlformats.org/officeDocument/2006/relationships/hyperlink" Target="mailto:Matthew.Olesh@obermayer.com" TargetMode="External"/><Relationship Id="rId27" Type="http://schemas.openxmlformats.org/officeDocument/2006/relationships/hyperlink" Target="mailto:rjunker@babstcalland.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C37F6-8DD5-436F-9B0E-DD99EA1F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3304</Words>
  <Characters>19668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Kim</dc:creator>
  <cp:keywords/>
  <cp:lastModifiedBy>Miskanic, Nicholas</cp:lastModifiedBy>
  <cp:revision>4</cp:revision>
  <cp:lastPrinted>2023-10-26T16:17:00Z</cp:lastPrinted>
  <dcterms:created xsi:type="dcterms:W3CDTF">2023-10-27T13:32:00Z</dcterms:created>
  <dcterms:modified xsi:type="dcterms:W3CDTF">2023-10-27T13:34:00Z</dcterms:modified>
</cp:coreProperties>
</file>