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206B9A74" w:rsidR="009E1C5A" w:rsidRPr="007A4C3A" w:rsidRDefault="0020688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Sydonia Motion</w:t>
      </w:r>
      <w:r w:rsidR="00471C0E">
        <w:rPr>
          <w:rFonts w:ascii="Times New Roman" w:hAnsi="Times New Roman" w:cs="Times New Roman"/>
          <w:spacing w:val="-3"/>
        </w:rPr>
        <w:tab/>
      </w:r>
      <w:r w:rsidR="00471C0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B74BD8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06885">
        <w:rPr>
          <w:rFonts w:ascii="Times New Roman" w:hAnsi="Times New Roman" w:cs="Times New Roman"/>
          <w:spacing w:val="-3"/>
        </w:rPr>
        <w:t>F-2023-3043421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8333EC1" w:rsidR="009E1C5A" w:rsidRPr="007A4C3A" w:rsidRDefault="00DB584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550C36">
        <w:rPr>
          <w:rFonts w:ascii="Times New Roman" w:hAnsi="Times New Roman" w:cs="Times New Roman"/>
          <w:spacing w:val="-3"/>
        </w:rPr>
        <w:t>ECO Energy Co.</w:t>
      </w:r>
      <w:r w:rsidR="00550C36">
        <w:rPr>
          <w:rFonts w:ascii="Times New Roman" w:hAnsi="Times New Roman" w:cs="Times New Roman"/>
          <w:spacing w:val="-3"/>
        </w:rPr>
        <w:tab/>
      </w:r>
      <w:r w:rsidR="00550C36">
        <w:rPr>
          <w:rFonts w:ascii="Times New Roman" w:hAnsi="Times New Roman" w:cs="Times New Roman"/>
          <w:spacing w:val="-3"/>
        </w:rPr>
        <w:tab/>
      </w:r>
      <w:r w:rsidR="00BD325D">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780B9654"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550C36">
        <w:rPr>
          <w:rFonts w:ascii="Times New Roman" w:hAnsi="Times New Roman" w:cs="Times New Roman"/>
        </w:rPr>
        <w:t>2</w:t>
      </w:r>
      <w:r w:rsidR="00550C36" w:rsidRPr="00550C36">
        <w:rPr>
          <w:rFonts w:ascii="Times New Roman" w:hAnsi="Times New Roman" w:cs="Times New Roman"/>
          <w:vertAlign w:val="superscript"/>
        </w:rPr>
        <w:t>nd</w:t>
      </w:r>
      <w:r w:rsidR="00550C36">
        <w:rPr>
          <w:rFonts w:ascii="Times New Roman" w:hAnsi="Times New Roman" w:cs="Times New Roman"/>
        </w:rPr>
        <w:t xml:space="preserve"> </w:t>
      </w:r>
      <w:r w:rsidR="0096200D">
        <w:rPr>
          <w:rFonts w:ascii="Times New Roman" w:hAnsi="Times New Roman" w:cs="Times New Roman"/>
        </w:rPr>
        <w:t xml:space="preserve">day of </w:t>
      </w:r>
      <w:proofErr w:type="gramStart"/>
      <w:r w:rsidR="00550C36">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8AC645F" w:rsidR="00AE4215" w:rsidRDefault="00AE4215" w:rsidP="000B6181">
      <w:pPr>
        <w:ind w:left="1440"/>
      </w:pPr>
      <w:r w:rsidRPr="000F32AA">
        <w:rPr>
          <w:b/>
        </w:rPr>
        <w:t>DATE</w:t>
      </w:r>
      <w:r w:rsidRPr="000F32AA">
        <w:t xml:space="preserve">:   </w:t>
      </w:r>
      <w:r w:rsidRPr="000F32AA">
        <w:tab/>
      </w:r>
      <w:r w:rsidRPr="000F32AA">
        <w:tab/>
      </w:r>
      <w:r w:rsidR="00F823B4">
        <w:t>Thursday</w:t>
      </w:r>
      <w:r w:rsidR="00206885">
        <w:t xml:space="preserve">, December 21, </w:t>
      </w:r>
      <w:r w:rsidR="00BB0925">
        <w:t>2023</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F32C9C3"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569E36DA" w:rsidR="008B6732" w:rsidRPr="009B5BFE" w:rsidRDefault="008B6732" w:rsidP="00550C36">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r w:rsidR="00445302" w:rsidRPr="00445302">
        <w:rPr>
          <w:rFonts w:ascii="Times New Roman" w:hAnsi="Times New Roman" w:cs="Times New Roman"/>
          <w:b/>
          <w:bCs/>
          <w:u w:val="single"/>
        </w:rPr>
        <w:t>Please provide a copy of the PFA to the presiding officer’s office no later than Monday, December 11, 2023.</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lastRenderedPageBreak/>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742BE769" w:rsidR="00B6172F" w:rsidRPr="002D1426" w:rsidRDefault="00B6172F" w:rsidP="00B6172F">
      <w:pPr>
        <w:pStyle w:val="NoSpacing"/>
        <w:rPr>
          <w:szCs w:val="24"/>
        </w:rPr>
      </w:pPr>
      <w:r w:rsidRPr="002D1426">
        <w:rPr>
          <w:szCs w:val="24"/>
        </w:rPr>
        <w:t>Date:</w:t>
      </w:r>
      <w:r w:rsidRPr="002D1426">
        <w:rPr>
          <w:szCs w:val="24"/>
        </w:rPr>
        <w:tab/>
      </w:r>
      <w:r w:rsidR="00206885">
        <w:rPr>
          <w:szCs w:val="24"/>
          <w:u w:val="single"/>
        </w:rPr>
        <w:t>November 2</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578E1B0F" w14:textId="593A11F7" w:rsidR="00005E44" w:rsidRPr="00445302" w:rsidRDefault="00206885" w:rsidP="00D57486">
      <w:pPr>
        <w:rPr>
          <w:rFonts w:ascii="Times New Roman" w:eastAsia="Microsoft Sans Serif" w:hAnsi="Times New Roman" w:cs="Times New Roman"/>
          <w:b/>
          <w:bCs/>
          <w:u w:val="single"/>
        </w:rPr>
      </w:pPr>
      <w:r w:rsidRPr="00445302">
        <w:rPr>
          <w:rFonts w:ascii="Times New Roman" w:eastAsia="Microsoft Sans Serif" w:hAnsi="Times New Roman" w:cs="Times New Roman"/>
          <w:b/>
          <w:bCs/>
          <w:u w:val="single"/>
        </w:rPr>
        <w:lastRenderedPageBreak/>
        <w:t>F-2023-3043421 SYDONIA MOTION v. PECO ENERGY CO</w:t>
      </w:r>
    </w:p>
    <w:p w14:paraId="0068C6BF" w14:textId="77777777" w:rsidR="00206885" w:rsidRDefault="00206885" w:rsidP="00D57486">
      <w:pPr>
        <w:rPr>
          <w:rFonts w:ascii="Times New Roman" w:eastAsia="Microsoft Sans Serif" w:hAnsi="Times New Roman" w:cs="Times New Roman"/>
        </w:rPr>
      </w:pPr>
    </w:p>
    <w:p w14:paraId="0407565B" w14:textId="6C69F3A2"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SYDONIA MOTION</w:t>
      </w:r>
    </w:p>
    <w:p w14:paraId="231F7341" w14:textId="5B5B3841"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 xml:space="preserve">served via email and </w:t>
      </w:r>
      <w:proofErr w:type="spellStart"/>
      <w:r>
        <w:rPr>
          <w:rFonts w:ascii="Times New Roman" w:eastAsia="Microsoft Sans Serif" w:hAnsi="Times New Roman" w:cs="Times New Roman"/>
        </w:rPr>
        <w:t>usps</w:t>
      </w:r>
      <w:proofErr w:type="spellEnd"/>
      <w:r>
        <w:rPr>
          <w:rFonts w:ascii="Times New Roman" w:eastAsia="Microsoft Sans Serif" w:hAnsi="Times New Roman" w:cs="Times New Roman"/>
        </w:rPr>
        <w:t xml:space="preserve"> </w:t>
      </w:r>
      <w:proofErr w:type="gramStart"/>
      <w:r>
        <w:rPr>
          <w:rFonts w:ascii="Times New Roman" w:eastAsia="Microsoft Sans Serif" w:hAnsi="Times New Roman" w:cs="Times New Roman"/>
        </w:rPr>
        <w:t>mail</w:t>
      </w:r>
      <w:proofErr w:type="gramEnd"/>
    </w:p>
    <w:p w14:paraId="2B855AD8" w14:textId="77777777" w:rsidR="00206885" w:rsidRDefault="00206885" w:rsidP="00D57486">
      <w:pPr>
        <w:rPr>
          <w:rFonts w:ascii="Times New Roman" w:eastAsia="Microsoft Sans Serif" w:hAnsi="Times New Roman" w:cs="Times New Roman"/>
        </w:rPr>
      </w:pPr>
    </w:p>
    <w:p w14:paraId="72E80DCE" w14:textId="41092C5C"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KHADIJAH SCOTT ESQUIRE</w:t>
      </w:r>
    </w:p>
    <w:p w14:paraId="11AB5EC2" w14:textId="48E4D88A"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PECO ENERGY COMPANY</w:t>
      </w:r>
    </w:p>
    <w:p w14:paraId="47C0A2EE" w14:textId="2654E4F7"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2301 MARKET STREET S23-1</w:t>
      </w:r>
    </w:p>
    <w:p w14:paraId="42FDABBD" w14:textId="59A9D6A9"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PHILADELPHIA PA  19103</w:t>
      </w:r>
    </w:p>
    <w:p w14:paraId="17521EF4" w14:textId="3A5C45F5"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267.533.1830</w:t>
      </w:r>
    </w:p>
    <w:p w14:paraId="41C9C5F9" w14:textId="264E8928" w:rsidR="00206885" w:rsidRDefault="00000000" w:rsidP="00D57486">
      <w:pPr>
        <w:rPr>
          <w:rFonts w:ascii="Times New Roman" w:eastAsia="Microsoft Sans Serif" w:hAnsi="Times New Roman" w:cs="Times New Roman"/>
        </w:rPr>
      </w:pPr>
      <w:hyperlink r:id="rId12" w:history="1">
        <w:r w:rsidR="00206885" w:rsidRPr="00E163F4">
          <w:rPr>
            <w:rStyle w:val="Hyperlink"/>
            <w:rFonts w:ascii="Times New Roman" w:eastAsia="Microsoft Sans Serif" w:hAnsi="Times New Roman" w:cs="Times New Roman"/>
          </w:rPr>
          <w:t>Khadijah.scott@exeloncorp.com</w:t>
        </w:r>
      </w:hyperlink>
    </w:p>
    <w:p w14:paraId="2903BFCC" w14:textId="2A276238" w:rsidR="00206885" w:rsidRDefault="00206885" w:rsidP="00D57486">
      <w:pPr>
        <w:rPr>
          <w:rFonts w:ascii="Times New Roman" w:eastAsia="Microsoft Sans Serif" w:hAnsi="Times New Roman" w:cs="Times New Roman"/>
        </w:rPr>
      </w:pPr>
      <w:r>
        <w:rPr>
          <w:rFonts w:ascii="Times New Roman" w:eastAsia="Microsoft Sans Serif" w:hAnsi="Times New Roman" w:cs="Times New Roman"/>
        </w:rPr>
        <w:t xml:space="preserve">Accepts </w:t>
      </w:r>
      <w:proofErr w:type="gramStart"/>
      <w:r>
        <w:rPr>
          <w:rFonts w:ascii="Times New Roman" w:eastAsia="Microsoft Sans Serif" w:hAnsi="Times New Roman" w:cs="Times New Roman"/>
        </w:rPr>
        <w:t>eService</w:t>
      </w:r>
      <w:proofErr w:type="gramEnd"/>
    </w:p>
    <w:p w14:paraId="600979FE" w14:textId="570EBB22" w:rsidR="00206885" w:rsidRPr="00206885" w:rsidRDefault="00206885" w:rsidP="00D57486">
      <w:pPr>
        <w:rPr>
          <w:rFonts w:ascii="Times New Roman" w:eastAsia="Microsoft Sans Serif" w:hAnsi="Times New Roman" w:cs="Times New Roman"/>
          <w:i/>
          <w:iCs/>
        </w:rPr>
      </w:pPr>
      <w:r>
        <w:rPr>
          <w:rFonts w:ascii="Times New Roman" w:eastAsia="Microsoft Sans Serif" w:hAnsi="Times New Roman" w:cs="Times New Roman"/>
        </w:rPr>
        <w:t>(Counsel for PECO Energy Company)</w:t>
      </w:r>
    </w:p>
    <w:sectPr w:rsidR="00206885" w:rsidRPr="00206885"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D7AC" w14:textId="77777777" w:rsidR="001D04BD" w:rsidRDefault="001D04BD" w:rsidP="00244F8F">
      <w:r>
        <w:separator/>
      </w:r>
    </w:p>
  </w:endnote>
  <w:endnote w:type="continuationSeparator" w:id="0">
    <w:p w14:paraId="19C57124" w14:textId="77777777" w:rsidR="001D04BD" w:rsidRDefault="001D04B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E7FA" w14:textId="77777777" w:rsidR="001D04BD" w:rsidRDefault="001D04BD" w:rsidP="00244F8F">
      <w:r>
        <w:separator/>
      </w:r>
    </w:p>
  </w:footnote>
  <w:footnote w:type="continuationSeparator" w:id="0">
    <w:p w14:paraId="2AE8732B" w14:textId="77777777" w:rsidR="001D04BD" w:rsidRDefault="001D04B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878A3"/>
    <w:rsid w:val="00190A9F"/>
    <w:rsid w:val="001A193B"/>
    <w:rsid w:val="001A4E19"/>
    <w:rsid w:val="001A73C9"/>
    <w:rsid w:val="001B155C"/>
    <w:rsid w:val="001B1A17"/>
    <w:rsid w:val="001B2700"/>
    <w:rsid w:val="001B4088"/>
    <w:rsid w:val="001C3875"/>
    <w:rsid w:val="001C67DB"/>
    <w:rsid w:val="001D04BD"/>
    <w:rsid w:val="001D1D91"/>
    <w:rsid w:val="001E20C0"/>
    <w:rsid w:val="001E5370"/>
    <w:rsid w:val="001F02BD"/>
    <w:rsid w:val="001F152D"/>
    <w:rsid w:val="00203042"/>
    <w:rsid w:val="00204018"/>
    <w:rsid w:val="002055B0"/>
    <w:rsid w:val="00206885"/>
    <w:rsid w:val="00207B48"/>
    <w:rsid w:val="0021278A"/>
    <w:rsid w:val="00212C32"/>
    <w:rsid w:val="00212F32"/>
    <w:rsid w:val="00214243"/>
    <w:rsid w:val="0022324C"/>
    <w:rsid w:val="002241E9"/>
    <w:rsid w:val="0023187E"/>
    <w:rsid w:val="00236822"/>
    <w:rsid w:val="00237895"/>
    <w:rsid w:val="0024391B"/>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45302"/>
    <w:rsid w:val="0045540F"/>
    <w:rsid w:val="00471C0E"/>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0C36"/>
    <w:rsid w:val="00556B57"/>
    <w:rsid w:val="005616B7"/>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0522"/>
    <w:rsid w:val="00A9204E"/>
    <w:rsid w:val="00A974AF"/>
    <w:rsid w:val="00A97FCE"/>
    <w:rsid w:val="00AA1499"/>
    <w:rsid w:val="00AA466B"/>
    <w:rsid w:val="00AA47FC"/>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52D8"/>
    <w:rsid w:val="00D20407"/>
    <w:rsid w:val="00D22E3F"/>
    <w:rsid w:val="00D24D78"/>
    <w:rsid w:val="00D322E3"/>
    <w:rsid w:val="00D35782"/>
    <w:rsid w:val="00D4270F"/>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D627A"/>
    <w:rsid w:val="00DE41A2"/>
    <w:rsid w:val="00DE55AE"/>
    <w:rsid w:val="00DF18C9"/>
    <w:rsid w:val="00DF339E"/>
    <w:rsid w:val="00E01749"/>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823B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2023-11-02T18:26:00Z</dcterms:created>
  <dcterms:modified xsi:type="dcterms:W3CDTF">2023-11-02T18:26:00Z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