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853D" w14:textId="77777777" w:rsidR="00587D3D" w:rsidRPr="0077392E" w:rsidRDefault="00587D3D" w:rsidP="00587D3D">
      <w:pPr>
        <w:tabs>
          <w:tab w:val="center" w:pos="4680"/>
        </w:tabs>
        <w:jc w:val="center"/>
        <w:rPr>
          <w:b/>
          <w:sz w:val="24"/>
          <w:szCs w:val="24"/>
        </w:rPr>
      </w:pPr>
      <w:bookmarkStart w:id="0" w:name="_Hlk514231865"/>
      <w:r w:rsidRPr="0077392E">
        <w:rPr>
          <w:b/>
          <w:sz w:val="24"/>
          <w:szCs w:val="24"/>
        </w:rPr>
        <w:t>BEFORE THE</w:t>
      </w:r>
    </w:p>
    <w:p w14:paraId="207C853E" w14:textId="77777777" w:rsidR="00587D3D" w:rsidRPr="0077392E" w:rsidRDefault="00587D3D" w:rsidP="00587D3D">
      <w:pPr>
        <w:tabs>
          <w:tab w:val="center" w:pos="4680"/>
        </w:tabs>
        <w:jc w:val="both"/>
        <w:rPr>
          <w:b/>
          <w:sz w:val="24"/>
          <w:szCs w:val="24"/>
        </w:rPr>
      </w:pPr>
      <w:r w:rsidRPr="0077392E">
        <w:rPr>
          <w:b/>
          <w:sz w:val="24"/>
          <w:szCs w:val="24"/>
        </w:rPr>
        <w:tab/>
        <w:t>PENNSYLVANIA PUBLIC UTILITY COMMISSION</w:t>
      </w:r>
    </w:p>
    <w:p w14:paraId="207C853F" w14:textId="77777777" w:rsidR="00587D3D" w:rsidRPr="0077392E" w:rsidRDefault="00587D3D" w:rsidP="00587D3D">
      <w:pPr>
        <w:tabs>
          <w:tab w:val="center" w:pos="4680"/>
        </w:tabs>
        <w:jc w:val="both"/>
        <w:rPr>
          <w:b/>
          <w:sz w:val="24"/>
          <w:szCs w:val="24"/>
        </w:rPr>
      </w:pPr>
    </w:p>
    <w:p w14:paraId="207C8540" w14:textId="77777777" w:rsidR="00587D3D" w:rsidRPr="0077392E" w:rsidRDefault="00587D3D" w:rsidP="00587D3D">
      <w:pPr>
        <w:tabs>
          <w:tab w:val="left" w:pos="0"/>
        </w:tabs>
        <w:spacing w:line="233" w:lineRule="auto"/>
        <w:jc w:val="both"/>
        <w:rPr>
          <w:b/>
          <w:sz w:val="24"/>
          <w:szCs w:val="24"/>
        </w:rPr>
      </w:pPr>
    </w:p>
    <w:p w14:paraId="207C8541" w14:textId="77777777" w:rsidR="00587D3D" w:rsidRPr="0077392E" w:rsidRDefault="00587D3D" w:rsidP="00587D3D">
      <w:pPr>
        <w:tabs>
          <w:tab w:val="left" w:pos="0"/>
        </w:tabs>
        <w:spacing w:line="233" w:lineRule="auto"/>
        <w:jc w:val="both"/>
        <w:rPr>
          <w:b/>
          <w:sz w:val="24"/>
          <w:szCs w:val="24"/>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283"/>
        <w:gridCol w:w="3784"/>
      </w:tblGrid>
      <w:tr w:rsidR="00E84928" w:rsidRPr="0077392E" w14:paraId="14A39E6A" w14:textId="77777777" w:rsidTr="00286660">
        <w:trPr>
          <w:trHeight w:val="3092"/>
        </w:trPr>
        <w:tc>
          <w:tcPr>
            <w:tcW w:w="5400" w:type="dxa"/>
            <w:tcBorders>
              <w:top w:val="nil"/>
              <w:left w:val="nil"/>
              <w:bottom w:val="nil"/>
              <w:right w:val="nil"/>
            </w:tcBorders>
            <w:hideMark/>
          </w:tcPr>
          <w:p w14:paraId="7CB99F96" w14:textId="77777777" w:rsidR="00E84928" w:rsidRPr="0077392E" w:rsidRDefault="00E84928" w:rsidP="00286660">
            <w:pPr>
              <w:rPr>
                <w:bCs/>
                <w:sz w:val="24"/>
                <w:szCs w:val="24"/>
              </w:rPr>
            </w:pPr>
            <w:r w:rsidRPr="0077392E">
              <w:rPr>
                <w:bCs/>
                <w:sz w:val="24"/>
                <w:szCs w:val="24"/>
              </w:rPr>
              <w:t>In re:  Application of Pennsylvania-American Water Company under Sections 1102(a) and 1329 of the Pennsylvania Public Utility Code, 66 Pa C.S. §§ 1102(a) and 1329 for approval of (1) the transfer, by sale, of substantially all of the Borough of Brentwood’s assets, properties and rights related to its wastewater collection and conveyance system to Pennsylvania-American Water Company, and (2) the rights of Pennsylvania-American Water Company to begin to offer or furnish wastewater service to the public in the Borough of Brentwood, Allegheny County, Pennsylvania</w:t>
            </w:r>
          </w:p>
        </w:tc>
        <w:tc>
          <w:tcPr>
            <w:tcW w:w="283" w:type="dxa"/>
            <w:tcBorders>
              <w:top w:val="nil"/>
              <w:left w:val="nil"/>
              <w:bottom w:val="nil"/>
              <w:right w:val="nil"/>
            </w:tcBorders>
            <w:hideMark/>
          </w:tcPr>
          <w:p w14:paraId="782C341A" w14:textId="77777777" w:rsidR="00E84928" w:rsidRPr="0077392E" w:rsidRDefault="00E84928" w:rsidP="00286660">
            <w:pPr>
              <w:rPr>
                <w:bCs/>
                <w:sz w:val="24"/>
                <w:szCs w:val="24"/>
              </w:rPr>
            </w:pPr>
            <w:r w:rsidRPr="0077392E">
              <w:rPr>
                <w:bCs/>
                <w:sz w:val="24"/>
                <w:szCs w:val="24"/>
              </w:rPr>
              <w:t>:</w:t>
            </w:r>
            <w:r w:rsidRPr="0077392E">
              <w:rPr>
                <w:bCs/>
                <w:sz w:val="24"/>
                <w:szCs w:val="24"/>
              </w:rPr>
              <w:br/>
              <w:t>:</w:t>
            </w:r>
          </w:p>
          <w:p w14:paraId="52D7B7F7" w14:textId="77777777" w:rsidR="00E84928" w:rsidRPr="0077392E" w:rsidRDefault="00E84928" w:rsidP="00286660">
            <w:pPr>
              <w:rPr>
                <w:bCs/>
                <w:sz w:val="24"/>
                <w:szCs w:val="24"/>
              </w:rPr>
            </w:pPr>
            <w:r w:rsidRPr="0077392E">
              <w:rPr>
                <w:bCs/>
                <w:sz w:val="24"/>
                <w:szCs w:val="24"/>
              </w:rPr>
              <w:t>:</w:t>
            </w:r>
          </w:p>
          <w:p w14:paraId="38B95593" w14:textId="77777777" w:rsidR="00E84928" w:rsidRPr="0077392E" w:rsidRDefault="00E84928" w:rsidP="00286660">
            <w:pPr>
              <w:rPr>
                <w:bCs/>
                <w:sz w:val="24"/>
                <w:szCs w:val="24"/>
              </w:rPr>
            </w:pPr>
            <w:r w:rsidRPr="0077392E">
              <w:rPr>
                <w:bCs/>
                <w:sz w:val="24"/>
                <w:szCs w:val="24"/>
              </w:rPr>
              <w:t>:</w:t>
            </w:r>
          </w:p>
          <w:p w14:paraId="3914AFE2" w14:textId="77777777" w:rsidR="00E84928" w:rsidRPr="0077392E" w:rsidRDefault="00E84928" w:rsidP="00286660">
            <w:pPr>
              <w:rPr>
                <w:bCs/>
                <w:sz w:val="24"/>
                <w:szCs w:val="24"/>
              </w:rPr>
            </w:pPr>
            <w:r w:rsidRPr="0077392E">
              <w:rPr>
                <w:bCs/>
                <w:sz w:val="24"/>
                <w:szCs w:val="24"/>
              </w:rPr>
              <w:t>:</w:t>
            </w:r>
          </w:p>
          <w:p w14:paraId="69AC55E1" w14:textId="77777777" w:rsidR="00E84928" w:rsidRPr="0077392E" w:rsidRDefault="00E84928" w:rsidP="00286660">
            <w:pPr>
              <w:rPr>
                <w:bCs/>
                <w:sz w:val="24"/>
                <w:szCs w:val="24"/>
              </w:rPr>
            </w:pPr>
            <w:r w:rsidRPr="0077392E">
              <w:rPr>
                <w:bCs/>
                <w:sz w:val="24"/>
                <w:szCs w:val="24"/>
              </w:rPr>
              <w:t>:</w:t>
            </w:r>
          </w:p>
          <w:p w14:paraId="13677E58" w14:textId="77777777" w:rsidR="00E84928" w:rsidRPr="0077392E" w:rsidRDefault="00E84928" w:rsidP="00286660">
            <w:pPr>
              <w:rPr>
                <w:bCs/>
                <w:sz w:val="24"/>
                <w:szCs w:val="24"/>
              </w:rPr>
            </w:pPr>
            <w:r w:rsidRPr="0077392E">
              <w:rPr>
                <w:bCs/>
                <w:sz w:val="24"/>
                <w:szCs w:val="24"/>
              </w:rPr>
              <w:t>:</w:t>
            </w:r>
          </w:p>
          <w:p w14:paraId="0466B523" w14:textId="77777777" w:rsidR="00E84928" w:rsidRPr="0077392E" w:rsidRDefault="00E84928" w:rsidP="00286660">
            <w:pPr>
              <w:rPr>
                <w:bCs/>
                <w:sz w:val="24"/>
                <w:szCs w:val="24"/>
              </w:rPr>
            </w:pPr>
            <w:r w:rsidRPr="0077392E">
              <w:rPr>
                <w:bCs/>
                <w:sz w:val="24"/>
                <w:szCs w:val="24"/>
              </w:rPr>
              <w:t>:</w:t>
            </w:r>
          </w:p>
          <w:p w14:paraId="733FB7E9" w14:textId="77777777" w:rsidR="00E84928" w:rsidRPr="0077392E" w:rsidRDefault="00E84928" w:rsidP="00286660">
            <w:pPr>
              <w:rPr>
                <w:bCs/>
                <w:sz w:val="24"/>
                <w:szCs w:val="24"/>
              </w:rPr>
            </w:pPr>
            <w:r w:rsidRPr="0077392E">
              <w:rPr>
                <w:bCs/>
                <w:sz w:val="24"/>
                <w:szCs w:val="24"/>
              </w:rPr>
              <w:t>:</w:t>
            </w:r>
          </w:p>
          <w:p w14:paraId="6E7F4853" w14:textId="77777777" w:rsidR="00E84928" w:rsidRPr="0077392E" w:rsidRDefault="00E84928" w:rsidP="00286660">
            <w:pPr>
              <w:rPr>
                <w:bCs/>
                <w:sz w:val="24"/>
                <w:szCs w:val="24"/>
              </w:rPr>
            </w:pPr>
            <w:r w:rsidRPr="0077392E">
              <w:rPr>
                <w:bCs/>
                <w:sz w:val="24"/>
                <w:szCs w:val="24"/>
              </w:rPr>
              <w:t>:</w:t>
            </w:r>
          </w:p>
          <w:p w14:paraId="24067A89" w14:textId="77777777" w:rsidR="00E84928" w:rsidRPr="0077392E" w:rsidRDefault="00E84928" w:rsidP="00286660">
            <w:pPr>
              <w:rPr>
                <w:bCs/>
                <w:sz w:val="24"/>
                <w:szCs w:val="24"/>
              </w:rPr>
            </w:pPr>
            <w:r w:rsidRPr="0077392E">
              <w:rPr>
                <w:bCs/>
                <w:sz w:val="24"/>
                <w:szCs w:val="24"/>
              </w:rPr>
              <w:t>:</w:t>
            </w:r>
          </w:p>
          <w:p w14:paraId="2797A047" w14:textId="77777777" w:rsidR="00E84928" w:rsidRPr="0077392E" w:rsidRDefault="00E84928" w:rsidP="00286660">
            <w:pPr>
              <w:rPr>
                <w:bCs/>
                <w:sz w:val="24"/>
                <w:szCs w:val="24"/>
              </w:rPr>
            </w:pPr>
            <w:r w:rsidRPr="0077392E">
              <w:rPr>
                <w:bCs/>
                <w:sz w:val="24"/>
                <w:szCs w:val="24"/>
              </w:rPr>
              <w:t>:</w:t>
            </w:r>
          </w:p>
        </w:tc>
        <w:tc>
          <w:tcPr>
            <w:tcW w:w="3784" w:type="dxa"/>
            <w:tcBorders>
              <w:top w:val="nil"/>
              <w:left w:val="nil"/>
              <w:bottom w:val="nil"/>
              <w:right w:val="nil"/>
            </w:tcBorders>
          </w:tcPr>
          <w:p w14:paraId="7EEC9AB5" w14:textId="77777777" w:rsidR="00E84928" w:rsidRPr="0077392E" w:rsidRDefault="00E84928" w:rsidP="00286660">
            <w:pPr>
              <w:widowControl w:val="0"/>
              <w:autoSpaceDE w:val="0"/>
              <w:autoSpaceDN w:val="0"/>
              <w:adjustRightInd w:val="0"/>
              <w:spacing w:before="100" w:beforeAutospacing="1" w:after="100" w:afterAutospacing="1"/>
              <w:jc w:val="center"/>
              <w:rPr>
                <w:bCs/>
                <w:sz w:val="24"/>
                <w:szCs w:val="24"/>
              </w:rPr>
            </w:pPr>
            <w:r w:rsidRPr="0077392E">
              <w:rPr>
                <w:bCs/>
                <w:sz w:val="24"/>
                <w:szCs w:val="24"/>
              </w:rPr>
              <w:t xml:space="preserve">Docket No. </w:t>
            </w:r>
            <w:bookmarkStart w:id="1" w:name="_Hlk147128449"/>
            <w:r w:rsidRPr="0077392E">
              <w:rPr>
                <w:bCs/>
                <w:sz w:val="24"/>
                <w:szCs w:val="24"/>
              </w:rPr>
              <w:t>A-2021-3024058</w:t>
            </w:r>
            <w:bookmarkEnd w:id="1"/>
          </w:p>
          <w:p w14:paraId="55F80691" w14:textId="77777777" w:rsidR="00E84928" w:rsidRPr="0077392E" w:rsidRDefault="00E84928" w:rsidP="00286660">
            <w:pPr>
              <w:rPr>
                <w:bCs/>
                <w:sz w:val="24"/>
                <w:szCs w:val="24"/>
              </w:rPr>
            </w:pPr>
          </w:p>
          <w:p w14:paraId="2720C969" w14:textId="77777777" w:rsidR="00E84928" w:rsidRPr="0077392E" w:rsidRDefault="00E84928" w:rsidP="00286660">
            <w:pPr>
              <w:rPr>
                <w:bCs/>
                <w:sz w:val="24"/>
                <w:szCs w:val="24"/>
              </w:rPr>
            </w:pPr>
          </w:p>
          <w:p w14:paraId="2FDB87BA" w14:textId="77777777" w:rsidR="00E84928" w:rsidRPr="0077392E" w:rsidRDefault="00E84928" w:rsidP="00286660">
            <w:pPr>
              <w:rPr>
                <w:bCs/>
                <w:sz w:val="24"/>
                <w:szCs w:val="24"/>
              </w:rPr>
            </w:pPr>
          </w:p>
          <w:p w14:paraId="13F2C875" w14:textId="77777777" w:rsidR="00E84928" w:rsidRPr="0077392E" w:rsidRDefault="00E84928" w:rsidP="00286660">
            <w:pPr>
              <w:rPr>
                <w:bCs/>
                <w:sz w:val="24"/>
                <w:szCs w:val="24"/>
              </w:rPr>
            </w:pPr>
          </w:p>
          <w:p w14:paraId="6400FAD5" w14:textId="77777777" w:rsidR="00E84928" w:rsidRPr="0077392E" w:rsidRDefault="00E84928" w:rsidP="00286660">
            <w:pPr>
              <w:rPr>
                <w:bCs/>
                <w:sz w:val="24"/>
                <w:szCs w:val="24"/>
              </w:rPr>
            </w:pPr>
          </w:p>
        </w:tc>
      </w:tr>
    </w:tbl>
    <w:p w14:paraId="207C8551" w14:textId="77777777" w:rsidR="00635EF4" w:rsidRPr="0077392E" w:rsidRDefault="00635EF4" w:rsidP="00587D3D">
      <w:pPr>
        <w:tabs>
          <w:tab w:val="center" w:pos="4680"/>
        </w:tabs>
        <w:jc w:val="both"/>
        <w:rPr>
          <w:sz w:val="24"/>
          <w:szCs w:val="24"/>
        </w:rPr>
      </w:pPr>
    </w:p>
    <w:p w14:paraId="207C8552" w14:textId="77777777" w:rsidR="00B60C0D" w:rsidRPr="0077392E" w:rsidRDefault="00B60C0D" w:rsidP="00587D3D">
      <w:pPr>
        <w:tabs>
          <w:tab w:val="center" w:pos="4680"/>
        </w:tabs>
        <w:jc w:val="both"/>
        <w:rPr>
          <w:sz w:val="24"/>
          <w:szCs w:val="24"/>
        </w:rPr>
      </w:pPr>
    </w:p>
    <w:p w14:paraId="207C8553" w14:textId="77777777" w:rsidR="00635EF4" w:rsidRPr="0077392E" w:rsidRDefault="00635EF4" w:rsidP="00635EF4">
      <w:pPr>
        <w:tabs>
          <w:tab w:val="left" w:pos="0"/>
        </w:tabs>
        <w:spacing w:line="233" w:lineRule="auto"/>
        <w:jc w:val="both"/>
        <w:rPr>
          <w:sz w:val="24"/>
          <w:szCs w:val="24"/>
        </w:rPr>
      </w:pPr>
    </w:p>
    <w:bookmarkEnd w:id="0"/>
    <w:p w14:paraId="207C8554" w14:textId="7BC7A274" w:rsidR="007812A5" w:rsidRPr="0077392E" w:rsidRDefault="00F536EC" w:rsidP="00292335">
      <w:pPr>
        <w:spacing w:line="233" w:lineRule="auto"/>
        <w:jc w:val="center"/>
        <w:rPr>
          <w:b/>
          <w:sz w:val="24"/>
          <w:szCs w:val="24"/>
          <w:u w:val="single"/>
        </w:rPr>
      </w:pPr>
      <w:r>
        <w:rPr>
          <w:b/>
          <w:sz w:val="24"/>
          <w:szCs w:val="24"/>
          <w:u w:val="single"/>
        </w:rPr>
        <w:t>P</w:t>
      </w:r>
      <w:r w:rsidR="009309DF">
        <w:rPr>
          <w:b/>
          <w:sz w:val="24"/>
          <w:szCs w:val="24"/>
          <w:u w:val="single"/>
        </w:rPr>
        <w:t>OST-</w:t>
      </w:r>
      <w:r>
        <w:rPr>
          <w:b/>
          <w:sz w:val="24"/>
          <w:szCs w:val="24"/>
          <w:u w:val="single"/>
        </w:rPr>
        <w:t>HEARING</w:t>
      </w:r>
      <w:r w:rsidR="00D16530" w:rsidRPr="0077392E">
        <w:rPr>
          <w:b/>
          <w:sz w:val="24"/>
          <w:szCs w:val="24"/>
          <w:u w:val="single"/>
        </w:rPr>
        <w:t xml:space="preserve"> </w:t>
      </w:r>
      <w:r w:rsidR="007812A5" w:rsidRPr="0077392E">
        <w:rPr>
          <w:b/>
          <w:sz w:val="24"/>
          <w:szCs w:val="24"/>
          <w:u w:val="single"/>
        </w:rPr>
        <w:t>ORDER</w:t>
      </w:r>
      <w:r>
        <w:rPr>
          <w:b/>
          <w:sz w:val="24"/>
          <w:szCs w:val="24"/>
          <w:u w:val="single"/>
        </w:rPr>
        <w:t xml:space="preserve"> No. </w:t>
      </w:r>
      <w:r w:rsidR="009309DF">
        <w:rPr>
          <w:b/>
          <w:sz w:val="24"/>
          <w:szCs w:val="24"/>
          <w:u w:val="single"/>
        </w:rPr>
        <w:t>1</w:t>
      </w:r>
    </w:p>
    <w:p w14:paraId="207C8555" w14:textId="77777777" w:rsidR="00884E1F" w:rsidRPr="0077392E" w:rsidRDefault="00884E1F" w:rsidP="00292335">
      <w:pPr>
        <w:spacing w:line="233" w:lineRule="auto"/>
        <w:jc w:val="center"/>
        <w:rPr>
          <w:b/>
          <w:sz w:val="24"/>
          <w:szCs w:val="24"/>
          <w:u w:val="single"/>
        </w:rPr>
      </w:pPr>
    </w:p>
    <w:p w14:paraId="207C8556" w14:textId="77777777" w:rsidR="002C6080" w:rsidRPr="0077392E" w:rsidRDefault="00256FBC" w:rsidP="002C6080">
      <w:pPr>
        <w:spacing w:line="233" w:lineRule="auto"/>
        <w:jc w:val="center"/>
        <w:rPr>
          <w:sz w:val="24"/>
          <w:szCs w:val="24"/>
        </w:rPr>
      </w:pPr>
      <w:r w:rsidRPr="0077392E">
        <w:rPr>
          <w:sz w:val="24"/>
          <w:szCs w:val="24"/>
        </w:rPr>
        <w:t>Deny</w:t>
      </w:r>
      <w:r w:rsidR="00563EF8" w:rsidRPr="0077392E">
        <w:rPr>
          <w:sz w:val="24"/>
          <w:szCs w:val="24"/>
        </w:rPr>
        <w:t xml:space="preserve"> the </w:t>
      </w:r>
      <w:r w:rsidR="002C6080" w:rsidRPr="0077392E">
        <w:rPr>
          <w:sz w:val="24"/>
          <w:szCs w:val="24"/>
        </w:rPr>
        <w:t xml:space="preserve">Motion of </w:t>
      </w:r>
    </w:p>
    <w:p w14:paraId="163AD7D2" w14:textId="77777777" w:rsidR="00E84928" w:rsidRPr="0077392E" w:rsidRDefault="00E84928" w:rsidP="002C6080">
      <w:pPr>
        <w:spacing w:line="233" w:lineRule="auto"/>
        <w:jc w:val="center"/>
        <w:rPr>
          <w:sz w:val="24"/>
          <w:szCs w:val="24"/>
        </w:rPr>
      </w:pPr>
      <w:r w:rsidRPr="0077392E">
        <w:rPr>
          <w:sz w:val="24"/>
          <w:szCs w:val="24"/>
        </w:rPr>
        <w:t>Pennsylvania-American Water</w:t>
      </w:r>
      <w:r w:rsidR="00563EF8" w:rsidRPr="0077392E">
        <w:rPr>
          <w:sz w:val="24"/>
          <w:szCs w:val="24"/>
        </w:rPr>
        <w:t xml:space="preserve"> </w:t>
      </w:r>
    </w:p>
    <w:p w14:paraId="0A469D52" w14:textId="77777777" w:rsidR="009309DF" w:rsidRDefault="00563EF8" w:rsidP="002C6080">
      <w:pPr>
        <w:spacing w:line="233" w:lineRule="auto"/>
        <w:jc w:val="center"/>
        <w:rPr>
          <w:sz w:val="24"/>
          <w:szCs w:val="24"/>
        </w:rPr>
      </w:pPr>
      <w:r w:rsidRPr="0077392E">
        <w:rPr>
          <w:sz w:val="24"/>
          <w:szCs w:val="24"/>
        </w:rPr>
        <w:t>Company</w:t>
      </w:r>
      <w:r w:rsidR="00E84928" w:rsidRPr="0077392E">
        <w:rPr>
          <w:sz w:val="24"/>
          <w:szCs w:val="24"/>
        </w:rPr>
        <w:t xml:space="preserve"> </w:t>
      </w:r>
      <w:r w:rsidR="002C6080" w:rsidRPr="0077392E">
        <w:rPr>
          <w:sz w:val="24"/>
          <w:szCs w:val="24"/>
        </w:rPr>
        <w:t xml:space="preserve">to </w:t>
      </w:r>
      <w:r w:rsidR="009309DF">
        <w:rPr>
          <w:sz w:val="24"/>
          <w:szCs w:val="24"/>
        </w:rPr>
        <w:t xml:space="preserve">Admit ALJ Exhibit 2 </w:t>
      </w:r>
    </w:p>
    <w:p w14:paraId="01BF5199" w14:textId="77777777" w:rsidR="009309DF" w:rsidRDefault="009309DF" w:rsidP="002C6080">
      <w:pPr>
        <w:spacing w:line="233" w:lineRule="auto"/>
        <w:jc w:val="center"/>
        <w:rPr>
          <w:sz w:val="24"/>
          <w:szCs w:val="24"/>
        </w:rPr>
      </w:pPr>
      <w:r>
        <w:rPr>
          <w:sz w:val="24"/>
          <w:szCs w:val="24"/>
        </w:rPr>
        <w:t xml:space="preserve">or, in the Alternative, </w:t>
      </w:r>
    </w:p>
    <w:p w14:paraId="207C855A" w14:textId="520E1819" w:rsidR="002C6080" w:rsidRPr="0077392E" w:rsidRDefault="009309DF" w:rsidP="002C6080">
      <w:pPr>
        <w:spacing w:line="233" w:lineRule="auto"/>
        <w:jc w:val="center"/>
        <w:rPr>
          <w:sz w:val="24"/>
          <w:szCs w:val="24"/>
          <w:u w:val="single"/>
        </w:rPr>
      </w:pPr>
      <w:r>
        <w:rPr>
          <w:sz w:val="24"/>
          <w:szCs w:val="24"/>
        </w:rPr>
        <w:t>Admit ALJ Exhibit 1</w:t>
      </w:r>
    </w:p>
    <w:p w14:paraId="748A49F6" w14:textId="77777777" w:rsidR="00E84928" w:rsidRPr="0077392E" w:rsidRDefault="00635EF4" w:rsidP="00241675">
      <w:pPr>
        <w:spacing w:line="360" w:lineRule="auto"/>
        <w:rPr>
          <w:sz w:val="24"/>
          <w:szCs w:val="24"/>
        </w:rPr>
      </w:pP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00E84928" w:rsidRPr="0077392E">
        <w:rPr>
          <w:sz w:val="24"/>
          <w:szCs w:val="24"/>
        </w:rPr>
        <w:t xml:space="preserve">On March 31, 2023, Pennsylvania-American Water Company (PAWC) filed with the Pennsylvania Public Utility Commission (Commission) its Application, pursuant to Sections 1102 and 1329 of the Public Utility Code, for approval to acquire substantially all of the assets, properties and rights related to the wastewater collection system owned by the Borough of Brentwood (Brentwood) as follows: (1) the transfer, by sale, of substantially all of Brentwood’s assets, properties and rights related to its wastewater collection and conveyance system to PAWC, and (2) the rights of PAWC to begin to offer or furnish wastewater service to the public in Brentwood (the Application).  On May 31, 2023, PAWC filed an Amendment to the Application, and seeks approval of, </w:t>
      </w:r>
      <w:r w:rsidR="00E84928" w:rsidRPr="0077392E">
        <w:rPr>
          <w:i/>
          <w:iCs/>
          <w:sz w:val="24"/>
          <w:szCs w:val="24"/>
        </w:rPr>
        <w:t>inter alia</w:t>
      </w:r>
      <w:r w:rsidR="00E84928" w:rsidRPr="0077392E">
        <w:rPr>
          <w:sz w:val="24"/>
          <w:szCs w:val="24"/>
        </w:rPr>
        <w:t xml:space="preserve">, the Asset Purchase Agreement and First Amendment to the Asset Purchase Agreement </w:t>
      </w:r>
      <w:proofErr w:type="gramStart"/>
      <w:r w:rsidR="00E84928" w:rsidRPr="0077392E">
        <w:rPr>
          <w:sz w:val="24"/>
          <w:szCs w:val="24"/>
        </w:rPr>
        <w:t>By</w:t>
      </w:r>
      <w:proofErr w:type="gramEnd"/>
      <w:r w:rsidR="00E84928" w:rsidRPr="0077392E">
        <w:rPr>
          <w:sz w:val="24"/>
          <w:szCs w:val="24"/>
        </w:rPr>
        <w:t xml:space="preserve"> and Between Brentwood, as Seller, and PAWC, as Buyer, dated as of December 22, 2020, and as amended on March 2, 2023 (collectively the Purchase Agreement or APA).  </w:t>
      </w:r>
    </w:p>
    <w:p w14:paraId="3BE11C46" w14:textId="77777777" w:rsidR="00351C95" w:rsidRDefault="00E84928" w:rsidP="00241675">
      <w:pPr>
        <w:pStyle w:val="NoSpacing"/>
        <w:spacing w:line="360" w:lineRule="auto"/>
        <w:rPr>
          <w:szCs w:val="24"/>
        </w:rPr>
      </w:pPr>
      <w:r w:rsidRPr="0077392E">
        <w:rPr>
          <w:szCs w:val="24"/>
        </w:rPr>
        <w:lastRenderedPageBreak/>
        <w:tab/>
      </w:r>
      <w:r w:rsidRPr="0077392E">
        <w:rPr>
          <w:szCs w:val="24"/>
        </w:rPr>
        <w:tab/>
        <w:t xml:space="preserve">On </w:t>
      </w:r>
      <w:r w:rsidR="009309DF">
        <w:rPr>
          <w:szCs w:val="24"/>
        </w:rPr>
        <w:t xml:space="preserve">November 8, 2023, PAWC filed the Joint Stipulation </w:t>
      </w:r>
      <w:proofErr w:type="gramStart"/>
      <w:r w:rsidR="009309DF">
        <w:rPr>
          <w:szCs w:val="24"/>
        </w:rPr>
        <w:t>entered into</w:t>
      </w:r>
      <w:proofErr w:type="gramEnd"/>
      <w:r w:rsidR="009309DF">
        <w:rPr>
          <w:szCs w:val="24"/>
        </w:rPr>
        <w:t xml:space="preserve"> between PAWC, Brentwood and the Allegheny County Sanitary Authority (</w:t>
      </w:r>
      <w:proofErr w:type="spellStart"/>
      <w:r w:rsidR="009309DF">
        <w:rPr>
          <w:szCs w:val="24"/>
        </w:rPr>
        <w:t>Alcosan</w:t>
      </w:r>
      <w:proofErr w:type="spellEnd"/>
      <w:r w:rsidR="009309DF">
        <w:rPr>
          <w:szCs w:val="24"/>
        </w:rPr>
        <w:t xml:space="preserve">), </w:t>
      </w:r>
      <w:r w:rsidR="00351C95">
        <w:rPr>
          <w:szCs w:val="24"/>
        </w:rPr>
        <w:t>(</w:t>
      </w:r>
      <w:r w:rsidR="009309DF">
        <w:rPr>
          <w:szCs w:val="24"/>
        </w:rPr>
        <w:t>collectively</w:t>
      </w:r>
      <w:r w:rsidR="00351C95">
        <w:rPr>
          <w:szCs w:val="24"/>
        </w:rPr>
        <w:t>,</w:t>
      </w:r>
      <w:r w:rsidR="009309DF">
        <w:rPr>
          <w:szCs w:val="24"/>
        </w:rPr>
        <w:t xml:space="preserve"> Stipulating Parties</w:t>
      </w:r>
      <w:r w:rsidR="00351C95">
        <w:rPr>
          <w:szCs w:val="24"/>
        </w:rPr>
        <w:t>)</w:t>
      </w:r>
      <w:r w:rsidR="009309DF">
        <w:rPr>
          <w:szCs w:val="24"/>
        </w:rPr>
        <w:t xml:space="preserve">.  </w:t>
      </w:r>
      <w:r w:rsidR="005643AB">
        <w:rPr>
          <w:szCs w:val="24"/>
        </w:rPr>
        <w:t xml:space="preserve">PAWC served a copy of the filing upon the presiding officer and other parties via electronic mail.  </w:t>
      </w:r>
      <w:r w:rsidR="009309DF">
        <w:rPr>
          <w:szCs w:val="24"/>
        </w:rPr>
        <w:t xml:space="preserve">At 9:00 a.m. on </w:t>
      </w:r>
      <w:r w:rsidR="009D790B">
        <w:rPr>
          <w:szCs w:val="24"/>
        </w:rPr>
        <w:t xml:space="preserve">Wednesday, </w:t>
      </w:r>
      <w:r w:rsidR="005643AB">
        <w:rPr>
          <w:szCs w:val="24"/>
        </w:rPr>
        <w:t>November 8, 2023, the presiding officer convened the first day of evidentiary hearings.  During the evidentiary hearing, PAWC asked the presiding officer</w:t>
      </w:r>
      <w:r w:rsidR="00A13BDB">
        <w:rPr>
          <w:szCs w:val="24"/>
        </w:rPr>
        <w:t xml:space="preserve"> to</w:t>
      </w:r>
      <w:r w:rsidR="005643AB">
        <w:rPr>
          <w:szCs w:val="24"/>
        </w:rPr>
        <w:t xml:space="preserve"> mark the Joint Stipulation, which request was granted</w:t>
      </w:r>
      <w:r w:rsidR="00A13BDB">
        <w:rPr>
          <w:szCs w:val="24"/>
        </w:rPr>
        <w:t>,</w:t>
      </w:r>
      <w:r w:rsidR="005643AB">
        <w:rPr>
          <w:szCs w:val="24"/>
        </w:rPr>
        <w:t xml:space="preserve"> and the Joint Stipulation subsequently was marked </w:t>
      </w:r>
      <w:r w:rsidR="00A13BDB">
        <w:rPr>
          <w:szCs w:val="24"/>
        </w:rPr>
        <w:t xml:space="preserve">as ALJ Exhibit 1.  At the evidentiary hearing, PAWC </w:t>
      </w:r>
      <w:r w:rsidR="005643AB">
        <w:rPr>
          <w:szCs w:val="24"/>
        </w:rPr>
        <w:t>notified the presiding officer and other parties that the Joint Stipulation, as filed, did not contain Schedules</w:t>
      </w:r>
      <w:r w:rsidR="00A13BDB">
        <w:rPr>
          <w:szCs w:val="24"/>
        </w:rPr>
        <w:t xml:space="preserve"> as appendices, as referenced within the body of the Joint Stipulation.  Accordingly, ALJ Exhibit 1 was not admitted into the hearing record.  </w:t>
      </w:r>
    </w:p>
    <w:p w14:paraId="7FD3232C" w14:textId="77777777" w:rsidR="00351C95" w:rsidRDefault="00351C95" w:rsidP="00241675">
      <w:pPr>
        <w:pStyle w:val="NoSpacing"/>
        <w:spacing w:line="360" w:lineRule="auto"/>
        <w:rPr>
          <w:szCs w:val="24"/>
        </w:rPr>
      </w:pPr>
    </w:p>
    <w:p w14:paraId="554081E2" w14:textId="14A026E1" w:rsidR="0008705B" w:rsidRDefault="00351C95" w:rsidP="00351C95">
      <w:pPr>
        <w:pStyle w:val="NoSpacing"/>
        <w:spacing w:line="360" w:lineRule="auto"/>
        <w:ind w:firstLine="1440"/>
        <w:rPr>
          <w:szCs w:val="24"/>
        </w:rPr>
      </w:pPr>
      <w:r>
        <w:rPr>
          <w:szCs w:val="24"/>
        </w:rPr>
        <w:t>On the hearing record, t</w:t>
      </w:r>
      <w:r w:rsidR="00A13BDB">
        <w:rPr>
          <w:szCs w:val="24"/>
        </w:rPr>
        <w:t xml:space="preserve">he presiding officer advised the Stipulating Parties to </w:t>
      </w:r>
      <w:r>
        <w:rPr>
          <w:szCs w:val="24"/>
        </w:rPr>
        <w:t>correct the defect by filing</w:t>
      </w:r>
      <w:r w:rsidR="00A13BDB">
        <w:rPr>
          <w:szCs w:val="24"/>
        </w:rPr>
        <w:t xml:space="preserve"> the </w:t>
      </w:r>
      <w:r>
        <w:rPr>
          <w:szCs w:val="24"/>
        </w:rPr>
        <w:t>amendment</w:t>
      </w:r>
      <w:r w:rsidR="00A13BDB">
        <w:rPr>
          <w:szCs w:val="24"/>
        </w:rPr>
        <w:t xml:space="preserve"> before the second day of evidentiary hearings (i.e., </w:t>
      </w:r>
      <w:r w:rsidR="009D790B">
        <w:rPr>
          <w:szCs w:val="24"/>
        </w:rPr>
        <w:t xml:space="preserve">Tuesday, </w:t>
      </w:r>
      <w:r w:rsidR="00A13BDB">
        <w:rPr>
          <w:szCs w:val="24"/>
        </w:rPr>
        <w:t>November 14, 2023)</w:t>
      </w:r>
      <w:r>
        <w:rPr>
          <w:szCs w:val="24"/>
        </w:rPr>
        <w:t>.  The presiding officer noted</w:t>
      </w:r>
      <w:r w:rsidR="00A13BDB">
        <w:rPr>
          <w:szCs w:val="24"/>
        </w:rPr>
        <w:t xml:space="preserve"> the other parties </w:t>
      </w:r>
      <w:r>
        <w:rPr>
          <w:szCs w:val="24"/>
        </w:rPr>
        <w:t>needed</w:t>
      </w:r>
      <w:r w:rsidR="00A13BDB">
        <w:rPr>
          <w:szCs w:val="24"/>
        </w:rPr>
        <w:t xml:space="preserve"> time in which to review the Joint Stipulation in full and, thus, be able to determine if additional cross-examination was needed</w:t>
      </w:r>
      <w:r>
        <w:rPr>
          <w:szCs w:val="24"/>
        </w:rPr>
        <w:t xml:space="preserve">, </w:t>
      </w:r>
      <w:r w:rsidR="00A13BDB">
        <w:rPr>
          <w:szCs w:val="24"/>
        </w:rPr>
        <w:t>objections would be appropriate</w:t>
      </w:r>
      <w:r>
        <w:rPr>
          <w:szCs w:val="24"/>
        </w:rPr>
        <w:t xml:space="preserve"> or if the parties would consent</w:t>
      </w:r>
      <w:r w:rsidR="00A13BDB">
        <w:rPr>
          <w:szCs w:val="24"/>
        </w:rPr>
        <w:t>.  The Stipulating Parties indicated they understood the directions from the presiding officer and would re-file the Joint Stipulation with the schedules referenced in the original filing</w:t>
      </w:r>
      <w:r w:rsidR="009D790B">
        <w:rPr>
          <w:szCs w:val="24"/>
        </w:rPr>
        <w:t xml:space="preserve"> </w:t>
      </w:r>
      <w:r>
        <w:rPr>
          <w:szCs w:val="24"/>
        </w:rPr>
        <w:t>in sufficient time</w:t>
      </w:r>
      <w:r w:rsidR="009D790B">
        <w:rPr>
          <w:szCs w:val="24"/>
        </w:rPr>
        <w:t xml:space="preserve">.  </w:t>
      </w:r>
    </w:p>
    <w:p w14:paraId="3783923F" w14:textId="77777777" w:rsidR="0008705B" w:rsidRDefault="0008705B" w:rsidP="00241675">
      <w:pPr>
        <w:pStyle w:val="NoSpacing"/>
        <w:spacing w:line="360" w:lineRule="auto"/>
        <w:rPr>
          <w:szCs w:val="24"/>
        </w:rPr>
      </w:pPr>
    </w:p>
    <w:p w14:paraId="207C855F" w14:textId="4E147FE7" w:rsidR="00635EF4" w:rsidRDefault="0008705B" w:rsidP="0008705B">
      <w:pPr>
        <w:pStyle w:val="NoSpacing"/>
        <w:spacing w:line="360" w:lineRule="auto"/>
        <w:ind w:firstLine="1440"/>
        <w:rPr>
          <w:szCs w:val="24"/>
        </w:rPr>
      </w:pPr>
      <w:r>
        <w:rPr>
          <w:szCs w:val="24"/>
        </w:rPr>
        <w:t xml:space="preserve">The Stipulating Parties did not re-file an amended stipulation prior to the start of the second day of evidentiary hearings.  </w:t>
      </w:r>
      <w:r w:rsidR="009D790B">
        <w:rPr>
          <w:szCs w:val="24"/>
        </w:rPr>
        <w:t xml:space="preserve">There were six days between the first day and second day of hearings, but only two business days </w:t>
      </w:r>
      <w:r>
        <w:rPr>
          <w:szCs w:val="24"/>
        </w:rPr>
        <w:t xml:space="preserve">were available during that time frame </w:t>
      </w:r>
      <w:r w:rsidR="009D790B">
        <w:rPr>
          <w:szCs w:val="24"/>
        </w:rPr>
        <w:t>for state employees, including the statutory advocates</w:t>
      </w:r>
      <w:r w:rsidR="00A13BDB">
        <w:rPr>
          <w:szCs w:val="24"/>
        </w:rPr>
        <w:t>.</w:t>
      </w:r>
      <w:r w:rsidR="009D790B">
        <w:rPr>
          <w:rStyle w:val="FootnoteReference"/>
          <w:szCs w:val="24"/>
        </w:rPr>
        <w:footnoteReference w:id="1"/>
      </w:r>
      <w:r w:rsidR="00A13BDB">
        <w:rPr>
          <w:szCs w:val="24"/>
        </w:rPr>
        <w:t xml:space="preserve">  </w:t>
      </w:r>
    </w:p>
    <w:p w14:paraId="2E191A8F" w14:textId="77777777" w:rsidR="00A13BDB" w:rsidRDefault="00A13BDB" w:rsidP="00241675">
      <w:pPr>
        <w:pStyle w:val="NoSpacing"/>
        <w:spacing w:line="360" w:lineRule="auto"/>
        <w:rPr>
          <w:szCs w:val="24"/>
        </w:rPr>
      </w:pPr>
    </w:p>
    <w:p w14:paraId="29A6735F" w14:textId="5B43FD0B" w:rsidR="00A13BDB" w:rsidRDefault="00A13BDB" w:rsidP="00241675">
      <w:pPr>
        <w:pStyle w:val="NoSpacing"/>
        <w:spacing w:line="360" w:lineRule="auto"/>
        <w:rPr>
          <w:szCs w:val="24"/>
        </w:rPr>
      </w:pPr>
      <w:r>
        <w:rPr>
          <w:szCs w:val="24"/>
        </w:rPr>
        <w:tab/>
      </w:r>
      <w:r>
        <w:rPr>
          <w:szCs w:val="24"/>
        </w:rPr>
        <w:tab/>
        <w:t xml:space="preserve">On </w:t>
      </w:r>
      <w:r w:rsidR="009D790B">
        <w:rPr>
          <w:szCs w:val="24"/>
        </w:rPr>
        <w:t xml:space="preserve">Tuesday, </w:t>
      </w:r>
      <w:r>
        <w:rPr>
          <w:szCs w:val="24"/>
        </w:rPr>
        <w:t xml:space="preserve">November </w:t>
      </w:r>
      <w:r w:rsidR="003D6E2D">
        <w:rPr>
          <w:szCs w:val="24"/>
        </w:rPr>
        <w:t>14, 2023, the presiding officer reconvened the evidentiary hearing at 9:00 a.m.  While discussing preliminary matters, PAWC indicated it filed an amended version of the Joint Stipulation (Amended Stipulation) earlier that morning.</w:t>
      </w:r>
      <w:r w:rsidR="003D6E2D">
        <w:rPr>
          <w:rStyle w:val="FootnoteReference"/>
          <w:szCs w:val="24"/>
        </w:rPr>
        <w:footnoteReference w:id="2"/>
      </w:r>
      <w:r w:rsidR="003D6E2D">
        <w:rPr>
          <w:szCs w:val="24"/>
        </w:rPr>
        <w:t xml:space="preserve">  </w:t>
      </w:r>
      <w:r w:rsidR="009D790B">
        <w:rPr>
          <w:szCs w:val="24"/>
        </w:rPr>
        <w:t xml:space="preserve">PAWC served the Amended Stipulation via electronic mail on the presiding officer and other parties at </w:t>
      </w:r>
      <w:r w:rsidR="009D790B">
        <w:rPr>
          <w:szCs w:val="24"/>
        </w:rPr>
        <w:lastRenderedPageBreak/>
        <w:t>9:28 a.m. on November 14, 2023</w:t>
      </w:r>
      <w:r w:rsidR="00351C95">
        <w:rPr>
          <w:szCs w:val="24"/>
        </w:rPr>
        <w:t>, after the start of the evidentiary hearing</w:t>
      </w:r>
      <w:r w:rsidR="009D790B">
        <w:rPr>
          <w:szCs w:val="24"/>
        </w:rPr>
        <w:t xml:space="preserve">.  </w:t>
      </w:r>
      <w:r w:rsidR="0008705B">
        <w:rPr>
          <w:szCs w:val="24"/>
        </w:rPr>
        <w:t xml:space="preserve">BIE, OCA and OSBA objected to the admission of the Amended Stipulation, citing due process concerns.  Brentwood and </w:t>
      </w:r>
      <w:proofErr w:type="spellStart"/>
      <w:r w:rsidR="0008705B">
        <w:rPr>
          <w:szCs w:val="24"/>
        </w:rPr>
        <w:t>Alcosan</w:t>
      </w:r>
      <w:proofErr w:type="spellEnd"/>
      <w:r w:rsidR="0008705B">
        <w:rPr>
          <w:szCs w:val="24"/>
        </w:rPr>
        <w:t xml:space="preserve"> noted their support for the request of PAWC to admit</w:t>
      </w:r>
      <w:r w:rsidR="00351C95">
        <w:rPr>
          <w:szCs w:val="24"/>
        </w:rPr>
        <w:t xml:space="preserve"> the Amended Stipulation</w:t>
      </w:r>
      <w:r w:rsidR="0008705B">
        <w:rPr>
          <w:szCs w:val="24"/>
        </w:rPr>
        <w:t>.  The presiding officer marked the Amended Stipulation as ALJ Exhibit 2 and indicated on the hearing record the parties would have an opportunity to comment on or object to the admission of ALJ Exhibit 2, provided any comment or objection was in writing and filed with the Commission by close of business on November 14, 2023.</w:t>
      </w:r>
    </w:p>
    <w:p w14:paraId="10A87151" w14:textId="77777777" w:rsidR="0008705B" w:rsidRDefault="0008705B" w:rsidP="00241675">
      <w:pPr>
        <w:pStyle w:val="NoSpacing"/>
        <w:spacing w:line="360" w:lineRule="auto"/>
        <w:rPr>
          <w:szCs w:val="24"/>
        </w:rPr>
      </w:pPr>
    </w:p>
    <w:p w14:paraId="207C8565" w14:textId="6BCAA2C3" w:rsidR="00B74DAB" w:rsidRPr="0077392E" w:rsidRDefault="0008705B" w:rsidP="0008705B">
      <w:pPr>
        <w:pStyle w:val="NoSpacing"/>
        <w:spacing w:line="360" w:lineRule="auto"/>
        <w:rPr>
          <w:szCs w:val="24"/>
        </w:rPr>
      </w:pPr>
      <w:r>
        <w:rPr>
          <w:szCs w:val="24"/>
        </w:rPr>
        <w:tab/>
      </w:r>
      <w:r>
        <w:rPr>
          <w:szCs w:val="24"/>
        </w:rPr>
        <w:tab/>
        <w:t xml:space="preserve">Written comments </w:t>
      </w:r>
      <w:r w:rsidR="00351C95">
        <w:rPr>
          <w:szCs w:val="24"/>
        </w:rPr>
        <w:t xml:space="preserve">in support </w:t>
      </w:r>
      <w:r>
        <w:rPr>
          <w:szCs w:val="24"/>
        </w:rPr>
        <w:t xml:space="preserve">were received from PAWC, Brentwood and </w:t>
      </w:r>
      <w:proofErr w:type="spellStart"/>
      <w:r>
        <w:rPr>
          <w:szCs w:val="24"/>
        </w:rPr>
        <w:t>Alcosan</w:t>
      </w:r>
      <w:proofErr w:type="spellEnd"/>
      <w:r>
        <w:rPr>
          <w:szCs w:val="24"/>
        </w:rPr>
        <w:t xml:space="preserve">.  A written objection was received from BIE.  </w:t>
      </w:r>
    </w:p>
    <w:p w14:paraId="207C8566" w14:textId="77777777" w:rsidR="00625250" w:rsidRPr="0077392E" w:rsidRDefault="00625250" w:rsidP="00241675">
      <w:pPr>
        <w:spacing w:line="360" w:lineRule="auto"/>
        <w:rPr>
          <w:sz w:val="24"/>
          <w:szCs w:val="24"/>
        </w:rPr>
      </w:pPr>
    </w:p>
    <w:p w14:paraId="207C8567" w14:textId="77777777" w:rsidR="00625250" w:rsidRPr="0077392E" w:rsidRDefault="00625250" w:rsidP="00625250">
      <w:pPr>
        <w:spacing w:line="360" w:lineRule="auto"/>
        <w:jc w:val="center"/>
        <w:rPr>
          <w:sz w:val="24"/>
          <w:szCs w:val="24"/>
        </w:rPr>
      </w:pPr>
      <w:r w:rsidRPr="0077392E">
        <w:rPr>
          <w:sz w:val="24"/>
          <w:szCs w:val="24"/>
          <w:u w:val="single"/>
        </w:rPr>
        <w:t>DISCUSSION</w:t>
      </w:r>
    </w:p>
    <w:p w14:paraId="207C8568" w14:textId="77777777" w:rsidR="00625250" w:rsidRPr="0077392E" w:rsidRDefault="00625250" w:rsidP="00625250">
      <w:pPr>
        <w:spacing w:line="360" w:lineRule="auto"/>
        <w:rPr>
          <w:sz w:val="24"/>
          <w:szCs w:val="24"/>
        </w:rPr>
      </w:pPr>
    </w:p>
    <w:p w14:paraId="207C8569" w14:textId="3D6A60CF" w:rsidR="00625250" w:rsidRDefault="00625250" w:rsidP="00295D11">
      <w:pPr>
        <w:spacing w:line="360" w:lineRule="auto"/>
        <w:rPr>
          <w:sz w:val="24"/>
          <w:szCs w:val="24"/>
        </w:rPr>
      </w:pPr>
      <w:r w:rsidRPr="0077392E">
        <w:rPr>
          <w:sz w:val="24"/>
          <w:szCs w:val="24"/>
        </w:rPr>
        <w:tab/>
      </w:r>
      <w:r w:rsidRPr="0077392E">
        <w:rPr>
          <w:sz w:val="24"/>
          <w:szCs w:val="24"/>
        </w:rPr>
        <w:tab/>
      </w:r>
      <w:r w:rsidR="00CD6B24">
        <w:rPr>
          <w:sz w:val="24"/>
          <w:szCs w:val="24"/>
        </w:rPr>
        <w:t xml:space="preserve">Pursuant to 66 </w:t>
      </w:r>
      <w:proofErr w:type="spellStart"/>
      <w:r w:rsidR="00CD6B24">
        <w:rPr>
          <w:sz w:val="24"/>
          <w:szCs w:val="24"/>
        </w:rPr>
        <w:t>Pa.C.S</w:t>
      </w:r>
      <w:proofErr w:type="spellEnd"/>
      <w:r w:rsidR="00CD6B24">
        <w:rPr>
          <w:sz w:val="24"/>
          <w:szCs w:val="24"/>
        </w:rPr>
        <w:t xml:space="preserve">. § 331(d), the presiding officer shall have the authority to, </w:t>
      </w:r>
      <w:r w:rsidR="00CD6B24" w:rsidRPr="00CD6B24">
        <w:rPr>
          <w:i/>
          <w:iCs/>
          <w:sz w:val="24"/>
          <w:szCs w:val="24"/>
        </w:rPr>
        <w:t>inter alia</w:t>
      </w:r>
      <w:r w:rsidR="00CD6B24">
        <w:rPr>
          <w:sz w:val="24"/>
          <w:szCs w:val="24"/>
        </w:rPr>
        <w:t xml:space="preserve">, “rule upon offers of proof and receive relevant evidence whenever the ends of justice would be served thereby.”  In addition, the same statute requires the presiding officer to regulate the course </w:t>
      </w:r>
      <w:r w:rsidR="00351C95">
        <w:rPr>
          <w:sz w:val="24"/>
          <w:szCs w:val="24"/>
        </w:rPr>
        <w:t xml:space="preserve">of </w:t>
      </w:r>
      <w:r w:rsidR="00CD6B24">
        <w:rPr>
          <w:sz w:val="24"/>
          <w:szCs w:val="24"/>
        </w:rPr>
        <w:t>hearings</w:t>
      </w:r>
      <w:r w:rsidR="00351C95">
        <w:rPr>
          <w:sz w:val="24"/>
          <w:szCs w:val="24"/>
        </w:rPr>
        <w:t xml:space="preserve"> before the Commission</w:t>
      </w:r>
      <w:r w:rsidR="00CD6B24">
        <w:rPr>
          <w:sz w:val="24"/>
          <w:szCs w:val="24"/>
        </w:rPr>
        <w:t xml:space="preserve">.  The presiding officer is required to conduct hearings and all functions of the position in an impartial manner.  66 </w:t>
      </w:r>
      <w:proofErr w:type="spellStart"/>
      <w:r w:rsidR="00CD6B24">
        <w:rPr>
          <w:sz w:val="24"/>
          <w:szCs w:val="24"/>
        </w:rPr>
        <w:t>Pa.C.S</w:t>
      </w:r>
      <w:proofErr w:type="spellEnd"/>
      <w:r w:rsidR="00CD6B24">
        <w:rPr>
          <w:sz w:val="24"/>
          <w:szCs w:val="24"/>
        </w:rPr>
        <w:t>. § 331(c)</w:t>
      </w:r>
      <w:r w:rsidR="00351C95">
        <w:rPr>
          <w:sz w:val="24"/>
          <w:szCs w:val="24"/>
        </w:rPr>
        <w:t xml:space="preserve"> and 52 </w:t>
      </w:r>
      <w:proofErr w:type="spellStart"/>
      <w:proofErr w:type="gramStart"/>
      <w:r w:rsidR="00351C95">
        <w:rPr>
          <w:sz w:val="24"/>
          <w:szCs w:val="24"/>
        </w:rPr>
        <w:t>Pa.Code</w:t>
      </w:r>
      <w:proofErr w:type="spellEnd"/>
      <w:proofErr w:type="gramEnd"/>
      <w:r w:rsidR="00351C95">
        <w:rPr>
          <w:sz w:val="24"/>
          <w:szCs w:val="24"/>
        </w:rPr>
        <w:t xml:space="preserve"> § 5.483</w:t>
      </w:r>
      <w:r w:rsidR="00CD6B24">
        <w:rPr>
          <w:sz w:val="24"/>
          <w:szCs w:val="24"/>
        </w:rPr>
        <w:t>.</w:t>
      </w:r>
    </w:p>
    <w:p w14:paraId="32E980AE" w14:textId="77777777" w:rsidR="00CD6B24" w:rsidRDefault="00CD6B24" w:rsidP="00295D11">
      <w:pPr>
        <w:spacing w:line="360" w:lineRule="auto"/>
        <w:rPr>
          <w:sz w:val="24"/>
          <w:szCs w:val="24"/>
        </w:rPr>
      </w:pPr>
    </w:p>
    <w:p w14:paraId="1950BEC3" w14:textId="76081059" w:rsidR="00CD6B24" w:rsidRDefault="00CD6B24" w:rsidP="00295D11">
      <w:pPr>
        <w:spacing w:line="360" w:lineRule="auto"/>
        <w:rPr>
          <w:sz w:val="24"/>
          <w:szCs w:val="24"/>
        </w:rPr>
      </w:pPr>
      <w:r>
        <w:rPr>
          <w:sz w:val="24"/>
          <w:szCs w:val="24"/>
        </w:rPr>
        <w:tab/>
      </w:r>
      <w:r>
        <w:rPr>
          <w:sz w:val="24"/>
          <w:szCs w:val="24"/>
        </w:rPr>
        <w:tab/>
        <w:t xml:space="preserve">Relevant and material evidence is admissible at a hearing before the Commission except a request to admit proposed evidence will be denied if the probative value of the evidence is outweighed by a danger of unfair prejudice.  52 </w:t>
      </w:r>
      <w:proofErr w:type="spellStart"/>
      <w:proofErr w:type="gramStart"/>
      <w:r>
        <w:rPr>
          <w:sz w:val="24"/>
          <w:szCs w:val="24"/>
        </w:rPr>
        <w:t>Pa.Code</w:t>
      </w:r>
      <w:proofErr w:type="spellEnd"/>
      <w:proofErr w:type="gramEnd"/>
      <w:r>
        <w:rPr>
          <w:sz w:val="24"/>
          <w:szCs w:val="24"/>
        </w:rPr>
        <w:t xml:space="preserve"> § 5.401.  A party which desires to move</w:t>
      </w:r>
      <w:r w:rsidR="00BB029F">
        <w:rPr>
          <w:sz w:val="24"/>
          <w:szCs w:val="24"/>
        </w:rPr>
        <w:t xml:space="preserve"> </w:t>
      </w:r>
      <w:r>
        <w:rPr>
          <w:sz w:val="24"/>
          <w:szCs w:val="24"/>
        </w:rPr>
        <w:t xml:space="preserve">evidence into the hearing record must present the evidence through a sponsoring witness, and after providing the other parties with an opportunity to examine the sponsoring witness.  52 </w:t>
      </w:r>
      <w:proofErr w:type="spellStart"/>
      <w:proofErr w:type="gramStart"/>
      <w:r>
        <w:rPr>
          <w:sz w:val="24"/>
          <w:szCs w:val="24"/>
        </w:rPr>
        <w:t>Pa.Code</w:t>
      </w:r>
      <w:proofErr w:type="spellEnd"/>
      <w:proofErr w:type="gramEnd"/>
      <w:r>
        <w:rPr>
          <w:sz w:val="24"/>
          <w:szCs w:val="24"/>
        </w:rPr>
        <w:t xml:space="preserve"> § </w:t>
      </w:r>
      <w:r w:rsidR="00F00EDC">
        <w:rPr>
          <w:sz w:val="24"/>
          <w:szCs w:val="24"/>
        </w:rPr>
        <w:t xml:space="preserve">5.402.  The presiding officer has all necessary authority to control the receipt of evidence, including making rulings on the admissibility of evidence, and a presiding officer must employ his/her enumerated power to direct and focus the proceeding, consistent with due process requirements.  52 </w:t>
      </w:r>
      <w:proofErr w:type="spellStart"/>
      <w:proofErr w:type="gramStart"/>
      <w:r w:rsidR="00F00EDC">
        <w:rPr>
          <w:sz w:val="24"/>
          <w:szCs w:val="24"/>
        </w:rPr>
        <w:t>Pa.Code</w:t>
      </w:r>
      <w:proofErr w:type="spellEnd"/>
      <w:proofErr w:type="gramEnd"/>
      <w:r w:rsidR="00F00EDC">
        <w:rPr>
          <w:sz w:val="24"/>
          <w:szCs w:val="24"/>
        </w:rPr>
        <w:t xml:space="preserve"> </w:t>
      </w:r>
      <w:r w:rsidR="004F0C64">
        <w:rPr>
          <w:sz w:val="24"/>
          <w:szCs w:val="24"/>
        </w:rPr>
        <w:t>§</w:t>
      </w:r>
      <w:r w:rsidR="00F00EDC">
        <w:rPr>
          <w:sz w:val="24"/>
          <w:szCs w:val="24"/>
        </w:rPr>
        <w:t>§ 5.403</w:t>
      </w:r>
      <w:r w:rsidR="004F0C64">
        <w:rPr>
          <w:sz w:val="24"/>
          <w:szCs w:val="24"/>
        </w:rPr>
        <w:t xml:space="preserve"> and 5.483.</w:t>
      </w:r>
    </w:p>
    <w:p w14:paraId="173FF171" w14:textId="77777777" w:rsidR="00F00EDC" w:rsidRDefault="00F00EDC" w:rsidP="00295D11">
      <w:pPr>
        <w:spacing w:line="360" w:lineRule="auto"/>
        <w:rPr>
          <w:sz w:val="24"/>
          <w:szCs w:val="24"/>
        </w:rPr>
      </w:pPr>
    </w:p>
    <w:p w14:paraId="22F4DE7B" w14:textId="4639F15D" w:rsidR="00F00EDC" w:rsidRDefault="00F00EDC" w:rsidP="00295D11">
      <w:pPr>
        <w:spacing w:line="360" w:lineRule="auto"/>
        <w:rPr>
          <w:sz w:val="24"/>
          <w:szCs w:val="24"/>
        </w:rPr>
      </w:pPr>
      <w:r>
        <w:rPr>
          <w:sz w:val="24"/>
          <w:szCs w:val="24"/>
        </w:rPr>
        <w:lastRenderedPageBreak/>
        <w:tab/>
      </w:r>
      <w:r>
        <w:rPr>
          <w:sz w:val="24"/>
          <w:szCs w:val="24"/>
        </w:rPr>
        <w:tab/>
        <w:t xml:space="preserve">When an objection to the admissibility of testimony or tangible evidence is made during a hearing, an offer of proof may be requested by the objecting party.  The offer of proof also may be made when a presiding officer sustains an objection to the admission of testimony or tangible evidence.  If the proffered evidence is tangible, it shall be marked for identification and shall constitute the offer of proof.  The presiding officer may request a statement of the basis for admissibility of the evidence.  52 </w:t>
      </w:r>
      <w:proofErr w:type="spellStart"/>
      <w:proofErr w:type="gramStart"/>
      <w:r>
        <w:rPr>
          <w:sz w:val="24"/>
          <w:szCs w:val="24"/>
        </w:rPr>
        <w:t>Pa.Code</w:t>
      </w:r>
      <w:proofErr w:type="spellEnd"/>
      <w:proofErr w:type="gramEnd"/>
      <w:r>
        <w:rPr>
          <w:sz w:val="24"/>
          <w:szCs w:val="24"/>
        </w:rPr>
        <w:t xml:space="preserve"> § 5.414(a).</w:t>
      </w:r>
    </w:p>
    <w:p w14:paraId="20CDDF8E" w14:textId="77777777" w:rsidR="00295D11" w:rsidRPr="00D35F28" w:rsidRDefault="00295D11" w:rsidP="00295D11">
      <w:pPr>
        <w:spacing w:line="360" w:lineRule="auto"/>
        <w:rPr>
          <w:sz w:val="24"/>
          <w:szCs w:val="24"/>
        </w:rPr>
      </w:pPr>
    </w:p>
    <w:p w14:paraId="485B27C4" w14:textId="759EF9A7" w:rsidR="00BD5440" w:rsidRDefault="00C74444" w:rsidP="00042600">
      <w:pPr>
        <w:pStyle w:val="BodyText"/>
        <w:spacing w:after="0" w:line="360" w:lineRule="auto"/>
        <w:ind w:firstLine="1440"/>
      </w:pPr>
      <w:r w:rsidRPr="0077392E">
        <w:t>PAWC</w:t>
      </w:r>
      <w:r w:rsidR="00F00EDC">
        <w:t xml:space="preserve"> </w:t>
      </w:r>
      <w:r w:rsidR="005E35C6" w:rsidRPr="0077392E">
        <w:t>contends</w:t>
      </w:r>
      <w:r w:rsidR="001E5B82" w:rsidRPr="0077392E">
        <w:t xml:space="preserve"> </w:t>
      </w:r>
      <w:r w:rsidR="00BB029F">
        <w:t>the Amended Stipulation simply memorializes the commitment of the Stipulating Parties to honor their respective obligations under two agreements, referred to as the Z Agreement and the Cooperation Agreement.  PAWC asserts the other parties had sufficient opportunity and plenty of time in which to review and file objections to the amendments because the hearing record would not close until three days after the evidentiary hearing.  In addition, PAWC contends the parties are free to argue in their respective briefs, if they choose to do so, that the presiding officer should not recommend approval of the Amended Stipulation.  PAWC insists the Amended Stipulation made no substantive changes to the Joint Stipulation (i.e., ALJ Exhibit 1) and the due process rights of the other parties are protected fully if the presiding officer admits the Amended Stipulation into the hearing record and recommends approval of the Amended Stipulation.</w:t>
      </w:r>
      <w:r w:rsidR="00351C95">
        <w:t xml:space="preserve">  PAWC provides no statutory, </w:t>
      </w:r>
      <w:proofErr w:type="gramStart"/>
      <w:r w:rsidR="00351C95">
        <w:t>regulatory</w:t>
      </w:r>
      <w:proofErr w:type="gramEnd"/>
      <w:r w:rsidR="00351C95">
        <w:t xml:space="preserve"> or case law justification for its position that the Amended Stipulation should be admitted into the hearing record.</w:t>
      </w:r>
    </w:p>
    <w:p w14:paraId="45E0F7D6" w14:textId="77777777" w:rsidR="0008705B" w:rsidRDefault="0008705B" w:rsidP="00042600">
      <w:pPr>
        <w:pStyle w:val="BodyText"/>
        <w:spacing w:after="0" w:line="360" w:lineRule="auto"/>
        <w:ind w:firstLine="1440"/>
      </w:pPr>
    </w:p>
    <w:p w14:paraId="61AF9B2C" w14:textId="30EFD2DE" w:rsidR="0008705B" w:rsidRDefault="0008705B" w:rsidP="00042600">
      <w:pPr>
        <w:pStyle w:val="BodyText"/>
        <w:spacing w:after="0" w:line="360" w:lineRule="auto"/>
        <w:ind w:firstLine="1440"/>
      </w:pPr>
      <w:r>
        <w:t>Brentwood contend</w:t>
      </w:r>
      <w:r w:rsidR="00BB029F">
        <w:t>s no party can claim prejudice</w:t>
      </w:r>
      <w:r w:rsidR="004155EC">
        <w:t xml:space="preserve"> because the Amended Stipulation corrected a </w:t>
      </w:r>
      <w:r w:rsidR="00351C95">
        <w:t xml:space="preserve">mere </w:t>
      </w:r>
      <w:r w:rsidR="004155EC">
        <w:t xml:space="preserve">clerical error when the substantive content of the Joint Stipulation remained unchanged.  Brentwood insists the prior versions of the altered schedules were accessible to all parties since </w:t>
      </w:r>
      <w:r w:rsidR="00351C95">
        <w:t xml:space="preserve">after </w:t>
      </w:r>
      <w:r w:rsidR="004155EC">
        <w:t>the date PAWC filed its application (appended as Appendix A-24-a and Exhibit J to the Application).  Brentwood claims BIE’s objection to the admission of ALJ Exhibit 2 is disingenuous and BIE was free to recall for questioning any witness to answer issues pertaining to any version of this stipulation.  Brentwood requests ALJ Exhibit 2 be admitted into the hearing record.</w:t>
      </w:r>
    </w:p>
    <w:p w14:paraId="494FCF7B" w14:textId="77777777" w:rsidR="004155EC" w:rsidRDefault="004155EC" w:rsidP="00042600">
      <w:pPr>
        <w:pStyle w:val="BodyText"/>
        <w:spacing w:after="0" w:line="360" w:lineRule="auto"/>
        <w:ind w:firstLine="1440"/>
      </w:pPr>
    </w:p>
    <w:p w14:paraId="0962360F" w14:textId="0EC500A4" w:rsidR="004155EC" w:rsidRDefault="004155EC" w:rsidP="00042600">
      <w:pPr>
        <w:pStyle w:val="BodyText"/>
        <w:spacing w:after="0" w:line="360" w:lineRule="auto"/>
        <w:ind w:firstLine="1440"/>
      </w:pPr>
      <w:proofErr w:type="spellStart"/>
      <w:r>
        <w:lastRenderedPageBreak/>
        <w:t>Alcosan</w:t>
      </w:r>
      <w:proofErr w:type="spellEnd"/>
      <w:r>
        <w:t xml:space="preserve"> contends the only purpose for amending the schedules in the original Joint Stipulation was to ensure the Schedules attached to the Asset Purchase Agreement were amended to be consistent with the Cooperation Agreement, </w:t>
      </w:r>
      <w:proofErr w:type="gramStart"/>
      <w:r>
        <w:t>entered into</w:t>
      </w:r>
      <w:proofErr w:type="gramEnd"/>
      <w:r>
        <w:t xml:space="preserve"> between Brentwood and PAWC.  </w:t>
      </w:r>
      <w:proofErr w:type="spellStart"/>
      <w:r>
        <w:t>Alcosan</w:t>
      </w:r>
      <w:proofErr w:type="spellEnd"/>
      <w:r>
        <w:t xml:space="preserve"> points out PAWC failed to attach copies of the schedules to the Joint Stipulation and, upon review after the November 7, </w:t>
      </w:r>
      <w:r w:rsidR="00126504">
        <w:t>2023,</w:t>
      </w:r>
      <w:r>
        <w:t xml:space="preserve"> hearing, the Stipulating Parties discovered PAWC submitted one set of “final” schedules while Brentwood had submitted a different set of “final” schedules.  </w:t>
      </w:r>
      <w:proofErr w:type="spellStart"/>
      <w:r w:rsidR="007E5BF1">
        <w:t>Alcosan</w:t>
      </w:r>
      <w:proofErr w:type="spellEnd"/>
      <w:r w:rsidR="007E5BF1">
        <w:t xml:space="preserve"> notes the Stipulating Parties worked through the Veteran’s Day holiday to ensure the schedules were correct and accurate.  For that reason, </w:t>
      </w:r>
      <w:proofErr w:type="spellStart"/>
      <w:r w:rsidR="007E5BF1">
        <w:t>Alcosan</w:t>
      </w:r>
      <w:proofErr w:type="spellEnd"/>
      <w:r w:rsidR="007E5BF1">
        <w:t xml:space="preserve"> asserts it formally makes an offer of proof pursuant to 52 </w:t>
      </w:r>
      <w:proofErr w:type="spellStart"/>
      <w:proofErr w:type="gramStart"/>
      <w:r w:rsidR="007E5BF1">
        <w:t>Pa.Code</w:t>
      </w:r>
      <w:proofErr w:type="spellEnd"/>
      <w:proofErr w:type="gramEnd"/>
      <w:r w:rsidR="007E5BF1">
        <w:t xml:space="preserve"> § 5.414, and requests  that ALJ Exhibit 2 be admitted into the hearing record.  </w:t>
      </w:r>
    </w:p>
    <w:p w14:paraId="57CC0B7C" w14:textId="77777777" w:rsidR="0008705B" w:rsidRDefault="0008705B" w:rsidP="00042600">
      <w:pPr>
        <w:pStyle w:val="BodyText"/>
        <w:spacing w:after="0" w:line="360" w:lineRule="auto"/>
        <w:ind w:firstLine="1440"/>
      </w:pPr>
    </w:p>
    <w:p w14:paraId="48B7AB13" w14:textId="77777777" w:rsidR="00351C95" w:rsidRDefault="0008705B" w:rsidP="0008705B">
      <w:pPr>
        <w:pStyle w:val="BodyText"/>
        <w:spacing w:after="0" w:line="360" w:lineRule="auto"/>
        <w:ind w:firstLine="1440"/>
      </w:pPr>
      <w:r>
        <w:t xml:space="preserve">BIE contends </w:t>
      </w:r>
      <w:r w:rsidR="007E5BF1">
        <w:t xml:space="preserve">the interplay of PAWC’s agreement with </w:t>
      </w:r>
      <w:proofErr w:type="spellStart"/>
      <w:r w:rsidR="007E5BF1">
        <w:t>Alcosan</w:t>
      </w:r>
      <w:proofErr w:type="spellEnd"/>
      <w:r w:rsidR="007E5BF1">
        <w:t xml:space="preserve"> has been a large issue and must be closely examined by the Commission </w:t>
      </w:r>
      <w:r w:rsidR="00351C95">
        <w:t xml:space="preserve">herein </w:t>
      </w:r>
      <w:r w:rsidR="007E5BF1">
        <w:t xml:space="preserve">to determine how the agreement will impact rates and the rate base going forward, if the sale is approved by the Commission.  BIE asserts the information within the agreement between PAWC, Brentwood and </w:t>
      </w:r>
      <w:proofErr w:type="spellStart"/>
      <w:r w:rsidR="007E5BF1">
        <w:t>Alcosan</w:t>
      </w:r>
      <w:proofErr w:type="spellEnd"/>
      <w:r w:rsidR="007E5BF1">
        <w:t xml:space="preserve"> is vital potentially to BIE’s position in this proceeding.  BIE notes Section 1329 proceedings, such as the instant proceeding, operate on a quick six-month timeframe and that six-month timeframe was wrapping up quickly by the dates of the evidentiary hearings.  BIE argues no time remains in which to call witnesses to the stand to answer questions arising from the stipulation, and the due process of BIE, as well as the other statutory advocates OCA and OSBA, will be violated if the document as submitted is admitted into the hearing record.  </w:t>
      </w:r>
    </w:p>
    <w:p w14:paraId="0A8F39C5" w14:textId="77777777" w:rsidR="00351C95" w:rsidRDefault="00351C95" w:rsidP="0008705B">
      <w:pPr>
        <w:pStyle w:val="BodyText"/>
        <w:spacing w:after="0" w:line="360" w:lineRule="auto"/>
        <w:ind w:firstLine="1440"/>
      </w:pPr>
    </w:p>
    <w:p w14:paraId="3DB21B09" w14:textId="1FAED2CA" w:rsidR="00C74444" w:rsidRPr="0077392E" w:rsidRDefault="007E5BF1" w:rsidP="0008705B">
      <w:pPr>
        <w:pStyle w:val="BodyText"/>
        <w:spacing w:after="0" w:line="360" w:lineRule="auto"/>
        <w:ind w:firstLine="1440"/>
      </w:pPr>
      <w:r>
        <w:t xml:space="preserve">BIE points out none of the statutory parties were included </w:t>
      </w:r>
      <w:r w:rsidR="004F0C64">
        <w:t>in</w:t>
      </w:r>
      <w:r>
        <w:t xml:space="preserve"> the discussions between the Stipulating Parties and </w:t>
      </w:r>
      <w:r w:rsidR="004F0C64">
        <w:t>BIE remains</w:t>
      </w:r>
      <w:r>
        <w:t xml:space="preserve"> unsure what portion of the agreement was negotiated.  </w:t>
      </w:r>
      <w:r w:rsidR="00351C95">
        <w:t xml:space="preserve">BIE asserts </w:t>
      </w:r>
      <w:r>
        <w:t xml:space="preserve">the stipulation PAWC seeks to admit into evidence may have altered </w:t>
      </w:r>
      <w:r w:rsidR="00351C95">
        <w:t xml:space="preserve">the </w:t>
      </w:r>
      <w:r>
        <w:t xml:space="preserve">testimony </w:t>
      </w:r>
      <w:r w:rsidR="00351C95">
        <w:t>BIE would have sought to enter, the d</w:t>
      </w:r>
      <w:r>
        <w:t xml:space="preserve">iscovery </w:t>
      </w:r>
      <w:r w:rsidR="00351C95">
        <w:t xml:space="preserve">it might have </w:t>
      </w:r>
      <w:r>
        <w:t xml:space="preserve">sought, </w:t>
      </w:r>
      <w:r w:rsidR="00351C95">
        <w:t xml:space="preserve">the </w:t>
      </w:r>
      <w:r>
        <w:t xml:space="preserve">cross-examination </w:t>
      </w:r>
      <w:r w:rsidR="00351C95">
        <w:t xml:space="preserve">it would have considered and its </w:t>
      </w:r>
      <w:r>
        <w:t xml:space="preserve">overall litigation strategy </w:t>
      </w:r>
      <w:r w:rsidRPr="004F0C64">
        <w:rPr>
          <w:u w:val="single"/>
        </w:rPr>
        <w:t xml:space="preserve">if </w:t>
      </w:r>
      <w:r>
        <w:t xml:space="preserve">this proffered evidence had been introduced </w:t>
      </w:r>
      <w:r w:rsidR="00351C95">
        <w:t xml:space="preserve">properly </w:t>
      </w:r>
      <w:r>
        <w:t xml:space="preserve">at the appropriate time.  </w:t>
      </w:r>
      <w:r w:rsidR="004F0C64">
        <w:t xml:space="preserve">BIE argues PAWC violated due process requirements by failing to provide a meaningful or real notice and opportunity to be heard and then to defend – “in an orderly proceeding adapted to the nature of the case.”  BIE further argues it and the other statutory advocates had no recourse </w:t>
      </w:r>
      <w:r w:rsidR="00351C95">
        <w:t xml:space="preserve">on November 14, 2023, except </w:t>
      </w:r>
      <w:r w:rsidR="004F0C64">
        <w:t xml:space="preserve">to ask </w:t>
      </w:r>
      <w:r w:rsidR="004F0C64">
        <w:lastRenderedPageBreak/>
        <w:t xml:space="preserve">questions related to the proposed documents on cross-examination but only after the time for cross-examination </w:t>
      </w:r>
      <w:r w:rsidR="00351C95">
        <w:t xml:space="preserve">of the appropriate witnesses had </w:t>
      </w:r>
      <w:r w:rsidR="004F0C64">
        <w:t>passed</w:t>
      </w:r>
      <w:r w:rsidR="0062476B">
        <w:t>,</w:t>
      </w:r>
      <w:r w:rsidR="004F0C64">
        <w:t xml:space="preserve"> and the ability to recall witnesses could not occur given the expected closure of the hearing record on November 17, 2023, and the requirement all Main Briefs must be filed by November 30, 2023.</w:t>
      </w:r>
    </w:p>
    <w:p w14:paraId="5A7A174C" w14:textId="77777777" w:rsidR="0008705B" w:rsidRDefault="0008705B" w:rsidP="001D722F">
      <w:pPr>
        <w:spacing w:line="360" w:lineRule="auto"/>
        <w:rPr>
          <w:color w:val="000000"/>
          <w:sz w:val="24"/>
          <w:szCs w:val="24"/>
          <w:u w:val="single"/>
        </w:rPr>
      </w:pPr>
    </w:p>
    <w:p w14:paraId="207C8578" w14:textId="0FB68DF5" w:rsidR="00626B41" w:rsidRPr="0077392E" w:rsidRDefault="00626B41" w:rsidP="00126504">
      <w:pPr>
        <w:spacing w:line="360" w:lineRule="auto"/>
        <w:jc w:val="center"/>
        <w:rPr>
          <w:color w:val="000000"/>
          <w:sz w:val="24"/>
          <w:szCs w:val="24"/>
          <w:u w:val="single"/>
        </w:rPr>
      </w:pPr>
      <w:r w:rsidRPr="0077392E">
        <w:rPr>
          <w:color w:val="000000"/>
          <w:sz w:val="24"/>
          <w:szCs w:val="24"/>
          <w:u w:val="single"/>
        </w:rPr>
        <w:t>D</w:t>
      </w:r>
      <w:r w:rsidR="00126504">
        <w:rPr>
          <w:color w:val="000000"/>
          <w:sz w:val="24"/>
          <w:szCs w:val="24"/>
          <w:u w:val="single"/>
        </w:rPr>
        <w:t>ISPOSITION</w:t>
      </w:r>
    </w:p>
    <w:p w14:paraId="207C8579" w14:textId="77777777" w:rsidR="00626B41" w:rsidRDefault="00626B41" w:rsidP="00E202EE">
      <w:pPr>
        <w:spacing w:line="360" w:lineRule="auto"/>
        <w:rPr>
          <w:color w:val="000000"/>
          <w:sz w:val="24"/>
          <w:szCs w:val="24"/>
        </w:rPr>
      </w:pPr>
    </w:p>
    <w:p w14:paraId="58203C42" w14:textId="69D390B5" w:rsidR="004F0C64" w:rsidRDefault="004F0C64" w:rsidP="00E202EE">
      <w:pPr>
        <w:spacing w:line="360" w:lineRule="auto"/>
        <w:rPr>
          <w:color w:val="000000"/>
          <w:sz w:val="24"/>
          <w:szCs w:val="24"/>
        </w:rPr>
      </w:pPr>
      <w:r>
        <w:rPr>
          <w:color w:val="000000"/>
          <w:sz w:val="24"/>
          <w:szCs w:val="24"/>
        </w:rPr>
        <w:tab/>
      </w:r>
      <w:r>
        <w:rPr>
          <w:color w:val="000000"/>
          <w:sz w:val="24"/>
          <w:szCs w:val="24"/>
        </w:rPr>
        <w:tab/>
        <w:t xml:space="preserve">The Stipulating Parties did not provide the statutory advocates with a knowing and meaningful opportunity to review the proffered documents prior to the presentation at the evidentiary hearings.  </w:t>
      </w:r>
      <w:r w:rsidR="0062476B">
        <w:rPr>
          <w:color w:val="000000"/>
          <w:sz w:val="24"/>
          <w:szCs w:val="24"/>
        </w:rPr>
        <w:t xml:space="preserve">In fact, the Stipulating Parties did not provide </w:t>
      </w:r>
      <w:r w:rsidR="0062476B" w:rsidRPr="0062476B">
        <w:rPr>
          <w:color w:val="000000"/>
          <w:sz w:val="24"/>
          <w:szCs w:val="24"/>
          <w:u w:val="single"/>
        </w:rPr>
        <w:t>any</w:t>
      </w:r>
      <w:r w:rsidR="0062476B">
        <w:rPr>
          <w:color w:val="000000"/>
          <w:sz w:val="24"/>
          <w:szCs w:val="24"/>
        </w:rPr>
        <w:t xml:space="preserve"> opportunity to review the proffered document prior to the evidentiary hearings.  </w:t>
      </w:r>
      <w:r>
        <w:rPr>
          <w:color w:val="000000"/>
          <w:sz w:val="24"/>
          <w:szCs w:val="24"/>
        </w:rPr>
        <w:t xml:space="preserve">Without that opportunity to review documents prior to the hearings, the statutory advocates were denied the ability to peruse and consider the information included and/or </w:t>
      </w:r>
      <w:r w:rsidR="00126504">
        <w:rPr>
          <w:color w:val="000000"/>
          <w:sz w:val="24"/>
          <w:szCs w:val="24"/>
        </w:rPr>
        <w:t>excluded and</w:t>
      </w:r>
      <w:r>
        <w:rPr>
          <w:color w:val="000000"/>
          <w:sz w:val="24"/>
          <w:szCs w:val="24"/>
        </w:rPr>
        <w:t xml:space="preserve"> could not ask their own experts to review the same.  The Stipulating Parties waited until </w:t>
      </w:r>
      <w:r w:rsidRPr="004F0C64">
        <w:rPr>
          <w:color w:val="000000"/>
          <w:sz w:val="24"/>
          <w:szCs w:val="24"/>
          <w:u w:val="single"/>
        </w:rPr>
        <w:t>after</w:t>
      </w:r>
      <w:r>
        <w:rPr>
          <w:color w:val="000000"/>
          <w:sz w:val="24"/>
          <w:szCs w:val="24"/>
        </w:rPr>
        <w:t xml:space="preserve"> the proverbial twelfth hour before </w:t>
      </w:r>
      <w:r w:rsidR="00E9646A">
        <w:rPr>
          <w:color w:val="000000"/>
          <w:sz w:val="24"/>
          <w:szCs w:val="24"/>
        </w:rPr>
        <w:t xml:space="preserve">serving the parties, and the presiding officer, with </w:t>
      </w:r>
      <w:r w:rsidR="00126504">
        <w:rPr>
          <w:color w:val="000000"/>
          <w:sz w:val="24"/>
          <w:szCs w:val="24"/>
        </w:rPr>
        <w:t>preferred</w:t>
      </w:r>
      <w:r w:rsidR="00E9646A">
        <w:rPr>
          <w:color w:val="000000"/>
          <w:sz w:val="24"/>
          <w:szCs w:val="24"/>
        </w:rPr>
        <w:t xml:space="preserve"> documents.  The Stipulating Parties engaged in these delays not only one time but two times.  Despite the malpresentation of the Joint Stipulation on November 8, 2023, the presiding officer gave the Stipulating Parties an opportunity to cure the defect but only if the Stipulating Parties fixed the error quickly.  The Stipulating Parties failed to fix the defect </w:t>
      </w:r>
      <w:r w:rsidR="0062476B">
        <w:rPr>
          <w:color w:val="000000"/>
          <w:sz w:val="24"/>
          <w:szCs w:val="24"/>
        </w:rPr>
        <w:t>at all</w:t>
      </w:r>
      <w:r w:rsidR="00E9646A">
        <w:rPr>
          <w:color w:val="000000"/>
          <w:sz w:val="24"/>
          <w:szCs w:val="24"/>
        </w:rPr>
        <w:t xml:space="preserve"> and, for a second time, proffered a document </w:t>
      </w:r>
      <w:r w:rsidR="00E9646A" w:rsidRPr="00E9646A">
        <w:rPr>
          <w:color w:val="000000"/>
          <w:sz w:val="24"/>
          <w:szCs w:val="24"/>
          <w:u w:val="single"/>
        </w:rPr>
        <w:t>beyond</w:t>
      </w:r>
      <w:r w:rsidR="00E9646A">
        <w:rPr>
          <w:color w:val="000000"/>
          <w:sz w:val="24"/>
          <w:szCs w:val="24"/>
        </w:rPr>
        <w:t xml:space="preserve"> the twelfth hour – after the start of the evidentiary hearing on November 14, 2023.  </w:t>
      </w:r>
    </w:p>
    <w:p w14:paraId="04A6D28E" w14:textId="77777777" w:rsidR="00E9646A" w:rsidRDefault="00E9646A" w:rsidP="00E202EE">
      <w:pPr>
        <w:spacing w:line="360" w:lineRule="auto"/>
        <w:rPr>
          <w:color w:val="000000"/>
          <w:sz w:val="24"/>
          <w:szCs w:val="24"/>
        </w:rPr>
      </w:pPr>
    </w:p>
    <w:p w14:paraId="009FBDA0" w14:textId="15A4CA05" w:rsidR="00E9646A" w:rsidRDefault="00E9646A" w:rsidP="00E202EE">
      <w:pPr>
        <w:spacing w:line="360" w:lineRule="auto"/>
        <w:rPr>
          <w:color w:val="000000"/>
          <w:sz w:val="24"/>
          <w:szCs w:val="24"/>
        </w:rPr>
      </w:pPr>
      <w:r>
        <w:rPr>
          <w:color w:val="000000"/>
          <w:sz w:val="24"/>
          <w:szCs w:val="24"/>
        </w:rPr>
        <w:tab/>
      </w:r>
      <w:r>
        <w:rPr>
          <w:color w:val="000000"/>
          <w:sz w:val="24"/>
          <w:szCs w:val="24"/>
        </w:rPr>
        <w:tab/>
        <w:t xml:space="preserve">The argument of the Stipulating Parties that the statutory advocates had time in which to voice objections and request a recall of one or more witnesses is an argument which ignores the harsh time constraint in Section 1329 proceedings and ignores the reality of litigation in general.  The statutory parties, as well as the presiding officer, had no reason to review ALJ Exhibit 1 after being told that it was incorrect and failed to include important information.  In a proceeding with a severely compacted timeframe, the statutory advocates have many demands on their litigation efforts and nothing in the statements provided by PAWC, Brentwood or </w:t>
      </w:r>
      <w:proofErr w:type="spellStart"/>
      <w:r>
        <w:rPr>
          <w:color w:val="000000"/>
          <w:sz w:val="24"/>
          <w:szCs w:val="24"/>
        </w:rPr>
        <w:t>Alcosan</w:t>
      </w:r>
      <w:proofErr w:type="spellEnd"/>
      <w:r>
        <w:rPr>
          <w:color w:val="000000"/>
          <w:sz w:val="24"/>
          <w:szCs w:val="24"/>
        </w:rPr>
        <w:t xml:space="preserve"> at the evidentiary hearing on November 8, </w:t>
      </w:r>
      <w:r w:rsidR="00126504">
        <w:rPr>
          <w:color w:val="000000"/>
          <w:sz w:val="24"/>
          <w:szCs w:val="24"/>
        </w:rPr>
        <w:t>2023,</w:t>
      </w:r>
      <w:r>
        <w:rPr>
          <w:color w:val="000000"/>
          <w:sz w:val="24"/>
          <w:szCs w:val="24"/>
        </w:rPr>
        <w:t xml:space="preserve"> could be construed as notice that the correcting and amending material would not be forthcoming and would not be received until after the start of the evidentiary hearing on November 14, 2023.</w:t>
      </w:r>
    </w:p>
    <w:p w14:paraId="5A77441D" w14:textId="77777777" w:rsidR="00E9646A" w:rsidRDefault="00E9646A" w:rsidP="00E202EE">
      <w:pPr>
        <w:spacing w:line="360" w:lineRule="auto"/>
        <w:rPr>
          <w:color w:val="000000"/>
          <w:sz w:val="24"/>
          <w:szCs w:val="24"/>
        </w:rPr>
      </w:pPr>
    </w:p>
    <w:p w14:paraId="21724FBC" w14:textId="77777777" w:rsidR="0062476B" w:rsidRDefault="00E9646A" w:rsidP="00E202EE">
      <w:pPr>
        <w:spacing w:line="360" w:lineRule="auto"/>
        <w:rPr>
          <w:color w:val="000000"/>
          <w:sz w:val="24"/>
          <w:szCs w:val="24"/>
        </w:rPr>
      </w:pPr>
      <w:r>
        <w:rPr>
          <w:color w:val="000000"/>
          <w:sz w:val="24"/>
          <w:szCs w:val="24"/>
        </w:rPr>
        <w:tab/>
      </w:r>
      <w:r>
        <w:rPr>
          <w:color w:val="000000"/>
          <w:sz w:val="24"/>
          <w:szCs w:val="24"/>
        </w:rPr>
        <w:tab/>
        <w:t xml:space="preserve">PAWC, as the applicant herein, carries the burden of proof.  In this proceeding, it is PAWC’s responsibility to show and convince the Commission to approve the sale of the requested assets from Brentwood to </w:t>
      </w:r>
      <w:r w:rsidR="00CF6D80">
        <w:rPr>
          <w:color w:val="000000"/>
          <w:sz w:val="24"/>
          <w:szCs w:val="24"/>
        </w:rPr>
        <w:t xml:space="preserve">PAWC with the specified market value and impact on the rates.  PAWC remained in control of when it filed this application and when the application was ready to </w:t>
      </w:r>
      <w:proofErr w:type="gramStart"/>
      <w:r w:rsidR="00CF6D80">
        <w:rPr>
          <w:color w:val="000000"/>
          <w:sz w:val="24"/>
          <w:szCs w:val="24"/>
        </w:rPr>
        <w:t>enter into</w:t>
      </w:r>
      <w:proofErr w:type="gramEnd"/>
      <w:r w:rsidR="00CF6D80">
        <w:rPr>
          <w:color w:val="000000"/>
          <w:sz w:val="24"/>
          <w:szCs w:val="24"/>
        </w:rPr>
        <w:t xml:space="preserve"> the final litigation period, which has the strict six-month timeframe.  In a Section 1329 proceeding, it is incumbent on the applicant to have its entire case and presentation of its case ready before the litigation phase starts because the time is inadequate to allow time for further negotiations of the type seen here with the Stipulating Parties.  </w:t>
      </w:r>
    </w:p>
    <w:p w14:paraId="275ACC1D" w14:textId="77777777" w:rsidR="0062476B" w:rsidRDefault="0062476B" w:rsidP="00E202EE">
      <w:pPr>
        <w:spacing w:line="360" w:lineRule="auto"/>
        <w:rPr>
          <w:color w:val="000000"/>
          <w:sz w:val="24"/>
          <w:szCs w:val="24"/>
        </w:rPr>
      </w:pPr>
    </w:p>
    <w:p w14:paraId="4DEC8A91" w14:textId="642EC4D4" w:rsidR="00E9646A" w:rsidRPr="0077392E" w:rsidRDefault="0062476B" w:rsidP="0062476B">
      <w:pPr>
        <w:spacing w:line="360" w:lineRule="auto"/>
        <w:ind w:firstLine="1530"/>
        <w:rPr>
          <w:color w:val="000000"/>
          <w:sz w:val="24"/>
          <w:szCs w:val="24"/>
        </w:rPr>
      </w:pPr>
      <w:r>
        <w:rPr>
          <w:color w:val="000000"/>
          <w:sz w:val="24"/>
          <w:szCs w:val="24"/>
        </w:rPr>
        <w:t xml:space="preserve">In a Section 1329 proceeding, the Commission, its staff, the presiding </w:t>
      </w:r>
      <w:proofErr w:type="gramStart"/>
      <w:r>
        <w:rPr>
          <w:color w:val="000000"/>
          <w:sz w:val="24"/>
          <w:szCs w:val="24"/>
        </w:rPr>
        <w:t>officer</w:t>
      </w:r>
      <w:proofErr w:type="gramEnd"/>
      <w:r>
        <w:rPr>
          <w:color w:val="000000"/>
          <w:sz w:val="24"/>
          <w:szCs w:val="24"/>
        </w:rPr>
        <w:t xml:space="preserve"> and all parties must proceed in a decent and orderly manner, with alacrity, in order to meet the enabling statute’s requirements.  I</w:t>
      </w:r>
      <w:r w:rsidR="00CF6D80">
        <w:rPr>
          <w:color w:val="000000"/>
          <w:sz w:val="24"/>
          <w:szCs w:val="24"/>
        </w:rPr>
        <w:t>f</w:t>
      </w:r>
      <w:r>
        <w:rPr>
          <w:color w:val="000000"/>
          <w:sz w:val="24"/>
          <w:szCs w:val="24"/>
        </w:rPr>
        <w:t>, as alleged,</w:t>
      </w:r>
      <w:r w:rsidR="00CF6D80">
        <w:rPr>
          <w:color w:val="000000"/>
          <w:sz w:val="24"/>
          <w:szCs w:val="24"/>
        </w:rPr>
        <w:t xml:space="preserve"> the mistake made on November 8, </w:t>
      </w:r>
      <w:r w:rsidR="00126504">
        <w:rPr>
          <w:color w:val="000000"/>
          <w:sz w:val="24"/>
          <w:szCs w:val="24"/>
        </w:rPr>
        <w:t>2023,</w:t>
      </w:r>
      <w:r w:rsidR="00CF6D80">
        <w:rPr>
          <w:color w:val="000000"/>
          <w:sz w:val="24"/>
          <w:szCs w:val="24"/>
        </w:rPr>
        <w:t xml:space="preserve"> was truly “clerical,” then the correction should have been made by close of business on November 9, 2023.  The </w:t>
      </w:r>
      <w:proofErr w:type="gramStart"/>
      <w:r w:rsidR="00126504">
        <w:rPr>
          <w:color w:val="000000"/>
          <w:sz w:val="24"/>
          <w:szCs w:val="24"/>
        </w:rPr>
        <w:t>fact</w:t>
      </w:r>
      <w:proofErr w:type="gramEnd"/>
      <w:r w:rsidR="00126504">
        <w:rPr>
          <w:color w:val="000000"/>
          <w:sz w:val="24"/>
          <w:szCs w:val="24"/>
        </w:rPr>
        <w:t xml:space="preserve"> </w:t>
      </w:r>
      <w:r w:rsidR="00CF6D80">
        <w:rPr>
          <w:color w:val="000000"/>
          <w:sz w:val="24"/>
          <w:szCs w:val="24"/>
        </w:rPr>
        <w:t xml:space="preserve">the Amended Stipulation was not filed or provided until </w:t>
      </w:r>
      <w:r w:rsidR="00CF6D80" w:rsidRPr="0062476B">
        <w:rPr>
          <w:color w:val="000000"/>
          <w:sz w:val="24"/>
          <w:szCs w:val="24"/>
          <w:u w:val="single"/>
        </w:rPr>
        <w:t>after</w:t>
      </w:r>
      <w:r w:rsidR="00CF6D80">
        <w:rPr>
          <w:color w:val="000000"/>
          <w:sz w:val="24"/>
          <w:szCs w:val="24"/>
        </w:rPr>
        <w:t xml:space="preserve"> the commencement of the second day of evidentiary hearings evidences </w:t>
      </w:r>
      <w:r>
        <w:rPr>
          <w:color w:val="000000"/>
          <w:sz w:val="24"/>
          <w:szCs w:val="24"/>
        </w:rPr>
        <w:t>a breakdown of the decent and orderly litigation required i</w:t>
      </w:r>
      <w:r w:rsidR="00CF6D80">
        <w:rPr>
          <w:color w:val="000000"/>
          <w:sz w:val="24"/>
          <w:szCs w:val="24"/>
        </w:rPr>
        <w:t xml:space="preserve">n this proceeding. </w:t>
      </w:r>
    </w:p>
    <w:p w14:paraId="68EE87BB" w14:textId="77777777" w:rsidR="000E6DA0" w:rsidRPr="0077392E" w:rsidRDefault="000E6DA0" w:rsidP="00625250">
      <w:pPr>
        <w:spacing w:line="360" w:lineRule="auto"/>
        <w:ind w:left="720" w:firstLine="720"/>
        <w:rPr>
          <w:sz w:val="24"/>
          <w:szCs w:val="24"/>
          <w:u w:val="single"/>
        </w:rPr>
      </w:pPr>
    </w:p>
    <w:p w14:paraId="207C85D8" w14:textId="04FC950B" w:rsidR="00625250" w:rsidRPr="0077392E" w:rsidRDefault="00625250" w:rsidP="00625250">
      <w:pPr>
        <w:spacing w:line="360" w:lineRule="auto"/>
        <w:ind w:left="720" w:firstLine="720"/>
        <w:rPr>
          <w:sz w:val="24"/>
          <w:szCs w:val="24"/>
        </w:rPr>
      </w:pPr>
      <w:r w:rsidRPr="0077392E">
        <w:rPr>
          <w:sz w:val="24"/>
          <w:szCs w:val="24"/>
        </w:rPr>
        <w:t xml:space="preserve">THEREFORE, </w:t>
      </w:r>
    </w:p>
    <w:p w14:paraId="207C85D9" w14:textId="77777777" w:rsidR="00625250" w:rsidRPr="0077392E" w:rsidRDefault="00625250" w:rsidP="00625250">
      <w:pPr>
        <w:spacing w:line="360" w:lineRule="auto"/>
        <w:ind w:left="720" w:firstLine="720"/>
        <w:rPr>
          <w:sz w:val="24"/>
          <w:szCs w:val="24"/>
        </w:rPr>
      </w:pPr>
    </w:p>
    <w:p w14:paraId="207C85DA" w14:textId="77777777" w:rsidR="00625250" w:rsidRPr="0077392E" w:rsidRDefault="00625250" w:rsidP="00625250">
      <w:pPr>
        <w:spacing w:line="360" w:lineRule="auto"/>
        <w:ind w:left="720" w:firstLine="720"/>
        <w:rPr>
          <w:sz w:val="24"/>
          <w:szCs w:val="24"/>
        </w:rPr>
      </w:pPr>
      <w:r w:rsidRPr="0077392E">
        <w:rPr>
          <w:sz w:val="24"/>
          <w:szCs w:val="24"/>
        </w:rPr>
        <w:t>IT IS ORDERED:</w:t>
      </w:r>
    </w:p>
    <w:p w14:paraId="207C85DB" w14:textId="77777777" w:rsidR="00625250" w:rsidRPr="0077392E" w:rsidRDefault="00625250" w:rsidP="00625250">
      <w:pPr>
        <w:spacing w:line="360" w:lineRule="auto"/>
        <w:rPr>
          <w:sz w:val="24"/>
          <w:szCs w:val="24"/>
        </w:rPr>
      </w:pPr>
    </w:p>
    <w:p w14:paraId="207C85DC" w14:textId="61C3E018" w:rsidR="00625250" w:rsidRPr="0077392E" w:rsidRDefault="00625250" w:rsidP="00625250">
      <w:pPr>
        <w:spacing w:line="360" w:lineRule="auto"/>
        <w:ind w:firstLine="1440"/>
        <w:rPr>
          <w:sz w:val="24"/>
          <w:szCs w:val="24"/>
        </w:rPr>
      </w:pPr>
      <w:r w:rsidRPr="0077392E">
        <w:rPr>
          <w:sz w:val="24"/>
          <w:szCs w:val="24"/>
        </w:rPr>
        <w:t xml:space="preserve">That the </w:t>
      </w:r>
      <w:r w:rsidR="0008705B">
        <w:rPr>
          <w:sz w:val="24"/>
          <w:szCs w:val="24"/>
        </w:rPr>
        <w:t xml:space="preserve">oral </w:t>
      </w:r>
      <w:r w:rsidR="003F0684" w:rsidRPr="0077392E">
        <w:rPr>
          <w:sz w:val="24"/>
          <w:szCs w:val="24"/>
        </w:rPr>
        <w:t xml:space="preserve">Motion </w:t>
      </w:r>
      <w:r w:rsidR="0008705B">
        <w:rPr>
          <w:sz w:val="24"/>
          <w:szCs w:val="24"/>
        </w:rPr>
        <w:t>of Pennsylvania-American Water Company to Admit ALJ</w:t>
      </w:r>
      <w:r w:rsidR="00455480">
        <w:rPr>
          <w:sz w:val="24"/>
          <w:szCs w:val="24"/>
        </w:rPr>
        <w:t xml:space="preserve"> Exhibit </w:t>
      </w:r>
      <w:r w:rsidR="0008705B">
        <w:rPr>
          <w:sz w:val="24"/>
          <w:szCs w:val="24"/>
        </w:rPr>
        <w:t>2</w:t>
      </w:r>
      <w:r w:rsidR="00455480">
        <w:rPr>
          <w:sz w:val="24"/>
          <w:szCs w:val="24"/>
        </w:rPr>
        <w:t xml:space="preserve"> or in the alternative, to Admit ALJ Exhibit 1, is denied. </w:t>
      </w:r>
    </w:p>
    <w:p w14:paraId="207C85DE" w14:textId="77777777" w:rsidR="00625250" w:rsidRPr="0077392E" w:rsidRDefault="00625250" w:rsidP="00625250">
      <w:pPr>
        <w:spacing w:line="360" w:lineRule="auto"/>
        <w:rPr>
          <w:sz w:val="24"/>
          <w:szCs w:val="24"/>
        </w:rPr>
      </w:pPr>
    </w:p>
    <w:p w14:paraId="207C85DF" w14:textId="77777777" w:rsidR="00625250" w:rsidRPr="0077392E" w:rsidRDefault="00625250" w:rsidP="00625250">
      <w:pPr>
        <w:rPr>
          <w:sz w:val="24"/>
          <w:szCs w:val="24"/>
        </w:rPr>
      </w:pPr>
    </w:p>
    <w:p w14:paraId="207C85E0" w14:textId="222FFE5A" w:rsidR="00625250" w:rsidRPr="0077392E" w:rsidRDefault="00625250" w:rsidP="00625250">
      <w:pPr>
        <w:rPr>
          <w:sz w:val="24"/>
          <w:szCs w:val="24"/>
        </w:rPr>
      </w:pPr>
      <w:r w:rsidRPr="0077392E">
        <w:rPr>
          <w:sz w:val="24"/>
          <w:szCs w:val="24"/>
        </w:rPr>
        <w:t xml:space="preserve">Date:  </w:t>
      </w:r>
      <w:r w:rsidR="00455480">
        <w:rPr>
          <w:sz w:val="24"/>
          <w:szCs w:val="24"/>
          <w:u w:val="single"/>
        </w:rPr>
        <w:t>November 16</w:t>
      </w:r>
      <w:r w:rsidR="00851985" w:rsidRPr="0077392E">
        <w:rPr>
          <w:sz w:val="24"/>
          <w:szCs w:val="24"/>
          <w:u w:val="single"/>
        </w:rPr>
        <w:t>, 2023</w:t>
      </w:r>
      <w:r w:rsidRPr="0077392E">
        <w:rPr>
          <w:sz w:val="24"/>
          <w:szCs w:val="24"/>
        </w:rPr>
        <w:tab/>
      </w:r>
      <w:r w:rsidRPr="0077392E">
        <w:rPr>
          <w:sz w:val="24"/>
          <w:szCs w:val="24"/>
        </w:rPr>
        <w:tab/>
      </w:r>
      <w:r w:rsidRPr="0077392E">
        <w:rPr>
          <w:sz w:val="24"/>
          <w:szCs w:val="24"/>
        </w:rPr>
        <w:tab/>
      </w:r>
      <w:r w:rsidRPr="0077392E">
        <w:rPr>
          <w:sz w:val="24"/>
          <w:szCs w:val="24"/>
        </w:rPr>
        <w:tab/>
      </w:r>
      <w:r w:rsidR="00126504">
        <w:rPr>
          <w:sz w:val="24"/>
          <w:szCs w:val="24"/>
        </w:rPr>
        <w:tab/>
      </w:r>
      <w:r w:rsidR="0080625C">
        <w:rPr>
          <w:sz w:val="24"/>
          <w:szCs w:val="24"/>
        </w:rPr>
        <w:t xml:space="preserve">       /s/</w:t>
      </w:r>
    </w:p>
    <w:p w14:paraId="207C85E1" w14:textId="28F6B9B6" w:rsidR="00625250" w:rsidRPr="0077392E" w:rsidRDefault="00126504" w:rsidP="00625250">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0D009CF8" wp14:editId="08B02617">
                <wp:simplePos x="0" y="0"/>
                <wp:positionH relativeFrom="column">
                  <wp:posOffset>2948940</wp:posOffset>
                </wp:positionH>
                <wp:positionV relativeFrom="paragraph">
                  <wp:posOffset>4445</wp:posOffset>
                </wp:positionV>
                <wp:extent cx="2430780" cy="7620"/>
                <wp:effectExtent l="0" t="0" r="26670" b="30480"/>
                <wp:wrapNone/>
                <wp:docPr id="95980354" name="Straight Connector 1"/>
                <wp:cNvGraphicFramePr/>
                <a:graphic xmlns:a="http://schemas.openxmlformats.org/drawingml/2006/main">
                  <a:graphicData uri="http://schemas.microsoft.com/office/word/2010/wordprocessingShape">
                    <wps:wsp>
                      <wps:cNvCnPr/>
                      <wps:spPr>
                        <a:xfrm>
                          <a:off x="0" y="0"/>
                          <a:ext cx="2430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F7C4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pt,.35pt" to="42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" strokecolor="black [3200]" strokeweight=".5pt">
                <v:stroke joinstyle="miter"/>
              </v:line>
            </w:pict>
          </mc:Fallback>
        </mc:AlternateContent>
      </w:r>
      <w:r w:rsidR="00625250" w:rsidRPr="0077392E">
        <w:rPr>
          <w:sz w:val="24"/>
          <w:szCs w:val="24"/>
        </w:rPr>
        <w:tab/>
      </w:r>
      <w:r w:rsidR="00625250" w:rsidRPr="0077392E">
        <w:rPr>
          <w:sz w:val="24"/>
          <w:szCs w:val="24"/>
        </w:rPr>
        <w:tab/>
      </w:r>
      <w:r w:rsidR="00625250" w:rsidRPr="0077392E">
        <w:rPr>
          <w:sz w:val="24"/>
          <w:szCs w:val="24"/>
        </w:rPr>
        <w:tab/>
      </w:r>
      <w:r w:rsidR="00625250" w:rsidRPr="0077392E">
        <w:rPr>
          <w:sz w:val="24"/>
          <w:szCs w:val="24"/>
        </w:rPr>
        <w:tab/>
      </w:r>
      <w:r w:rsidR="00625250" w:rsidRPr="0077392E">
        <w:rPr>
          <w:sz w:val="24"/>
          <w:szCs w:val="24"/>
        </w:rPr>
        <w:tab/>
      </w:r>
      <w:r w:rsidR="00625250" w:rsidRPr="0077392E">
        <w:rPr>
          <w:sz w:val="24"/>
          <w:szCs w:val="24"/>
        </w:rPr>
        <w:tab/>
      </w:r>
      <w:r w:rsidR="00625250" w:rsidRPr="0077392E">
        <w:rPr>
          <w:sz w:val="24"/>
          <w:szCs w:val="24"/>
        </w:rPr>
        <w:tab/>
        <w:t>Katrina L. Dunderdale</w:t>
      </w:r>
    </w:p>
    <w:p w14:paraId="207C85E4" w14:textId="4139C624" w:rsidR="00554D3D" w:rsidRPr="00F626CA" w:rsidRDefault="00625250" w:rsidP="00F626CA">
      <w:pPr>
        <w:rPr>
          <w:sz w:val="24"/>
          <w:szCs w:val="24"/>
        </w:rPr>
        <w:sectPr w:rsidR="00554D3D" w:rsidRPr="00F626CA" w:rsidSect="002E28DF">
          <w:footerReference w:type="even" r:id="rId8"/>
          <w:footerReference w:type="default" r:id="rId9"/>
          <w:pgSz w:w="12240" w:h="15840"/>
          <w:pgMar w:top="1440" w:right="1440" w:bottom="1440" w:left="1440" w:header="720" w:footer="720" w:gutter="0"/>
          <w:cols w:space="720"/>
          <w:titlePg/>
          <w:docGrid w:linePitch="272"/>
        </w:sectPr>
      </w:pP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t xml:space="preserve">       </w:t>
      </w:r>
      <w:r w:rsidRPr="0077392E">
        <w:rPr>
          <w:sz w:val="24"/>
          <w:szCs w:val="24"/>
        </w:rPr>
        <w:tab/>
        <w:t>Administrative Law Judg</w:t>
      </w:r>
      <w:r w:rsidR="00F626CA">
        <w:rPr>
          <w:sz w:val="24"/>
          <w:szCs w:val="24"/>
        </w:rPr>
        <w:t>e</w:t>
      </w:r>
    </w:p>
    <w:p w14:paraId="7141D759" w14:textId="77777777" w:rsidR="00126504" w:rsidRDefault="00126504" w:rsidP="00126504">
      <w:pPr>
        <w:tabs>
          <w:tab w:val="left" w:pos="-720"/>
        </w:tabs>
        <w:suppressAutoHyphens/>
        <w:ind w:left="-144"/>
        <w:rPr>
          <w:rFonts w:ascii="Microsoft Sans Serif" w:eastAsia="Microsoft Sans Serif" w:hAnsi="Microsoft Sans Serif" w:cs="Microsoft Sans Serif"/>
          <w:b/>
          <w:sz w:val="24"/>
          <w:u w:val="single"/>
        </w:rPr>
        <w:sectPr w:rsidR="00126504" w:rsidSect="00126504">
          <w:type w:val="continuous"/>
          <w:pgSz w:w="12240" w:h="15840"/>
          <w:pgMar w:top="1440" w:right="1440" w:bottom="1440" w:left="1440" w:header="720" w:footer="720" w:gutter="0"/>
          <w:cols w:space="720"/>
          <w:docGrid w:linePitch="360"/>
        </w:sectPr>
      </w:pPr>
    </w:p>
    <w:p w14:paraId="645CFF8F" w14:textId="77777777" w:rsidR="00126504" w:rsidRDefault="00126504" w:rsidP="00126504">
      <w:pPr>
        <w:tabs>
          <w:tab w:val="left" w:pos="-720"/>
        </w:tabs>
        <w:suppressAutoHyphens/>
        <w:ind w:left="-144"/>
        <w:rPr>
          <w:rFonts w:ascii="Microsoft Sans Serif" w:hAnsi="Microsoft Sans Serif" w:cs="Microsoft Sans Serif"/>
          <w:b/>
          <w:sz w:val="24"/>
          <w:szCs w:val="24"/>
          <w:u w:val="single"/>
        </w:rPr>
      </w:pPr>
      <w:r>
        <w:rPr>
          <w:rFonts w:ascii="Microsoft Sans Serif" w:eastAsia="Microsoft Sans Serif" w:hAnsi="Microsoft Sans Serif" w:cs="Microsoft Sans Serif"/>
          <w:b/>
          <w:sz w:val="24"/>
          <w:u w:val="single"/>
        </w:rPr>
        <w:lastRenderedPageBreak/>
        <w:t xml:space="preserve">A-2021-3024058 </w:t>
      </w:r>
      <w:r w:rsidRPr="0013022D">
        <w:rPr>
          <w:rFonts w:ascii="Microsoft Sans Serif" w:eastAsia="Microsoft Sans Serif" w:hAnsi="Microsoft Sans Serif" w:cs="Microsoft Sans Serif"/>
          <w:bCs/>
          <w:sz w:val="24"/>
          <w:szCs w:val="24"/>
          <w:u w:val="single"/>
        </w:rPr>
        <w:t xml:space="preserve">- </w:t>
      </w:r>
      <w:r w:rsidRPr="0013022D">
        <w:rPr>
          <w:rFonts w:ascii="Microsoft Sans Serif" w:hAnsi="Microsoft Sans Serif" w:cs="Microsoft Sans Serif"/>
          <w:b/>
          <w:sz w:val="24"/>
          <w:szCs w:val="24"/>
          <w:u w:val="single"/>
        </w:rPr>
        <w:t>APPLICATION OF PENNSYLVANIA-AMERICAN WATER COMPANY PURSUANT TO SECTIONS 1102 AND 1329 OF THE PUBLIC UTILITY CODE FOR APPROVAL OF THE TRANSFER, BY SALE, OF SUBSTANTIALLY ALL OF THE ASSETS, PROPERTIES AND RIGHTS RELATED TO THE WASTEWATER COLLECTION AND CONVEYANCE SYSTEM OWNED BY BOROUGH OF BRENTWOOD AND THE RIGHTS TO BEGIN TO OFFER OR FURNISH WASTEWATER SERVICE TO THE PUBLIC IN THE BOROUGH OF BRENTWOOD, ALLEGHENY COUNTY, PENNSYLVANIA.</w:t>
      </w:r>
    </w:p>
    <w:p w14:paraId="5EC50C34" w14:textId="77777777" w:rsidR="00126504" w:rsidRDefault="00126504" w:rsidP="00126504">
      <w:pPr>
        <w:tabs>
          <w:tab w:val="left" w:pos="-720"/>
        </w:tabs>
        <w:suppressAutoHyphens/>
        <w:rPr>
          <w:rFonts w:ascii="Microsoft Sans Serif" w:hAnsi="Microsoft Sans Serif" w:cs="Microsoft Sans Serif"/>
          <w:b/>
          <w:sz w:val="24"/>
          <w:szCs w:val="24"/>
          <w:u w:val="single"/>
        </w:rPr>
        <w:sectPr w:rsidR="00126504" w:rsidSect="00126504">
          <w:pgSz w:w="12240" w:h="15840"/>
          <w:pgMar w:top="1440" w:right="1440" w:bottom="1440" w:left="1440" w:header="720" w:footer="720" w:gutter="0"/>
          <w:cols w:space="720"/>
          <w:docGrid w:linePitch="360"/>
        </w:sectPr>
      </w:pPr>
    </w:p>
    <w:p w14:paraId="48721F60" w14:textId="77777777" w:rsidR="00126504" w:rsidRDefault="00126504" w:rsidP="00126504">
      <w:pPr>
        <w:tabs>
          <w:tab w:val="left" w:pos="-720"/>
        </w:tabs>
        <w:suppressAutoHyphens/>
        <w:ind w:left="-144"/>
        <w:rPr>
          <w:rFonts w:ascii="Microsoft Sans Serif" w:eastAsia="Microsoft Sans Serif" w:hAnsi="Microsoft Sans Serif" w:cs="Microsoft Sans Serif"/>
          <w:bCs/>
          <w:i/>
          <w:iCs/>
          <w:sz w:val="24"/>
        </w:rPr>
      </w:pPr>
      <w:r w:rsidRPr="006C261A">
        <w:rPr>
          <w:rFonts w:ascii="Microsoft Sans Serif" w:eastAsia="Microsoft Sans Serif" w:hAnsi="Microsoft Sans Serif" w:cs="Microsoft Sans Serif"/>
          <w:bCs/>
          <w:i/>
          <w:iCs/>
          <w:sz w:val="24"/>
        </w:rPr>
        <w:t>Revised: November 13, 2023</w:t>
      </w:r>
    </w:p>
    <w:p w14:paraId="0752089D" w14:textId="77777777" w:rsidR="00126504" w:rsidRDefault="00126504" w:rsidP="00126504">
      <w:pPr>
        <w:tabs>
          <w:tab w:val="left" w:pos="-720"/>
        </w:tabs>
        <w:suppressAutoHyphens/>
        <w:ind w:left="-144"/>
        <w:rPr>
          <w:rFonts w:ascii="Microsoft Sans Serif" w:eastAsia="Microsoft Sans Serif" w:hAnsi="Microsoft Sans Serif" w:cs="Microsoft Sans Serif"/>
          <w:bCs/>
          <w:i/>
          <w:iCs/>
          <w:sz w:val="24"/>
        </w:rPr>
      </w:pPr>
    </w:p>
    <w:p w14:paraId="211BA2E9" w14:textId="77777777" w:rsidR="00126504" w:rsidRDefault="00126504" w:rsidP="00126504">
      <w:pPr>
        <w:tabs>
          <w:tab w:val="left" w:pos="-720"/>
        </w:tabs>
        <w:suppressAutoHyphens/>
        <w:ind w:left="-144"/>
        <w:rPr>
          <w:rFonts w:ascii="Microsoft Sans Serif" w:eastAsia="Microsoft Sans Serif" w:hAnsi="Microsoft Sans Serif" w:cs="Microsoft Sans Serif"/>
          <w:bCs/>
          <w:i/>
          <w:iCs/>
          <w:sz w:val="24"/>
        </w:rPr>
      </w:pPr>
    </w:p>
    <w:p w14:paraId="51600073" w14:textId="77777777" w:rsidR="00126504" w:rsidRDefault="00126504" w:rsidP="00126504">
      <w:pPr>
        <w:tabs>
          <w:tab w:val="left" w:pos="-720"/>
        </w:tabs>
        <w:suppressAutoHyphens/>
        <w:ind w:left="-144"/>
        <w:rPr>
          <w:rFonts w:ascii="Microsoft Sans Serif" w:eastAsia="Microsoft Sans Serif" w:hAnsi="Microsoft Sans Serif" w:cs="Microsoft Sans Serif"/>
          <w:bCs/>
          <w:i/>
          <w:iCs/>
          <w:sz w:val="24"/>
        </w:rPr>
      </w:pPr>
    </w:p>
    <w:p w14:paraId="3050E2EB" w14:textId="77777777" w:rsidR="00126504" w:rsidRPr="006C261A" w:rsidRDefault="00126504" w:rsidP="00126504">
      <w:pPr>
        <w:tabs>
          <w:tab w:val="left" w:pos="-720"/>
        </w:tabs>
        <w:suppressAutoHyphens/>
        <w:ind w:left="-144"/>
        <w:rPr>
          <w:rFonts w:ascii="Microsoft Sans Serif" w:eastAsia="Microsoft Sans Serif" w:hAnsi="Microsoft Sans Serif" w:cs="Microsoft Sans Serif"/>
          <w:bCs/>
          <w:i/>
          <w:iCs/>
          <w:sz w:val="24"/>
        </w:rPr>
      </w:pPr>
    </w:p>
    <w:p w14:paraId="5D2A82B6" w14:textId="77777777" w:rsidR="00126504" w:rsidRDefault="00126504" w:rsidP="00126504">
      <w:pPr>
        <w:tabs>
          <w:tab w:val="left" w:pos="-720"/>
        </w:tabs>
        <w:suppressAutoHyphens/>
        <w:ind w:left="-144"/>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ROSE TRISCARI ESQUIRE</w:t>
      </w:r>
      <w:r>
        <w:rPr>
          <w:rFonts w:ascii="Microsoft Sans Serif" w:eastAsia="Microsoft Sans Serif" w:hAnsi="Microsoft Sans Serif" w:cs="Microsoft Sans Serif"/>
          <w:sz w:val="24"/>
        </w:rPr>
        <w:br/>
        <w:t>ERIN K FURE ESQUIRE</w:t>
      </w:r>
      <w:r>
        <w:rPr>
          <w:rFonts w:ascii="Microsoft Sans Serif" w:eastAsia="Microsoft Sans Serif" w:hAnsi="Microsoft Sans Serif" w:cs="Microsoft Sans Serif"/>
          <w:sz w:val="24"/>
        </w:rPr>
        <w:cr/>
        <w:t xml:space="preserve">PENNSYLVANIA-AMERICAN WATER </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1574</w:t>
      </w:r>
      <w:r w:rsidRPr="0013022D">
        <w:rPr>
          <w:rFonts w:ascii="Microsoft Sans Serif" w:eastAsia="Microsoft Sans Serif" w:hAnsi="Microsoft Sans Serif" w:cs="Microsoft Sans Serif"/>
          <w:b/>
          <w:bCs/>
          <w:sz w:val="24"/>
        </w:rPr>
        <w:cr/>
      </w:r>
      <w:hyperlink r:id="rId10" w:history="1">
        <w:r w:rsidRPr="00C04D31">
          <w:rPr>
            <w:rStyle w:val="Hyperlink"/>
            <w:rFonts w:ascii="Microsoft Sans Serif" w:eastAsia="Microsoft Sans Serif" w:hAnsi="Microsoft Sans Serif" w:cs="Microsoft Sans Serif"/>
            <w:sz w:val="24"/>
          </w:rPr>
          <w:t>Elizabeth.Triscari@amwater.com</w:t>
        </w:r>
      </w:hyperlink>
      <w:r>
        <w:rPr>
          <w:rFonts w:ascii="Microsoft Sans Serif" w:eastAsia="Microsoft Sans Serif" w:hAnsi="Microsoft Sans Serif" w:cs="Microsoft Sans Serif"/>
          <w:sz w:val="24"/>
        </w:rPr>
        <w:br/>
      </w:r>
      <w:hyperlink r:id="rId11" w:history="1">
        <w:r w:rsidRPr="00C04D31">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145FD">
        <w:rPr>
          <w:rFonts w:ascii="Microsoft Sans Serif" w:eastAsia="Microsoft Sans Serif" w:hAnsi="Microsoft Sans Serif" w:cs="Microsoft Sans Serif"/>
          <w:i/>
          <w:iCs/>
          <w:sz w:val="24"/>
        </w:rPr>
        <w:t>(Counsel for P</w:t>
      </w:r>
      <w:r>
        <w:rPr>
          <w:rFonts w:ascii="Microsoft Sans Serif" w:eastAsia="Microsoft Sans Serif" w:hAnsi="Microsoft Sans Serif" w:cs="Microsoft Sans Serif"/>
          <w:i/>
          <w:iCs/>
          <w:sz w:val="24"/>
        </w:rPr>
        <w:t>ennsylvania-American</w:t>
      </w:r>
      <w:r>
        <w:rPr>
          <w:rFonts w:ascii="Microsoft Sans Serif" w:eastAsia="Microsoft Sans Serif" w:hAnsi="Microsoft Sans Serif" w:cs="Microsoft Sans Serif"/>
          <w:i/>
          <w:iCs/>
          <w:sz w:val="24"/>
        </w:rPr>
        <w:br/>
      </w:r>
      <w:r w:rsidRPr="00E145FD">
        <w:rPr>
          <w:rFonts w:ascii="Microsoft Sans Serif" w:eastAsia="Microsoft Sans Serif" w:hAnsi="Microsoft Sans Serif" w:cs="Microsoft Sans Serif"/>
          <w:i/>
          <w:iCs/>
          <w:sz w:val="24"/>
        </w:rPr>
        <w:t>W</w:t>
      </w:r>
      <w:r>
        <w:rPr>
          <w:rFonts w:ascii="Microsoft Sans Serif" w:eastAsia="Microsoft Sans Serif" w:hAnsi="Microsoft Sans Serif" w:cs="Microsoft Sans Serif"/>
          <w:i/>
          <w:iCs/>
          <w:sz w:val="24"/>
        </w:rPr>
        <w:t xml:space="preserve">ater </w:t>
      </w:r>
      <w:r w:rsidRPr="00E145FD">
        <w:rPr>
          <w:rFonts w:ascii="Microsoft Sans Serif" w:eastAsia="Microsoft Sans Serif" w:hAnsi="Microsoft Sans Serif" w:cs="Microsoft Sans Serif"/>
          <w:i/>
          <w:iCs/>
          <w:sz w:val="24"/>
        </w:rPr>
        <w:t>C</w:t>
      </w:r>
      <w:r>
        <w:rPr>
          <w:rFonts w:ascii="Microsoft Sans Serif" w:eastAsia="Microsoft Sans Serif" w:hAnsi="Microsoft Sans Serif" w:cs="Microsoft Sans Serif"/>
          <w:i/>
          <w:iCs/>
          <w:sz w:val="24"/>
        </w:rPr>
        <w:t>ompany</w:t>
      </w:r>
      <w:r w:rsidRPr="00E145FD">
        <w:rPr>
          <w:rFonts w:ascii="Microsoft Sans Serif" w:eastAsia="Microsoft Sans Serif" w:hAnsi="Microsoft Sans Serif" w:cs="Microsoft Sans Serif"/>
          <w:i/>
          <w:iCs/>
          <w:sz w:val="24"/>
        </w:rPr>
        <w:t>)</w:t>
      </w:r>
      <w:r w:rsidRPr="00E145FD">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P ZAMBITO ESQUIRE</w:t>
      </w:r>
      <w:r>
        <w:rPr>
          <w:rFonts w:ascii="Microsoft Sans Serif" w:eastAsia="Microsoft Sans Serif" w:hAnsi="Microsoft Sans Serif" w:cs="Microsoft Sans Serif"/>
          <w:sz w:val="24"/>
        </w:rPr>
        <w:br/>
        <w:t>JONATHAN NASE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703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5892</w:t>
      </w:r>
      <w:r>
        <w:rPr>
          <w:rFonts w:ascii="Microsoft Sans Serif" w:eastAsia="Microsoft Sans Serif" w:hAnsi="Microsoft Sans Serif" w:cs="Microsoft Sans Serif"/>
          <w:sz w:val="24"/>
        </w:rPr>
        <w:cr/>
      </w:r>
      <w:hyperlink r:id="rId12" w:history="1">
        <w:r w:rsidRPr="00C04D31">
          <w:rPr>
            <w:rStyle w:val="Hyperlink"/>
            <w:rFonts w:ascii="Microsoft Sans Serif" w:eastAsia="Microsoft Sans Serif" w:hAnsi="Microsoft Sans Serif" w:cs="Microsoft Sans Serif"/>
            <w:sz w:val="24"/>
          </w:rPr>
          <w:t>dzambito@cozen.com</w:t>
        </w:r>
      </w:hyperlink>
      <w:r>
        <w:rPr>
          <w:rFonts w:ascii="Microsoft Sans Serif" w:eastAsia="Microsoft Sans Serif" w:hAnsi="Microsoft Sans Serif" w:cs="Microsoft Sans Serif"/>
          <w:sz w:val="24"/>
        </w:rPr>
        <w:br/>
      </w:r>
      <w:hyperlink r:id="rId13" w:history="1">
        <w:r w:rsidRPr="00C04D31">
          <w:rPr>
            <w:rStyle w:val="Hyperlink"/>
            <w:rFonts w:ascii="Microsoft Sans Serif" w:eastAsia="Microsoft Sans Serif" w:hAnsi="Microsoft Sans Serif" w:cs="Microsoft Sans Serif"/>
            <w:sz w:val="24"/>
          </w:rPr>
          <w:t>jnase@cozen.com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145FD">
        <w:rPr>
          <w:rFonts w:ascii="Microsoft Sans Serif" w:eastAsia="Microsoft Sans Serif" w:hAnsi="Microsoft Sans Serif" w:cs="Microsoft Sans Serif"/>
          <w:i/>
          <w:iCs/>
          <w:sz w:val="24"/>
        </w:rPr>
        <w:t>(Counsel for P</w:t>
      </w:r>
      <w:r>
        <w:rPr>
          <w:rFonts w:ascii="Microsoft Sans Serif" w:eastAsia="Microsoft Sans Serif" w:hAnsi="Microsoft Sans Serif" w:cs="Microsoft Sans Serif"/>
          <w:i/>
          <w:iCs/>
          <w:sz w:val="24"/>
        </w:rPr>
        <w:t>ennsylvania-American</w:t>
      </w:r>
      <w:r>
        <w:rPr>
          <w:rFonts w:ascii="Microsoft Sans Serif" w:eastAsia="Microsoft Sans Serif" w:hAnsi="Microsoft Sans Serif" w:cs="Microsoft Sans Serif"/>
          <w:i/>
          <w:iCs/>
          <w:sz w:val="24"/>
        </w:rPr>
        <w:br/>
      </w:r>
      <w:r w:rsidRPr="00E145FD">
        <w:rPr>
          <w:rFonts w:ascii="Microsoft Sans Serif" w:eastAsia="Microsoft Sans Serif" w:hAnsi="Microsoft Sans Serif" w:cs="Microsoft Sans Serif"/>
          <w:i/>
          <w:iCs/>
          <w:sz w:val="24"/>
        </w:rPr>
        <w:t>W</w:t>
      </w:r>
      <w:r>
        <w:rPr>
          <w:rFonts w:ascii="Microsoft Sans Serif" w:eastAsia="Microsoft Sans Serif" w:hAnsi="Microsoft Sans Serif" w:cs="Microsoft Sans Serif"/>
          <w:i/>
          <w:iCs/>
          <w:sz w:val="24"/>
        </w:rPr>
        <w:t xml:space="preserve">ater </w:t>
      </w:r>
      <w:r w:rsidRPr="00E145FD">
        <w:rPr>
          <w:rFonts w:ascii="Microsoft Sans Serif" w:eastAsia="Microsoft Sans Serif" w:hAnsi="Microsoft Sans Serif" w:cs="Microsoft Sans Serif"/>
          <w:i/>
          <w:iCs/>
          <w:sz w:val="24"/>
        </w:rPr>
        <w:t>C</w:t>
      </w:r>
      <w:r>
        <w:rPr>
          <w:rFonts w:ascii="Microsoft Sans Serif" w:eastAsia="Microsoft Sans Serif" w:hAnsi="Microsoft Sans Serif" w:cs="Microsoft Sans Serif"/>
          <w:i/>
          <w:iCs/>
          <w:sz w:val="24"/>
        </w:rPr>
        <w:t>ompany</w:t>
      </w:r>
      <w:r w:rsidRPr="00E145FD">
        <w:rPr>
          <w:rFonts w:ascii="Microsoft Sans Serif" w:eastAsia="Microsoft Sans Serif" w:hAnsi="Microsoft Sans Serif" w:cs="Microsoft Sans Serif"/>
          <w:i/>
          <w:iCs/>
          <w:sz w:val="24"/>
        </w:rPr>
        <w:t>)</w:t>
      </w:r>
      <w:r w:rsidRPr="00E145FD">
        <w:rPr>
          <w:rFonts w:ascii="Microsoft Sans Serif" w:eastAsia="Microsoft Sans Serif" w:hAnsi="Microsoft Sans Serif" w:cs="Microsoft Sans Serif"/>
          <w:i/>
          <w:iCs/>
          <w:sz w:val="24"/>
        </w:rPr>
        <w:cr/>
      </w:r>
    </w:p>
    <w:p w14:paraId="205E1113" w14:textId="77777777" w:rsidR="00126504" w:rsidRDefault="00126504" w:rsidP="00126504">
      <w:pPr>
        <w:tabs>
          <w:tab w:val="left" w:pos="-720"/>
        </w:tabs>
        <w:suppressAutoHyphens/>
        <w:ind w:right="-432"/>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2525</w:t>
      </w:r>
      <w:r w:rsidRPr="0013022D">
        <w:rPr>
          <w:rFonts w:ascii="Microsoft Sans Serif" w:eastAsia="Microsoft Sans Serif" w:hAnsi="Microsoft Sans Serif" w:cs="Microsoft Sans Serif"/>
          <w:b/>
          <w:bCs/>
          <w:sz w:val="24"/>
        </w:rPr>
        <w:cr/>
      </w:r>
      <w:hyperlink r:id="rId14" w:history="1">
        <w:r w:rsidRPr="00C04D31">
          <w:rPr>
            <w:rStyle w:val="Hyperlink"/>
            <w:rFonts w:ascii="Microsoft Sans Serif" w:eastAsia="Microsoft Sans Serif" w:hAnsi="Microsoft Sans Serif" w:cs="Microsoft Sans Serif"/>
            <w:sz w:val="24"/>
          </w:rPr>
          <w:t>swebb@pa.gov</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p>
    <w:p w14:paraId="4C899209" w14:textId="77777777" w:rsidR="00126504" w:rsidRDefault="00126504" w:rsidP="00126504">
      <w:pPr>
        <w:tabs>
          <w:tab w:val="left" w:pos="-720"/>
        </w:tabs>
        <w:suppressAutoHyphens/>
        <w:ind w:right="-432"/>
        <w:rPr>
          <w:rFonts w:ascii="Microsoft Sans Serif" w:eastAsia="Microsoft Sans Serif" w:hAnsi="Microsoft Sans Serif" w:cs="Microsoft Sans Serif"/>
          <w:sz w:val="24"/>
        </w:rPr>
      </w:pPr>
    </w:p>
    <w:p w14:paraId="498EFAAD" w14:textId="77777777" w:rsidR="00126504" w:rsidRDefault="00126504" w:rsidP="00126504">
      <w:pPr>
        <w:tabs>
          <w:tab w:val="left" w:pos="-720"/>
        </w:tabs>
        <w:suppressAutoHyphens/>
        <w:ind w:right="-432"/>
        <w:rPr>
          <w:rFonts w:ascii="Microsoft Sans Serif" w:eastAsia="Microsoft Sans Serif" w:hAnsi="Microsoft Sans Serif" w:cs="Microsoft Sans Serif"/>
          <w:sz w:val="24"/>
        </w:rPr>
      </w:pPr>
    </w:p>
    <w:p w14:paraId="0F2D8CD9" w14:textId="77777777" w:rsidR="00126504" w:rsidRDefault="00126504" w:rsidP="00126504">
      <w:pPr>
        <w:tabs>
          <w:tab w:val="left" w:pos="-720"/>
        </w:tabs>
        <w:suppressAutoHyphens/>
        <w:ind w:right="-432"/>
        <w:rPr>
          <w:rFonts w:ascii="Microsoft Sans Serif" w:eastAsia="Microsoft Sans Serif" w:hAnsi="Microsoft Sans Serif" w:cs="Microsoft Sans Serif"/>
          <w:sz w:val="24"/>
        </w:rPr>
      </w:pPr>
    </w:p>
    <w:p w14:paraId="42E55BFB" w14:textId="0D3396D1" w:rsidR="00126504" w:rsidRDefault="00126504" w:rsidP="00126504">
      <w:pPr>
        <w:tabs>
          <w:tab w:val="left" w:pos="-720"/>
        </w:tabs>
        <w:suppressAutoHyphens/>
        <w:ind w:right="-432"/>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JACOB GUTHRIE</w:t>
      </w:r>
      <w:r w:rsidRPr="006C261A">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br/>
        <w:t>ARON J BEATTY ESQUIRE</w:t>
      </w:r>
      <w:r>
        <w:rPr>
          <w:rFonts w:ascii="Microsoft Sans Serif" w:eastAsia="Microsoft Sans Serif" w:hAnsi="Microsoft Sans Serif" w:cs="Microsoft Sans Serif"/>
          <w:sz w:val="24"/>
        </w:rPr>
        <w:br/>
        <w:t>CHRISTINE M HOOVER ESQUIRE</w:t>
      </w:r>
      <w:r>
        <w:rPr>
          <w:rFonts w:ascii="Microsoft Sans Serif" w:eastAsia="Microsoft Sans Serif" w:hAnsi="Microsoft Sans Serif" w:cs="Microsoft Sans Serif"/>
          <w:sz w:val="24"/>
        </w:rPr>
        <w:br/>
        <w:t>ANDREW J ZERBY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5048</w:t>
      </w:r>
      <w:r>
        <w:rPr>
          <w:rFonts w:ascii="Microsoft Sans Serif" w:eastAsia="Microsoft Sans Serif" w:hAnsi="Microsoft Sans Serif" w:cs="Microsoft Sans Serif"/>
          <w:b/>
          <w:bCs/>
          <w:sz w:val="24"/>
        </w:rPr>
        <w:br/>
      </w:r>
      <w:hyperlink r:id="rId15" w:history="1">
        <w:r w:rsidRPr="006D5996">
          <w:rPr>
            <w:rStyle w:val="Hyperlink"/>
            <w:rFonts w:ascii="Microsoft Sans Serif" w:eastAsia="Microsoft Sans Serif" w:hAnsi="Microsoft Sans Serif" w:cs="Microsoft Sans Serif"/>
            <w:sz w:val="24"/>
          </w:rPr>
          <w:t>jguthrie@paoca.org</w:t>
        </w:r>
      </w:hyperlink>
      <w:r>
        <w:rPr>
          <w:rFonts w:ascii="Microsoft Sans Serif" w:eastAsia="Microsoft Sans Serif" w:hAnsi="Microsoft Sans Serif" w:cs="Microsoft Sans Serif"/>
          <w:sz w:val="24"/>
        </w:rPr>
        <w:br/>
      </w:r>
      <w:hyperlink r:id="rId16" w:history="1">
        <w:r w:rsidRPr="00C04D31">
          <w:rPr>
            <w:rStyle w:val="Hyperlink"/>
            <w:rFonts w:ascii="Microsoft Sans Serif" w:eastAsia="Microsoft Sans Serif" w:hAnsi="Microsoft Sans Serif" w:cs="Microsoft Sans Serif"/>
            <w:sz w:val="24"/>
          </w:rPr>
          <w:t>abeatty@paoca.org</w:t>
        </w:r>
      </w:hyperlink>
      <w:r>
        <w:rPr>
          <w:rFonts w:ascii="Microsoft Sans Serif" w:eastAsia="Microsoft Sans Serif" w:hAnsi="Microsoft Sans Serif" w:cs="Microsoft Sans Serif"/>
          <w:sz w:val="24"/>
        </w:rPr>
        <w:br/>
      </w:r>
      <w:hyperlink r:id="rId17" w:history="1">
        <w:r w:rsidRPr="00C04D31">
          <w:rPr>
            <w:rStyle w:val="Hyperlink"/>
            <w:rFonts w:ascii="Microsoft Sans Serif" w:eastAsia="Microsoft Sans Serif" w:hAnsi="Microsoft Sans Serif" w:cs="Microsoft Sans Serif"/>
            <w:sz w:val="24"/>
          </w:rPr>
          <w:t>choover@paoca.org</w:t>
        </w:r>
      </w:hyperlink>
      <w:r>
        <w:rPr>
          <w:rFonts w:ascii="Microsoft Sans Serif" w:eastAsia="Microsoft Sans Serif" w:hAnsi="Microsoft Sans Serif" w:cs="Microsoft Sans Serif"/>
          <w:sz w:val="24"/>
        </w:rPr>
        <w:br/>
      </w:r>
      <w:hyperlink r:id="rId18" w:history="1">
        <w:r w:rsidRPr="00C04D31">
          <w:rPr>
            <w:rStyle w:val="Hyperlink"/>
            <w:rFonts w:ascii="Microsoft Sans Serif" w:eastAsia="Microsoft Sans Serif" w:hAnsi="Microsoft Sans Serif" w:cs="Microsoft Sans Serif"/>
            <w:sz w:val="24"/>
          </w:rPr>
          <w:t>azerby@paoca.org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74067A2E" w14:textId="77777777" w:rsidR="00126504" w:rsidRDefault="00126504" w:rsidP="00126504">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6156</w:t>
      </w:r>
      <w:r w:rsidRPr="0013022D">
        <w:rPr>
          <w:rFonts w:ascii="Microsoft Sans Serif" w:eastAsia="Microsoft Sans Serif" w:hAnsi="Microsoft Sans Serif" w:cs="Microsoft Sans Serif"/>
          <w:b/>
          <w:bCs/>
          <w:sz w:val="24"/>
        </w:rPr>
        <w:cr/>
      </w:r>
      <w:hyperlink r:id="rId19" w:history="1">
        <w:r w:rsidRPr="00C04D31">
          <w:rPr>
            <w:rStyle w:val="Hyperlink"/>
            <w:rFonts w:ascii="Microsoft Sans Serif" w:eastAsia="Microsoft Sans Serif" w:hAnsi="Microsoft Sans Serif" w:cs="Microsoft Sans Serif"/>
            <w:sz w:val="24"/>
          </w:rPr>
          <w:t>carwright@pa.gov</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378A3A49"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4CEADADC"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68DB09AE"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360F374C"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00C92559"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3FAA666D"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07284C0D"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2FFA559B"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31B2EEB4"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387C4F99" w14:textId="77777777" w:rsidR="00126504" w:rsidRDefault="00126504" w:rsidP="00126504">
      <w:pPr>
        <w:tabs>
          <w:tab w:val="left" w:pos="-720"/>
        </w:tabs>
        <w:suppressAutoHyphens/>
        <w:rPr>
          <w:rFonts w:ascii="Microsoft Sans Serif" w:eastAsia="Microsoft Sans Serif" w:hAnsi="Microsoft Sans Serif" w:cs="Microsoft Sans Serif"/>
          <w:sz w:val="24"/>
        </w:rPr>
      </w:pPr>
    </w:p>
    <w:p w14:paraId="1406831E" w14:textId="77777777" w:rsidR="00126504" w:rsidRPr="00A93AEA" w:rsidRDefault="00126504" w:rsidP="00126504">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THOMAS WYATT ESQUIRE</w:t>
      </w:r>
    </w:p>
    <w:p w14:paraId="58E0C3E7" w14:textId="77777777" w:rsidR="00126504" w:rsidRPr="00A93AEA" w:rsidRDefault="00126504" w:rsidP="00126504">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MATTHEW S. OLESH ESQUIRE</w:t>
      </w:r>
    </w:p>
    <w:p w14:paraId="41C862FD" w14:textId="77777777" w:rsidR="00126504" w:rsidRPr="00A93AEA" w:rsidRDefault="00126504" w:rsidP="00126504">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 xml:space="preserve">SYDNEY N. MELILLO ESQUIRE </w:t>
      </w:r>
    </w:p>
    <w:p w14:paraId="3F8A573B" w14:textId="77777777" w:rsidR="00126504" w:rsidRPr="00A93AEA" w:rsidRDefault="00126504" w:rsidP="00126504">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OBERMAYER REBMANN MAXWELL &amp; HIPPEL, LLP</w:t>
      </w:r>
    </w:p>
    <w:p w14:paraId="39414BAD" w14:textId="77777777" w:rsidR="00126504" w:rsidRPr="00A93AEA" w:rsidRDefault="00126504" w:rsidP="00126504">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1500 MARKET STREET, SUITE 3400</w:t>
      </w:r>
    </w:p>
    <w:p w14:paraId="1900EC24" w14:textId="77777777" w:rsidR="00126504" w:rsidRPr="00A93AEA" w:rsidRDefault="00126504" w:rsidP="00126504">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PHILADELPHIA, PA 19102</w:t>
      </w:r>
    </w:p>
    <w:p w14:paraId="536FCEB5" w14:textId="77777777" w:rsidR="00126504" w:rsidRDefault="00126504" w:rsidP="00126504">
      <w:pPr>
        <w:tabs>
          <w:tab w:val="left" w:pos="-720"/>
        </w:tabs>
        <w:suppressAutoHyphens/>
        <w:rPr>
          <w:rFonts w:ascii="Microsoft Sans Serif" w:eastAsia="Microsoft Sans Serif" w:hAnsi="Microsoft Sans Serif" w:cs="Microsoft Sans Serif"/>
          <w:sz w:val="24"/>
        </w:rPr>
      </w:pPr>
      <w:hyperlink r:id="rId20" w:history="1">
        <w:r w:rsidRPr="00A44CEF">
          <w:rPr>
            <w:rStyle w:val="Hyperlink"/>
            <w:rFonts w:ascii="Microsoft Sans Serif" w:eastAsia="Microsoft Sans Serif" w:hAnsi="Microsoft Sans Serif" w:cs="Microsoft Sans Serif"/>
            <w:sz w:val="24"/>
          </w:rPr>
          <w:t>Thomas.Wyatt@obermayer.com</w:t>
        </w:r>
      </w:hyperlink>
    </w:p>
    <w:p w14:paraId="0359E759" w14:textId="77777777" w:rsidR="00126504" w:rsidRDefault="00126504" w:rsidP="00126504">
      <w:pPr>
        <w:tabs>
          <w:tab w:val="left" w:pos="-720"/>
        </w:tabs>
        <w:suppressAutoHyphens/>
        <w:rPr>
          <w:rFonts w:ascii="Microsoft Sans Serif" w:eastAsia="Microsoft Sans Serif" w:hAnsi="Microsoft Sans Serif" w:cs="Microsoft Sans Serif"/>
          <w:sz w:val="24"/>
        </w:rPr>
      </w:pPr>
      <w:hyperlink r:id="rId21" w:history="1">
        <w:r w:rsidRPr="00A44CEF">
          <w:rPr>
            <w:rStyle w:val="Hyperlink"/>
            <w:rFonts w:ascii="Microsoft Sans Serif" w:eastAsia="Microsoft Sans Serif" w:hAnsi="Microsoft Sans Serif" w:cs="Microsoft Sans Serif"/>
            <w:sz w:val="24"/>
          </w:rPr>
          <w:t>Matthew.Olesh@obermayer.com</w:t>
        </w:r>
      </w:hyperlink>
    </w:p>
    <w:p w14:paraId="2B0D02E5" w14:textId="77777777" w:rsidR="00126504" w:rsidRPr="00102C06" w:rsidRDefault="00126504" w:rsidP="00126504">
      <w:pPr>
        <w:tabs>
          <w:tab w:val="left" w:pos="-720"/>
        </w:tabs>
        <w:suppressAutoHyphens/>
        <w:rPr>
          <w:rFonts w:ascii="Microsoft Sans Serif" w:eastAsia="Microsoft Sans Serif" w:hAnsi="Microsoft Sans Serif" w:cs="Microsoft Sans Serif"/>
          <w:color w:val="000000" w:themeColor="text1"/>
          <w:sz w:val="24"/>
        </w:rPr>
      </w:pPr>
      <w:hyperlink r:id="rId22" w:history="1">
        <w:r w:rsidRPr="00A44CEF">
          <w:rPr>
            <w:rStyle w:val="Hyperlink"/>
            <w:rFonts w:ascii="Microsoft Sans Serif" w:eastAsia="Microsoft Sans Serif" w:hAnsi="Microsoft Sans Serif" w:cs="Microsoft Sans Serif"/>
            <w:sz w:val="24"/>
          </w:rPr>
          <w:t>Sydney.Melillo@obermayer.com</w:t>
        </w:r>
      </w:hyperlink>
      <w:r>
        <w:rPr>
          <w:rStyle w:val="Hyperlink"/>
          <w:rFonts w:ascii="Microsoft Sans Serif" w:eastAsia="Microsoft Sans Serif" w:hAnsi="Microsoft Sans Serif" w:cs="Microsoft Sans Serif"/>
          <w:sz w:val="24"/>
        </w:rPr>
        <w:br/>
      </w:r>
      <w:r w:rsidRPr="00102C06">
        <w:rPr>
          <w:rStyle w:val="Hyperlink"/>
          <w:rFonts w:ascii="Microsoft Sans Serif" w:eastAsia="Microsoft Sans Serif" w:hAnsi="Microsoft Sans Serif" w:cs="Microsoft Sans Serif"/>
          <w:color w:val="000000" w:themeColor="text1"/>
          <w:sz w:val="24"/>
        </w:rPr>
        <w:t xml:space="preserve">Accepts </w:t>
      </w:r>
      <w:proofErr w:type="gramStart"/>
      <w:r w:rsidRPr="00102C06">
        <w:rPr>
          <w:rStyle w:val="Hyperlink"/>
          <w:rFonts w:ascii="Microsoft Sans Serif" w:eastAsia="Microsoft Sans Serif" w:hAnsi="Microsoft Sans Serif" w:cs="Microsoft Sans Serif"/>
          <w:color w:val="000000" w:themeColor="text1"/>
          <w:sz w:val="24"/>
        </w:rPr>
        <w:t>eService</w:t>
      </w:r>
      <w:proofErr w:type="gramEnd"/>
    </w:p>
    <w:p w14:paraId="2D34E28F" w14:textId="77777777" w:rsidR="00126504" w:rsidRPr="00A93AEA" w:rsidRDefault="00126504" w:rsidP="00126504">
      <w:pPr>
        <w:tabs>
          <w:tab w:val="left" w:pos="-720"/>
        </w:tabs>
        <w:suppressAutoHyphens/>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w:t>
      </w:r>
      <w:r w:rsidRPr="00A93AEA">
        <w:rPr>
          <w:rFonts w:ascii="Microsoft Sans Serif" w:eastAsia="Microsoft Sans Serif" w:hAnsi="Microsoft Sans Serif" w:cs="Microsoft Sans Serif"/>
          <w:i/>
          <w:iCs/>
          <w:sz w:val="24"/>
        </w:rPr>
        <w:t>Counsel for the Borough of Brentwood</w:t>
      </w:r>
      <w:r>
        <w:rPr>
          <w:rFonts w:ascii="Microsoft Sans Serif" w:eastAsia="Microsoft Sans Serif" w:hAnsi="Microsoft Sans Serif" w:cs="Microsoft Sans Serif"/>
          <w:i/>
          <w:iCs/>
          <w:sz w:val="24"/>
        </w:rPr>
        <w:t>)</w:t>
      </w:r>
      <w:r w:rsidRPr="00A93AEA">
        <w:rPr>
          <w:rFonts w:ascii="Microsoft Sans Serif" w:eastAsia="Microsoft Sans Serif" w:hAnsi="Microsoft Sans Serif" w:cs="Microsoft Sans Serif"/>
          <w:i/>
          <w:iCs/>
          <w:sz w:val="24"/>
        </w:rPr>
        <w:br/>
      </w:r>
    </w:p>
    <w:p w14:paraId="60E459D8" w14:textId="77777777" w:rsidR="00126504" w:rsidRDefault="00126504" w:rsidP="00126504"/>
    <w:p w14:paraId="3357A1C4" w14:textId="77777777" w:rsidR="00126504" w:rsidRPr="005B353F" w:rsidRDefault="00126504" w:rsidP="00126504">
      <w:pPr>
        <w:rPr>
          <w:rFonts w:ascii="Microsoft Sans Serif" w:hAnsi="Microsoft Sans Serif" w:cs="Microsoft Sans Serif"/>
          <w:sz w:val="24"/>
          <w:szCs w:val="24"/>
        </w:rPr>
      </w:pPr>
      <w:r w:rsidRPr="005B353F">
        <w:rPr>
          <w:rFonts w:ascii="Microsoft Sans Serif" w:hAnsi="Microsoft Sans Serif" w:cs="Microsoft Sans Serif"/>
          <w:sz w:val="24"/>
          <w:szCs w:val="24"/>
        </w:rPr>
        <w:t>SCOTT T. WYLAND</w:t>
      </w:r>
      <w:r>
        <w:rPr>
          <w:rFonts w:ascii="Microsoft Sans Serif" w:hAnsi="Microsoft Sans Serif" w:cs="Microsoft Sans Serif"/>
          <w:sz w:val="24"/>
          <w:szCs w:val="24"/>
        </w:rPr>
        <w:t xml:space="preserve"> ESQUIRE</w:t>
      </w:r>
    </w:p>
    <w:p w14:paraId="43E59E11" w14:textId="77777777" w:rsidR="00126504" w:rsidRPr="005B353F" w:rsidRDefault="00126504" w:rsidP="00126504">
      <w:pPr>
        <w:rPr>
          <w:rFonts w:ascii="Microsoft Sans Serif" w:hAnsi="Microsoft Sans Serif" w:cs="Microsoft Sans Serif"/>
          <w:sz w:val="24"/>
          <w:szCs w:val="24"/>
        </w:rPr>
      </w:pPr>
      <w:r w:rsidRPr="005B353F">
        <w:rPr>
          <w:rFonts w:ascii="Microsoft Sans Serif" w:hAnsi="Microsoft Sans Serif" w:cs="Microsoft Sans Serif"/>
          <w:sz w:val="24"/>
          <w:szCs w:val="24"/>
        </w:rPr>
        <w:t xml:space="preserve">ELANA D. SCHNALL </w:t>
      </w:r>
      <w:r>
        <w:rPr>
          <w:rFonts w:ascii="Microsoft Sans Serif" w:hAnsi="Microsoft Sans Serif" w:cs="Microsoft Sans Serif"/>
          <w:sz w:val="24"/>
          <w:szCs w:val="24"/>
        </w:rPr>
        <w:t>ESQUIRE</w:t>
      </w:r>
      <w:r w:rsidRPr="005B353F">
        <w:rPr>
          <w:rFonts w:ascii="Microsoft Sans Serif" w:hAnsi="Microsoft Sans Serif" w:cs="Microsoft Sans Serif"/>
          <w:sz w:val="24"/>
          <w:szCs w:val="24"/>
        </w:rPr>
        <w:br/>
        <w:t>SALZMANN HUGHES, P.C.</w:t>
      </w:r>
    </w:p>
    <w:p w14:paraId="5AEDBF0D" w14:textId="77777777" w:rsidR="00126504" w:rsidRPr="005B353F" w:rsidRDefault="00126504" w:rsidP="00126504">
      <w:pPr>
        <w:rPr>
          <w:rFonts w:ascii="Microsoft Sans Serif" w:hAnsi="Microsoft Sans Serif" w:cs="Microsoft Sans Serif"/>
          <w:sz w:val="24"/>
          <w:szCs w:val="24"/>
        </w:rPr>
      </w:pPr>
      <w:r w:rsidRPr="005B353F">
        <w:rPr>
          <w:rFonts w:ascii="Microsoft Sans Serif" w:hAnsi="Microsoft Sans Serif" w:cs="Microsoft Sans Serif"/>
          <w:sz w:val="24"/>
          <w:szCs w:val="24"/>
        </w:rPr>
        <w:t>1801 MARKET STREET, SUITE 3</w:t>
      </w:r>
      <w:r>
        <w:rPr>
          <w:rFonts w:ascii="Microsoft Sans Serif" w:hAnsi="Microsoft Sans Serif" w:cs="Microsoft Sans Serif"/>
          <w:sz w:val="24"/>
          <w:szCs w:val="24"/>
        </w:rPr>
        <w:t>00</w:t>
      </w:r>
      <w:r w:rsidRPr="005B353F">
        <w:rPr>
          <w:rFonts w:ascii="Microsoft Sans Serif" w:hAnsi="Microsoft Sans Serif" w:cs="Microsoft Sans Serif"/>
          <w:sz w:val="24"/>
          <w:szCs w:val="24"/>
        </w:rPr>
        <w:t xml:space="preserve"> </w:t>
      </w:r>
      <w:r w:rsidRPr="005B353F">
        <w:rPr>
          <w:rFonts w:ascii="Microsoft Sans Serif" w:hAnsi="Microsoft Sans Serif" w:cs="Microsoft Sans Serif"/>
          <w:sz w:val="24"/>
          <w:szCs w:val="24"/>
        </w:rPr>
        <w:br/>
        <w:t xml:space="preserve">CAMP HILL PA 17011 </w:t>
      </w:r>
      <w:r w:rsidRPr="005B353F">
        <w:rPr>
          <w:rFonts w:ascii="Microsoft Sans Serif" w:hAnsi="Microsoft Sans Serif" w:cs="Microsoft Sans Serif"/>
          <w:sz w:val="24"/>
          <w:szCs w:val="24"/>
        </w:rPr>
        <w:br/>
      </w:r>
      <w:r w:rsidRPr="005B353F">
        <w:rPr>
          <w:rFonts w:ascii="Microsoft Sans Serif" w:hAnsi="Microsoft Sans Serif" w:cs="Microsoft Sans Serif"/>
          <w:b/>
          <w:bCs/>
          <w:sz w:val="24"/>
          <w:szCs w:val="24"/>
        </w:rPr>
        <w:t>717.234.6700</w:t>
      </w:r>
      <w:r>
        <w:rPr>
          <w:rFonts w:ascii="Microsoft Sans Serif" w:hAnsi="Microsoft Sans Serif" w:cs="Microsoft Sans Serif"/>
          <w:b/>
          <w:bCs/>
          <w:sz w:val="24"/>
          <w:szCs w:val="24"/>
        </w:rPr>
        <w:br/>
      </w:r>
      <w:hyperlink r:id="rId23" w:history="1">
        <w:r w:rsidRPr="005B353F">
          <w:rPr>
            <w:rStyle w:val="Hyperlink"/>
            <w:rFonts w:ascii="Microsoft Sans Serif" w:hAnsi="Microsoft Sans Serif" w:cs="Microsoft Sans Serif"/>
            <w:sz w:val="24"/>
            <w:szCs w:val="24"/>
          </w:rPr>
          <w:t>swyland@salzmannhughes.com</w:t>
        </w:r>
      </w:hyperlink>
      <w:r w:rsidRPr="005B353F">
        <w:rPr>
          <w:rFonts w:ascii="Microsoft Sans Serif" w:hAnsi="Microsoft Sans Serif" w:cs="Microsoft Sans Serif"/>
          <w:sz w:val="24"/>
          <w:szCs w:val="24"/>
        </w:rPr>
        <w:br/>
      </w:r>
      <w:hyperlink r:id="rId24" w:history="1">
        <w:r w:rsidRPr="005B353F">
          <w:rPr>
            <w:rStyle w:val="Hyperlink"/>
            <w:rFonts w:ascii="Microsoft Sans Serif" w:hAnsi="Microsoft Sans Serif" w:cs="Microsoft Sans Serif"/>
            <w:sz w:val="24"/>
            <w:szCs w:val="24"/>
          </w:rPr>
          <w:t>eschnall@salzmannhughes.com</w:t>
        </w:r>
      </w:hyperlink>
      <w:r>
        <w:rPr>
          <w:rStyle w:val="Hyperlink"/>
          <w:rFonts w:ascii="Microsoft Sans Serif" w:hAnsi="Microsoft Sans Serif" w:cs="Microsoft Sans Serif"/>
          <w:sz w:val="24"/>
          <w:szCs w:val="24"/>
        </w:rPr>
        <w:br/>
      </w:r>
      <w:r w:rsidRPr="00334C85">
        <w:rPr>
          <w:rFonts w:ascii="Microsoft Sans Serif" w:hAnsi="Microsoft Sans Serif" w:cs="Microsoft Sans Serif"/>
          <w:sz w:val="24"/>
          <w:szCs w:val="24"/>
        </w:rPr>
        <w:t>Accepts eService</w:t>
      </w:r>
      <w:r>
        <w:rPr>
          <w:rFonts w:ascii="Microsoft Sans Serif" w:hAnsi="Microsoft Sans Serif" w:cs="Microsoft Sans Serif"/>
          <w:sz w:val="24"/>
          <w:szCs w:val="24"/>
        </w:rPr>
        <w:br/>
      </w:r>
      <w:r>
        <w:rPr>
          <w:rFonts w:ascii="Microsoft Sans Serif" w:hAnsi="Microsoft Sans Serif" w:cs="Microsoft Sans Serif"/>
          <w:i/>
          <w:iCs/>
          <w:sz w:val="24"/>
          <w:szCs w:val="24"/>
        </w:rPr>
        <w:t>(</w:t>
      </w:r>
      <w:r w:rsidRPr="005B353F">
        <w:rPr>
          <w:rFonts w:ascii="Microsoft Sans Serif" w:hAnsi="Microsoft Sans Serif" w:cs="Microsoft Sans Serif"/>
          <w:i/>
          <w:iCs/>
          <w:sz w:val="24"/>
          <w:szCs w:val="24"/>
        </w:rPr>
        <w:t>Representing ALCOSAN</w:t>
      </w:r>
      <w:r>
        <w:rPr>
          <w:rFonts w:ascii="Microsoft Sans Serif" w:hAnsi="Microsoft Sans Serif" w:cs="Microsoft Sans Serif"/>
          <w:i/>
          <w:iCs/>
          <w:sz w:val="24"/>
          <w:szCs w:val="24"/>
        </w:rPr>
        <w:t>)</w:t>
      </w:r>
      <w:r w:rsidRPr="005B353F">
        <w:rPr>
          <w:rFonts w:ascii="Microsoft Sans Serif" w:hAnsi="Microsoft Sans Serif" w:cs="Microsoft Sans Serif"/>
          <w:sz w:val="24"/>
          <w:szCs w:val="24"/>
        </w:rPr>
        <w:br/>
      </w:r>
    </w:p>
    <w:p w14:paraId="6DC73D7F" w14:textId="77777777" w:rsidR="00126504" w:rsidRPr="005B353F" w:rsidRDefault="00126504" w:rsidP="00126504">
      <w:pPr>
        <w:rPr>
          <w:rFonts w:ascii="Microsoft Sans Serif" w:hAnsi="Microsoft Sans Serif" w:cs="Microsoft Sans Serif"/>
          <w:sz w:val="24"/>
          <w:szCs w:val="24"/>
        </w:rPr>
      </w:pPr>
      <w:r>
        <w:rPr>
          <w:rFonts w:ascii="Microsoft Sans Serif" w:hAnsi="Microsoft Sans Serif" w:cs="Microsoft Sans Serif"/>
          <w:sz w:val="24"/>
          <w:szCs w:val="24"/>
        </w:rPr>
        <w:br/>
      </w:r>
      <w:r w:rsidRPr="005B353F">
        <w:rPr>
          <w:rFonts w:ascii="Microsoft Sans Serif" w:hAnsi="Microsoft Sans Serif" w:cs="Microsoft Sans Serif"/>
          <w:sz w:val="24"/>
          <w:szCs w:val="24"/>
        </w:rPr>
        <w:t xml:space="preserve">CHESTER R. BABST, III, ESQUIRE </w:t>
      </w:r>
      <w:r w:rsidRPr="005B353F">
        <w:rPr>
          <w:rFonts w:ascii="Microsoft Sans Serif" w:hAnsi="Microsoft Sans Serif" w:cs="Microsoft Sans Serif"/>
          <w:sz w:val="24"/>
          <w:szCs w:val="24"/>
        </w:rPr>
        <w:br/>
        <w:t>ROBERT MAX JUNKER, ESQUIRE</w:t>
      </w:r>
      <w:r w:rsidRPr="005B353F">
        <w:rPr>
          <w:rFonts w:ascii="Microsoft Sans Serif" w:hAnsi="Microsoft Sans Serif" w:cs="Microsoft Sans Serif"/>
          <w:sz w:val="24"/>
          <w:szCs w:val="24"/>
        </w:rPr>
        <w:br/>
        <w:t>LAURA STONE, ESQUIRE</w:t>
      </w:r>
    </w:p>
    <w:p w14:paraId="0F8F20EF" w14:textId="77777777" w:rsidR="00126504" w:rsidRPr="005B353F" w:rsidRDefault="00126504" w:rsidP="00126504">
      <w:pPr>
        <w:rPr>
          <w:rFonts w:ascii="Microsoft Sans Serif" w:hAnsi="Microsoft Sans Serif" w:cs="Microsoft Sans Serif"/>
          <w:sz w:val="24"/>
          <w:szCs w:val="24"/>
        </w:rPr>
      </w:pPr>
      <w:r w:rsidRPr="005B353F">
        <w:rPr>
          <w:rFonts w:ascii="Microsoft Sans Serif" w:hAnsi="Microsoft Sans Serif" w:cs="Microsoft Sans Serif"/>
          <w:sz w:val="24"/>
          <w:szCs w:val="24"/>
        </w:rPr>
        <w:t>BABST CALLAND CLEMENTS &amp; ZOMNIR, P.C.</w:t>
      </w:r>
      <w:r w:rsidRPr="005B353F">
        <w:rPr>
          <w:rFonts w:ascii="Microsoft Sans Serif" w:hAnsi="Microsoft Sans Serif" w:cs="Microsoft Sans Serif"/>
          <w:sz w:val="24"/>
          <w:szCs w:val="24"/>
        </w:rPr>
        <w:br/>
        <w:t>603 STANWIX STREET</w:t>
      </w:r>
    </w:p>
    <w:p w14:paraId="00EF249B" w14:textId="77777777" w:rsidR="00126504" w:rsidRPr="005B353F" w:rsidRDefault="00126504" w:rsidP="00126504">
      <w:pPr>
        <w:rPr>
          <w:rFonts w:ascii="Microsoft Sans Serif" w:hAnsi="Microsoft Sans Serif" w:cs="Microsoft Sans Serif"/>
          <w:sz w:val="24"/>
          <w:szCs w:val="24"/>
        </w:rPr>
      </w:pPr>
      <w:r w:rsidRPr="005B353F">
        <w:rPr>
          <w:rFonts w:ascii="Microsoft Sans Serif" w:hAnsi="Microsoft Sans Serif" w:cs="Microsoft Sans Serif"/>
          <w:sz w:val="24"/>
          <w:szCs w:val="24"/>
        </w:rPr>
        <w:t xml:space="preserve">TWO GATEWAY CENTER, 6ᵗʰ FL </w:t>
      </w:r>
      <w:r w:rsidRPr="005B353F">
        <w:rPr>
          <w:rFonts w:ascii="Microsoft Sans Serif" w:hAnsi="Microsoft Sans Serif" w:cs="Microsoft Sans Serif"/>
          <w:sz w:val="24"/>
          <w:szCs w:val="24"/>
        </w:rPr>
        <w:br/>
        <w:t>PITTSBURGH, PA 15222</w:t>
      </w:r>
    </w:p>
    <w:p w14:paraId="715BEF20" w14:textId="77777777" w:rsidR="00126504" w:rsidRPr="005B353F" w:rsidRDefault="00126504" w:rsidP="00126504">
      <w:pPr>
        <w:rPr>
          <w:rFonts w:ascii="Microsoft Sans Serif" w:hAnsi="Microsoft Sans Serif" w:cs="Microsoft Sans Serif"/>
          <w:b/>
          <w:bCs/>
          <w:sz w:val="24"/>
          <w:szCs w:val="24"/>
        </w:rPr>
      </w:pPr>
      <w:r w:rsidRPr="005B353F">
        <w:rPr>
          <w:rFonts w:ascii="Microsoft Sans Serif" w:hAnsi="Microsoft Sans Serif" w:cs="Microsoft Sans Serif"/>
          <w:b/>
          <w:bCs/>
          <w:sz w:val="24"/>
          <w:szCs w:val="24"/>
        </w:rPr>
        <w:t>412.394.5400</w:t>
      </w:r>
    </w:p>
    <w:p w14:paraId="6EF18DE4" w14:textId="77777777" w:rsidR="00126504" w:rsidRPr="005B353F" w:rsidRDefault="00126504" w:rsidP="00126504">
      <w:pPr>
        <w:rPr>
          <w:rFonts w:ascii="Microsoft Sans Serif" w:hAnsi="Microsoft Sans Serif" w:cs="Microsoft Sans Serif"/>
          <w:sz w:val="24"/>
          <w:szCs w:val="24"/>
        </w:rPr>
      </w:pPr>
      <w:hyperlink r:id="rId25" w:history="1">
        <w:r w:rsidRPr="005B353F">
          <w:rPr>
            <w:rStyle w:val="Hyperlink"/>
            <w:rFonts w:ascii="Microsoft Sans Serif" w:hAnsi="Microsoft Sans Serif" w:cs="Microsoft Sans Serif"/>
            <w:sz w:val="24"/>
            <w:szCs w:val="24"/>
          </w:rPr>
          <w:t>cbabst@babstcalland.com</w:t>
        </w:r>
      </w:hyperlink>
      <w:r w:rsidRPr="005B353F">
        <w:rPr>
          <w:rFonts w:ascii="Microsoft Sans Serif" w:hAnsi="Microsoft Sans Serif" w:cs="Microsoft Sans Serif"/>
          <w:sz w:val="24"/>
          <w:szCs w:val="24"/>
        </w:rPr>
        <w:br/>
      </w:r>
      <w:hyperlink r:id="rId26" w:history="1">
        <w:r w:rsidRPr="005B353F">
          <w:rPr>
            <w:rStyle w:val="Hyperlink"/>
            <w:rFonts w:ascii="Microsoft Sans Serif" w:hAnsi="Microsoft Sans Serif" w:cs="Microsoft Sans Serif"/>
            <w:sz w:val="24"/>
            <w:szCs w:val="24"/>
          </w:rPr>
          <w:t>rjunker@babstcalland.com</w:t>
        </w:r>
      </w:hyperlink>
      <w:r w:rsidRPr="005B353F">
        <w:rPr>
          <w:rFonts w:ascii="Microsoft Sans Serif" w:hAnsi="Microsoft Sans Serif" w:cs="Microsoft Sans Serif"/>
          <w:sz w:val="24"/>
          <w:szCs w:val="24"/>
        </w:rPr>
        <w:br/>
      </w:r>
      <w:hyperlink r:id="rId27" w:history="1">
        <w:r w:rsidRPr="005B353F">
          <w:rPr>
            <w:rStyle w:val="Hyperlink"/>
            <w:rFonts w:ascii="Microsoft Sans Serif" w:hAnsi="Microsoft Sans Serif" w:cs="Microsoft Sans Serif"/>
            <w:sz w:val="24"/>
            <w:szCs w:val="24"/>
          </w:rPr>
          <w:t>lstone@babstcalland.com</w:t>
        </w:r>
      </w:hyperlink>
      <w:r w:rsidRPr="005B353F">
        <w:rPr>
          <w:rFonts w:ascii="Microsoft Sans Serif" w:hAnsi="Microsoft Sans Serif" w:cs="Microsoft Sans Serif"/>
          <w:sz w:val="24"/>
          <w:szCs w:val="24"/>
        </w:rPr>
        <w:br/>
      </w:r>
      <w:r>
        <w:rPr>
          <w:rFonts w:ascii="Microsoft Sans Serif" w:hAnsi="Microsoft Sans Serif" w:cs="Microsoft Sans Serif"/>
          <w:i/>
          <w:iCs/>
          <w:sz w:val="24"/>
          <w:szCs w:val="24"/>
        </w:rPr>
        <w:t>(</w:t>
      </w:r>
      <w:r w:rsidRPr="005B353F">
        <w:rPr>
          <w:rFonts w:ascii="Microsoft Sans Serif" w:hAnsi="Microsoft Sans Serif" w:cs="Microsoft Sans Serif"/>
          <w:i/>
          <w:iCs/>
          <w:sz w:val="24"/>
          <w:szCs w:val="24"/>
        </w:rPr>
        <w:t>Representing ALCOSAN</w:t>
      </w:r>
      <w:r>
        <w:rPr>
          <w:rFonts w:ascii="Microsoft Sans Serif" w:hAnsi="Microsoft Sans Serif" w:cs="Microsoft Sans Serif"/>
          <w:i/>
          <w:iCs/>
          <w:sz w:val="24"/>
          <w:szCs w:val="24"/>
        </w:rPr>
        <w:t>)</w:t>
      </w:r>
    </w:p>
    <w:p w14:paraId="207C86C6" w14:textId="77777777" w:rsidR="00D450AD" w:rsidRPr="0077392E" w:rsidRDefault="00D450AD" w:rsidP="00F626CA">
      <w:pPr>
        <w:rPr>
          <w:sz w:val="24"/>
          <w:szCs w:val="24"/>
        </w:rPr>
      </w:pPr>
    </w:p>
    <w:sectPr w:rsidR="00D450AD" w:rsidRPr="0077392E" w:rsidSect="0013022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86C9" w14:textId="77777777" w:rsidR="00946C3D" w:rsidRDefault="00946C3D">
      <w:r>
        <w:separator/>
      </w:r>
    </w:p>
  </w:endnote>
  <w:endnote w:type="continuationSeparator" w:id="0">
    <w:p w14:paraId="207C86CA" w14:textId="77777777" w:rsidR="00946C3D" w:rsidRDefault="0094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6CB" w14:textId="77777777" w:rsidR="00B35770" w:rsidRDefault="00B35770"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C86CC" w14:textId="77777777" w:rsidR="00B35770" w:rsidRDefault="00B35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6CD" w14:textId="77777777" w:rsidR="00B35770" w:rsidRDefault="00B35770"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07C86CE" w14:textId="77777777" w:rsidR="00B35770" w:rsidRDefault="00B3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86C7" w14:textId="77777777" w:rsidR="00946C3D" w:rsidRDefault="00946C3D">
      <w:r>
        <w:separator/>
      </w:r>
    </w:p>
  </w:footnote>
  <w:footnote w:type="continuationSeparator" w:id="0">
    <w:p w14:paraId="207C86C8" w14:textId="77777777" w:rsidR="00946C3D" w:rsidRDefault="00946C3D">
      <w:r>
        <w:continuationSeparator/>
      </w:r>
    </w:p>
  </w:footnote>
  <w:footnote w:id="1">
    <w:p w14:paraId="553E4097" w14:textId="722DBE28" w:rsidR="009D790B" w:rsidRDefault="009D790B" w:rsidP="009D790B">
      <w:pPr>
        <w:pStyle w:val="FootnoteText"/>
        <w:ind w:firstLine="720"/>
      </w:pPr>
      <w:r>
        <w:rPr>
          <w:rStyle w:val="FootnoteReference"/>
        </w:rPr>
        <w:footnoteRef/>
      </w:r>
      <w:r>
        <w:t xml:space="preserve"> </w:t>
      </w:r>
      <w:r>
        <w:tab/>
        <w:t xml:space="preserve">Friday, November 10, </w:t>
      </w:r>
      <w:r w:rsidR="00126504">
        <w:t>2023,</w:t>
      </w:r>
      <w:r>
        <w:t xml:space="preserve"> was the observed date for Veteran’s Day.</w:t>
      </w:r>
    </w:p>
    <w:p w14:paraId="3120542A" w14:textId="6558B4BC" w:rsidR="009D790B" w:rsidRDefault="009D790B">
      <w:pPr>
        <w:pStyle w:val="FootnoteText"/>
      </w:pPr>
    </w:p>
  </w:footnote>
  <w:footnote w:id="2">
    <w:p w14:paraId="3752080A" w14:textId="3EA0116F" w:rsidR="003D6E2D" w:rsidRDefault="003D6E2D" w:rsidP="009D790B">
      <w:pPr>
        <w:pStyle w:val="FootnoteText"/>
        <w:ind w:firstLine="720"/>
      </w:pPr>
      <w:r>
        <w:rPr>
          <w:rStyle w:val="FootnoteReference"/>
        </w:rPr>
        <w:footnoteRef/>
      </w:r>
      <w:r>
        <w:t xml:space="preserve"> </w:t>
      </w:r>
      <w:r>
        <w:tab/>
        <w:t xml:space="preserve">The Commission’s time stamp indicated the Amended Stipulation was filed at </w:t>
      </w:r>
      <w:r w:rsidR="009D790B">
        <w:t>9:05 a.m. on November 14,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235A773E"/>
    <w:multiLevelType w:val="hybridMultilevel"/>
    <w:tmpl w:val="9BE8AD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F561772"/>
    <w:multiLevelType w:val="singleLevel"/>
    <w:tmpl w:val="B546B2C2"/>
    <w:lvl w:ilvl="0">
      <w:start w:val="1"/>
      <w:numFmt w:val="decimal"/>
      <w:pStyle w:val="NumberList2"/>
      <w:lvlText w:val="%1."/>
      <w:lvlJc w:val="left"/>
      <w:pPr>
        <w:ind w:left="360" w:hanging="360"/>
      </w:pPr>
    </w:lvl>
  </w:abstractNum>
  <w:abstractNum w:abstractNumId="8" w15:restartNumberingAfterBreak="0">
    <w:nsid w:val="43420E99"/>
    <w:multiLevelType w:val="hybridMultilevel"/>
    <w:tmpl w:val="4D7CF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0"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11"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F9F052F"/>
    <w:multiLevelType w:val="singleLevel"/>
    <w:tmpl w:val="18247DE6"/>
    <w:lvl w:ilvl="0">
      <w:start w:val="1"/>
      <w:numFmt w:val="lowerLetter"/>
      <w:pStyle w:val="Lettera"/>
      <w:lvlText w:val="%1)"/>
      <w:lvlJc w:val="left"/>
      <w:pPr>
        <w:ind w:left="360" w:hanging="360"/>
      </w:pPr>
    </w:lvl>
  </w:abstractNum>
  <w:abstractNum w:abstractNumId="16" w15:restartNumberingAfterBreak="0">
    <w:nsid w:val="7AC52F66"/>
    <w:multiLevelType w:val="hybridMultilevel"/>
    <w:tmpl w:val="20CE00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157F5B"/>
    <w:multiLevelType w:val="multilevel"/>
    <w:tmpl w:val="6B4E0ED2"/>
    <w:name w:val=" Firm Standard-Scheme 1"/>
    <w:lvl w:ilvl="0">
      <w:start w:val="1"/>
      <w:numFmt w:val="decimal"/>
      <w:pStyle w:val="Heading1"/>
      <w:lvlText w:val="%1."/>
      <w:lvlJc w:val="left"/>
      <w:pPr>
        <w:ind w:left="720" w:hanging="720"/>
      </w:pPr>
      <w:rPr>
        <w:rFonts w:hint="default"/>
        <w:caps w:val="0"/>
        <w:color w:val="010000"/>
        <w:u w:val="none"/>
      </w:rPr>
    </w:lvl>
    <w:lvl w:ilvl="1">
      <w:start w:val="1"/>
      <w:numFmt w:val="upperLetter"/>
      <w:pStyle w:val="Heading2"/>
      <w:lvlText w:val="%2."/>
      <w:lvlJc w:val="left"/>
      <w:pPr>
        <w:ind w:left="1440" w:hanging="720"/>
      </w:pPr>
      <w:rPr>
        <w:rFonts w:hint="default"/>
        <w:caps w:val="0"/>
        <w:color w:val="010000"/>
        <w:u w:val="none"/>
      </w:rPr>
    </w:lvl>
    <w:lvl w:ilvl="2">
      <w:start w:val="1"/>
      <w:numFmt w:val="decimal"/>
      <w:pStyle w:val="Heading3"/>
      <w:lvlText w:val="%3."/>
      <w:lvlJc w:val="left"/>
      <w:pPr>
        <w:ind w:left="2160" w:hanging="720"/>
      </w:pPr>
      <w:rPr>
        <w:rFonts w:hint="default"/>
        <w:caps w:val="0"/>
        <w:color w:val="010000"/>
        <w:u w:val="none"/>
      </w:rPr>
    </w:lvl>
    <w:lvl w:ilvl="3">
      <w:start w:val="1"/>
      <w:numFmt w:val="lowerLetter"/>
      <w:pStyle w:val="Heading4"/>
      <w:lvlText w:val="%4)"/>
      <w:lvlJc w:val="left"/>
      <w:pPr>
        <w:ind w:left="2880" w:hanging="720"/>
      </w:pPr>
      <w:rPr>
        <w:rFonts w:hint="default"/>
        <w:caps w:val="0"/>
        <w:color w:val="010000"/>
        <w:u w:val="none"/>
      </w:rPr>
    </w:lvl>
    <w:lvl w:ilvl="4">
      <w:start w:val="1"/>
      <w:numFmt w:val="decimal"/>
      <w:pStyle w:val="Heading5"/>
      <w:lvlText w:val="(%5)"/>
      <w:lvlJc w:val="left"/>
      <w:pPr>
        <w:ind w:left="3600" w:hanging="720"/>
      </w:pPr>
      <w:rPr>
        <w:rFonts w:hint="default"/>
        <w:caps w:val="0"/>
        <w:color w:val="010000"/>
        <w:u w:val="none"/>
      </w:rPr>
    </w:lvl>
    <w:lvl w:ilvl="5">
      <w:start w:val="1"/>
      <w:numFmt w:val="lowerLetter"/>
      <w:pStyle w:val="Heading6"/>
      <w:lvlText w:val="(%6)"/>
      <w:lvlJc w:val="left"/>
      <w:pPr>
        <w:ind w:left="4320" w:hanging="720"/>
      </w:pPr>
      <w:rPr>
        <w:rFonts w:hint="default"/>
        <w:caps w:val="0"/>
        <w:color w:val="010000"/>
        <w:u w:val="none"/>
      </w:rPr>
    </w:lvl>
    <w:lvl w:ilvl="6">
      <w:start w:val="1"/>
      <w:numFmt w:val="lowerRoman"/>
      <w:pStyle w:val="Heading7"/>
      <w:lvlText w:val="(%7)"/>
      <w:lvlJc w:val="left"/>
      <w:pPr>
        <w:ind w:left="5040" w:hanging="720"/>
      </w:pPr>
      <w:rPr>
        <w:rFonts w:hint="default"/>
        <w:caps w:val="0"/>
        <w:color w:val="010000"/>
        <w:u w:val="none"/>
      </w:rPr>
    </w:lvl>
    <w:lvl w:ilvl="7">
      <w:start w:val="1"/>
      <w:numFmt w:val="lowerLetter"/>
      <w:pStyle w:val="Heading8"/>
      <w:lvlText w:val="(%8)"/>
      <w:lvlJc w:val="left"/>
      <w:pPr>
        <w:ind w:left="5760" w:hanging="720"/>
      </w:pPr>
      <w:rPr>
        <w:rFonts w:hint="default"/>
        <w:caps w:val="0"/>
        <w:color w:val="010000"/>
        <w:u w:val="none"/>
      </w:rPr>
    </w:lvl>
    <w:lvl w:ilvl="8">
      <w:start w:val="1"/>
      <w:numFmt w:val="lowerRoman"/>
      <w:pStyle w:val="Heading9"/>
      <w:lvlText w:val="%9)"/>
      <w:lvlJc w:val="left"/>
      <w:pPr>
        <w:ind w:left="6480" w:hanging="720"/>
      </w:pPr>
      <w:rPr>
        <w:rFonts w:hint="default"/>
        <w:caps w:val="0"/>
        <w:color w:val="010000"/>
        <w:u w:val="none"/>
      </w:rPr>
    </w:lvl>
  </w:abstractNum>
  <w:abstractNum w:abstractNumId="18" w15:restartNumberingAfterBreak="0">
    <w:nsid w:val="7DEA4656"/>
    <w:multiLevelType w:val="hybridMultilevel"/>
    <w:tmpl w:val="2FFC2FC4"/>
    <w:lvl w:ilvl="0" w:tplc="4120B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8064445">
    <w:abstractNumId w:val="1"/>
  </w:num>
  <w:num w:numId="2" w16cid:durableId="1042899159">
    <w:abstractNumId w:val="12"/>
  </w:num>
  <w:num w:numId="3" w16cid:durableId="1448543687">
    <w:abstractNumId w:val="10"/>
  </w:num>
  <w:num w:numId="4" w16cid:durableId="1102920673">
    <w:abstractNumId w:val="9"/>
  </w:num>
  <w:num w:numId="5" w16cid:durableId="1462726583">
    <w:abstractNumId w:val="3"/>
  </w:num>
  <w:num w:numId="6" w16cid:durableId="1013141591">
    <w:abstractNumId w:val="13"/>
  </w:num>
  <w:num w:numId="7" w16cid:durableId="716205592">
    <w:abstractNumId w:val="14"/>
  </w:num>
  <w:num w:numId="8" w16cid:durableId="1195802230">
    <w:abstractNumId w:val="6"/>
  </w:num>
  <w:num w:numId="9" w16cid:durableId="1497375978">
    <w:abstractNumId w:val="11"/>
  </w:num>
  <w:num w:numId="10" w16cid:durableId="1685814904">
    <w:abstractNumId w:val="0"/>
  </w:num>
  <w:num w:numId="11" w16cid:durableId="1604023911">
    <w:abstractNumId w:val="2"/>
  </w:num>
  <w:num w:numId="12" w16cid:durableId="597372457">
    <w:abstractNumId w:val="5"/>
  </w:num>
  <w:num w:numId="13" w16cid:durableId="1043670539">
    <w:abstractNumId w:val="7"/>
  </w:num>
  <w:num w:numId="14" w16cid:durableId="906765312">
    <w:abstractNumId w:val="18"/>
  </w:num>
  <w:num w:numId="15" w16cid:durableId="1598634265">
    <w:abstractNumId w:val="15"/>
    <w:lvlOverride w:ilvl="0">
      <w:startOverride w:val="1"/>
    </w:lvlOverride>
  </w:num>
  <w:num w:numId="16" w16cid:durableId="1526870676">
    <w:abstractNumId w:val="4"/>
  </w:num>
  <w:num w:numId="17" w16cid:durableId="1961492592">
    <w:abstractNumId w:val="8"/>
  </w:num>
  <w:num w:numId="18" w16cid:durableId="996154758">
    <w:abstractNumId w:val="16"/>
  </w:num>
  <w:num w:numId="19" w16cid:durableId="483854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A5"/>
    <w:rsid w:val="00000BE5"/>
    <w:rsid w:val="000109D6"/>
    <w:rsid w:val="000118CE"/>
    <w:rsid w:val="00013F6C"/>
    <w:rsid w:val="00016860"/>
    <w:rsid w:val="00020406"/>
    <w:rsid w:val="00026D3F"/>
    <w:rsid w:val="000369E7"/>
    <w:rsid w:val="000418B4"/>
    <w:rsid w:val="00042600"/>
    <w:rsid w:val="0005163E"/>
    <w:rsid w:val="00052699"/>
    <w:rsid w:val="000567AC"/>
    <w:rsid w:val="00086435"/>
    <w:rsid w:val="0008705B"/>
    <w:rsid w:val="0009372D"/>
    <w:rsid w:val="00094EFA"/>
    <w:rsid w:val="00095381"/>
    <w:rsid w:val="00095EBA"/>
    <w:rsid w:val="000A443C"/>
    <w:rsid w:val="000A52A9"/>
    <w:rsid w:val="000B0412"/>
    <w:rsid w:val="000B276B"/>
    <w:rsid w:val="000B47DA"/>
    <w:rsid w:val="000B6967"/>
    <w:rsid w:val="000E6DA0"/>
    <w:rsid w:val="00106127"/>
    <w:rsid w:val="00106209"/>
    <w:rsid w:val="00114B66"/>
    <w:rsid w:val="0012448C"/>
    <w:rsid w:val="00126504"/>
    <w:rsid w:val="00154556"/>
    <w:rsid w:val="00162B76"/>
    <w:rsid w:val="00164AC1"/>
    <w:rsid w:val="00176B72"/>
    <w:rsid w:val="0018764C"/>
    <w:rsid w:val="001B0EDA"/>
    <w:rsid w:val="001B36FF"/>
    <w:rsid w:val="001B4837"/>
    <w:rsid w:val="001C0335"/>
    <w:rsid w:val="001C2241"/>
    <w:rsid w:val="001C23A4"/>
    <w:rsid w:val="001C4133"/>
    <w:rsid w:val="001D42AB"/>
    <w:rsid w:val="001D722F"/>
    <w:rsid w:val="001E5B82"/>
    <w:rsid w:val="00202E78"/>
    <w:rsid w:val="0022339C"/>
    <w:rsid w:val="00231190"/>
    <w:rsid w:val="00241675"/>
    <w:rsid w:val="00256FBC"/>
    <w:rsid w:val="002767D2"/>
    <w:rsid w:val="00281DD0"/>
    <w:rsid w:val="00290AB0"/>
    <w:rsid w:val="00292335"/>
    <w:rsid w:val="00295D11"/>
    <w:rsid w:val="002A5E32"/>
    <w:rsid w:val="002B24A0"/>
    <w:rsid w:val="002C6080"/>
    <w:rsid w:val="002D0901"/>
    <w:rsid w:val="002D1426"/>
    <w:rsid w:val="002E28DF"/>
    <w:rsid w:val="002E4F28"/>
    <w:rsid w:val="002E6D5A"/>
    <w:rsid w:val="002F1811"/>
    <w:rsid w:val="002F3C56"/>
    <w:rsid w:val="00300553"/>
    <w:rsid w:val="00302A4A"/>
    <w:rsid w:val="00310557"/>
    <w:rsid w:val="00312972"/>
    <w:rsid w:val="00343753"/>
    <w:rsid w:val="00351C95"/>
    <w:rsid w:val="00354C4C"/>
    <w:rsid w:val="0035578D"/>
    <w:rsid w:val="0036054F"/>
    <w:rsid w:val="00360ED2"/>
    <w:rsid w:val="00380593"/>
    <w:rsid w:val="003865B8"/>
    <w:rsid w:val="00386FBE"/>
    <w:rsid w:val="003871D0"/>
    <w:rsid w:val="00395BC4"/>
    <w:rsid w:val="003C22EE"/>
    <w:rsid w:val="003C3DC9"/>
    <w:rsid w:val="003D191D"/>
    <w:rsid w:val="003D3A94"/>
    <w:rsid w:val="003D6E2D"/>
    <w:rsid w:val="003D72B3"/>
    <w:rsid w:val="003E02C3"/>
    <w:rsid w:val="003F0129"/>
    <w:rsid w:val="003F0684"/>
    <w:rsid w:val="0041112D"/>
    <w:rsid w:val="00413FEE"/>
    <w:rsid w:val="004155EC"/>
    <w:rsid w:val="00422CB0"/>
    <w:rsid w:val="00424D69"/>
    <w:rsid w:val="004255BA"/>
    <w:rsid w:val="0042732B"/>
    <w:rsid w:val="004358F8"/>
    <w:rsid w:val="00441F5F"/>
    <w:rsid w:val="00455480"/>
    <w:rsid w:val="00461B54"/>
    <w:rsid w:val="0047285B"/>
    <w:rsid w:val="004A2DA1"/>
    <w:rsid w:val="004C410E"/>
    <w:rsid w:val="004D1547"/>
    <w:rsid w:val="004D78BB"/>
    <w:rsid w:val="004D7A5D"/>
    <w:rsid w:val="004F0C64"/>
    <w:rsid w:val="004F3169"/>
    <w:rsid w:val="00505D80"/>
    <w:rsid w:val="00510455"/>
    <w:rsid w:val="00513445"/>
    <w:rsid w:val="0051619F"/>
    <w:rsid w:val="00527A4B"/>
    <w:rsid w:val="00530B40"/>
    <w:rsid w:val="00533BA2"/>
    <w:rsid w:val="00535803"/>
    <w:rsid w:val="005403CD"/>
    <w:rsid w:val="005410FA"/>
    <w:rsid w:val="005457DC"/>
    <w:rsid w:val="00551338"/>
    <w:rsid w:val="00554D3D"/>
    <w:rsid w:val="00563EF8"/>
    <w:rsid w:val="005643AB"/>
    <w:rsid w:val="005705AB"/>
    <w:rsid w:val="00573340"/>
    <w:rsid w:val="0058151F"/>
    <w:rsid w:val="00587D3D"/>
    <w:rsid w:val="00591BE2"/>
    <w:rsid w:val="0059450D"/>
    <w:rsid w:val="00597150"/>
    <w:rsid w:val="005C521B"/>
    <w:rsid w:val="005D39AE"/>
    <w:rsid w:val="005D48D4"/>
    <w:rsid w:val="005E2FD1"/>
    <w:rsid w:val="005E35C6"/>
    <w:rsid w:val="005E3E4F"/>
    <w:rsid w:val="005E4029"/>
    <w:rsid w:val="005E736E"/>
    <w:rsid w:val="005E7C7A"/>
    <w:rsid w:val="005F02E7"/>
    <w:rsid w:val="005F151A"/>
    <w:rsid w:val="006006D8"/>
    <w:rsid w:val="006009FB"/>
    <w:rsid w:val="00616410"/>
    <w:rsid w:val="00617530"/>
    <w:rsid w:val="00622C75"/>
    <w:rsid w:val="0062476B"/>
    <w:rsid w:val="00625250"/>
    <w:rsid w:val="00626B41"/>
    <w:rsid w:val="00635EF4"/>
    <w:rsid w:val="00653538"/>
    <w:rsid w:val="00654577"/>
    <w:rsid w:val="00682DD2"/>
    <w:rsid w:val="006A55A2"/>
    <w:rsid w:val="006B04BD"/>
    <w:rsid w:val="006D25A7"/>
    <w:rsid w:val="006E5F5D"/>
    <w:rsid w:val="006F1B4C"/>
    <w:rsid w:val="00700F9F"/>
    <w:rsid w:val="00707D24"/>
    <w:rsid w:val="0071531C"/>
    <w:rsid w:val="0073760E"/>
    <w:rsid w:val="00740164"/>
    <w:rsid w:val="007441C0"/>
    <w:rsid w:val="00751E38"/>
    <w:rsid w:val="0076181B"/>
    <w:rsid w:val="0077392E"/>
    <w:rsid w:val="007812A5"/>
    <w:rsid w:val="00781641"/>
    <w:rsid w:val="00787C70"/>
    <w:rsid w:val="00790B7D"/>
    <w:rsid w:val="007955B7"/>
    <w:rsid w:val="00797B9E"/>
    <w:rsid w:val="007B0C4C"/>
    <w:rsid w:val="007B1407"/>
    <w:rsid w:val="007B678C"/>
    <w:rsid w:val="007D2642"/>
    <w:rsid w:val="007D7945"/>
    <w:rsid w:val="007E2AF3"/>
    <w:rsid w:val="007E463B"/>
    <w:rsid w:val="007E5BF1"/>
    <w:rsid w:val="007E64BD"/>
    <w:rsid w:val="00800E12"/>
    <w:rsid w:val="00805DC0"/>
    <w:rsid w:val="0080625C"/>
    <w:rsid w:val="00814152"/>
    <w:rsid w:val="00822EB9"/>
    <w:rsid w:val="00832D96"/>
    <w:rsid w:val="008433DC"/>
    <w:rsid w:val="00851985"/>
    <w:rsid w:val="00861F72"/>
    <w:rsid w:val="008644D8"/>
    <w:rsid w:val="00864835"/>
    <w:rsid w:val="00884E1F"/>
    <w:rsid w:val="0089299D"/>
    <w:rsid w:val="008B2145"/>
    <w:rsid w:val="008B6F48"/>
    <w:rsid w:val="008C12D5"/>
    <w:rsid w:val="008D4270"/>
    <w:rsid w:val="008D5BFF"/>
    <w:rsid w:val="008D5CC8"/>
    <w:rsid w:val="008D7EA0"/>
    <w:rsid w:val="00925949"/>
    <w:rsid w:val="009309DF"/>
    <w:rsid w:val="00934F78"/>
    <w:rsid w:val="00936513"/>
    <w:rsid w:val="00936703"/>
    <w:rsid w:val="00946C3D"/>
    <w:rsid w:val="00971A71"/>
    <w:rsid w:val="009861EE"/>
    <w:rsid w:val="009A0590"/>
    <w:rsid w:val="009A3B1C"/>
    <w:rsid w:val="009B6027"/>
    <w:rsid w:val="009B637B"/>
    <w:rsid w:val="009B6A3E"/>
    <w:rsid w:val="009C03E0"/>
    <w:rsid w:val="009C555B"/>
    <w:rsid w:val="009D04BD"/>
    <w:rsid w:val="009D2383"/>
    <w:rsid w:val="009D790B"/>
    <w:rsid w:val="009E1C6D"/>
    <w:rsid w:val="009F26CB"/>
    <w:rsid w:val="00A01076"/>
    <w:rsid w:val="00A075B9"/>
    <w:rsid w:val="00A10AD3"/>
    <w:rsid w:val="00A13BDB"/>
    <w:rsid w:val="00A24827"/>
    <w:rsid w:val="00A379C4"/>
    <w:rsid w:val="00A37E58"/>
    <w:rsid w:val="00A4180A"/>
    <w:rsid w:val="00A55835"/>
    <w:rsid w:val="00A572C7"/>
    <w:rsid w:val="00A71A58"/>
    <w:rsid w:val="00A84121"/>
    <w:rsid w:val="00A95B6C"/>
    <w:rsid w:val="00AB075B"/>
    <w:rsid w:val="00AB629C"/>
    <w:rsid w:val="00AC76A7"/>
    <w:rsid w:val="00AD27CC"/>
    <w:rsid w:val="00AE0D85"/>
    <w:rsid w:val="00AF1281"/>
    <w:rsid w:val="00B04C50"/>
    <w:rsid w:val="00B134C1"/>
    <w:rsid w:val="00B179C7"/>
    <w:rsid w:val="00B25D92"/>
    <w:rsid w:val="00B35770"/>
    <w:rsid w:val="00B44961"/>
    <w:rsid w:val="00B54471"/>
    <w:rsid w:val="00B60C0D"/>
    <w:rsid w:val="00B674D1"/>
    <w:rsid w:val="00B70134"/>
    <w:rsid w:val="00B74DAB"/>
    <w:rsid w:val="00B91274"/>
    <w:rsid w:val="00BA2805"/>
    <w:rsid w:val="00BA6BA0"/>
    <w:rsid w:val="00BB029F"/>
    <w:rsid w:val="00BB5A19"/>
    <w:rsid w:val="00BB5ED7"/>
    <w:rsid w:val="00BC3075"/>
    <w:rsid w:val="00BD5440"/>
    <w:rsid w:val="00BD60DD"/>
    <w:rsid w:val="00BF2642"/>
    <w:rsid w:val="00C03C8C"/>
    <w:rsid w:val="00C0442D"/>
    <w:rsid w:val="00C06634"/>
    <w:rsid w:val="00C15461"/>
    <w:rsid w:val="00C31467"/>
    <w:rsid w:val="00C41E1D"/>
    <w:rsid w:val="00C50372"/>
    <w:rsid w:val="00C53AB9"/>
    <w:rsid w:val="00C66C6C"/>
    <w:rsid w:val="00C74444"/>
    <w:rsid w:val="00C8417D"/>
    <w:rsid w:val="00C92B1D"/>
    <w:rsid w:val="00C97353"/>
    <w:rsid w:val="00CA360C"/>
    <w:rsid w:val="00CA7DED"/>
    <w:rsid w:val="00CC12C2"/>
    <w:rsid w:val="00CC2203"/>
    <w:rsid w:val="00CC4192"/>
    <w:rsid w:val="00CD2CA0"/>
    <w:rsid w:val="00CD6B24"/>
    <w:rsid w:val="00CF475E"/>
    <w:rsid w:val="00CF6D80"/>
    <w:rsid w:val="00D03506"/>
    <w:rsid w:val="00D049F7"/>
    <w:rsid w:val="00D14483"/>
    <w:rsid w:val="00D16324"/>
    <w:rsid w:val="00D16530"/>
    <w:rsid w:val="00D16ADB"/>
    <w:rsid w:val="00D21C59"/>
    <w:rsid w:val="00D230CA"/>
    <w:rsid w:val="00D236F9"/>
    <w:rsid w:val="00D25216"/>
    <w:rsid w:val="00D34208"/>
    <w:rsid w:val="00D35F28"/>
    <w:rsid w:val="00D450AD"/>
    <w:rsid w:val="00D46893"/>
    <w:rsid w:val="00D518F2"/>
    <w:rsid w:val="00D53B14"/>
    <w:rsid w:val="00D674D1"/>
    <w:rsid w:val="00D70AC0"/>
    <w:rsid w:val="00D711DE"/>
    <w:rsid w:val="00D7795D"/>
    <w:rsid w:val="00D942E8"/>
    <w:rsid w:val="00D94351"/>
    <w:rsid w:val="00DC2E88"/>
    <w:rsid w:val="00DC4251"/>
    <w:rsid w:val="00DD1F04"/>
    <w:rsid w:val="00DD63F2"/>
    <w:rsid w:val="00DE1253"/>
    <w:rsid w:val="00DF76F2"/>
    <w:rsid w:val="00E0053F"/>
    <w:rsid w:val="00E03F81"/>
    <w:rsid w:val="00E044E8"/>
    <w:rsid w:val="00E12948"/>
    <w:rsid w:val="00E13787"/>
    <w:rsid w:val="00E14A6A"/>
    <w:rsid w:val="00E202EE"/>
    <w:rsid w:val="00E30BFA"/>
    <w:rsid w:val="00E32BBE"/>
    <w:rsid w:val="00E37C68"/>
    <w:rsid w:val="00E40B0B"/>
    <w:rsid w:val="00E40B7F"/>
    <w:rsid w:val="00E40BF6"/>
    <w:rsid w:val="00E52474"/>
    <w:rsid w:val="00E539D9"/>
    <w:rsid w:val="00E56260"/>
    <w:rsid w:val="00E72133"/>
    <w:rsid w:val="00E72F3D"/>
    <w:rsid w:val="00E84928"/>
    <w:rsid w:val="00E9646A"/>
    <w:rsid w:val="00EB7A15"/>
    <w:rsid w:val="00EC0292"/>
    <w:rsid w:val="00EC27D1"/>
    <w:rsid w:val="00ED2109"/>
    <w:rsid w:val="00EE261E"/>
    <w:rsid w:val="00EE689C"/>
    <w:rsid w:val="00EF05C1"/>
    <w:rsid w:val="00F00EDC"/>
    <w:rsid w:val="00F13E6F"/>
    <w:rsid w:val="00F33848"/>
    <w:rsid w:val="00F33E27"/>
    <w:rsid w:val="00F35898"/>
    <w:rsid w:val="00F41BAE"/>
    <w:rsid w:val="00F45446"/>
    <w:rsid w:val="00F536EC"/>
    <w:rsid w:val="00F626CA"/>
    <w:rsid w:val="00F62B4C"/>
    <w:rsid w:val="00F75D28"/>
    <w:rsid w:val="00F87EF1"/>
    <w:rsid w:val="00FA771D"/>
    <w:rsid w:val="00FC257A"/>
    <w:rsid w:val="00FC751B"/>
    <w:rsid w:val="00FD0477"/>
    <w:rsid w:val="00FD133B"/>
    <w:rsid w:val="00FF271C"/>
    <w:rsid w:val="00FF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C853D"/>
  <w15:chartTrackingRefBased/>
  <w15:docId w15:val="{4D52AAFC-E057-4DB5-BA47-6DD37999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nhideWhenUsed/>
    <w:qFormat/>
    <w:rsid w:val="00295D11"/>
    <w:pPr>
      <w:numPr>
        <w:numId w:val="19"/>
      </w:numPr>
      <w:spacing w:after="240"/>
      <w:outlineLvl w:val="0"/>
    </w:pPr>
    <w:rPr>
      <w:snapToGrid w:val="0"/>
      <w:kern w:val="28"/>
      <w:sz w:val="24"/>
    </w:rPr>
  </w:style>
  <w:style w:type="paragraph" w:styleId="Heading2">
    <w:name w:val="heading 2"/>
    <w:basedOn w:val="Normal"/>
    <w:next w:val="BodyText"/>
    <w:link w:val="Heading2Char"/>
    <w:unhideWhenUsed/>
    <w:qFormat/>
    <w:rsid w:val="00295D11"/>
    <w:pPr>
      <w:numPr>
        <w:ilvl w:val="1"/>
        <w:numId w:val="19"/>
      </w:numPr>
      <w:spacing w:after="240"/>
      <w:outlineLvl w:val="1"/>
    </w:pPr>
    <w:rPr>
      <w:snapToGrid w:val="0"/>
      <w:sz w:val="24"/>
    </w:rPr>
  </w:style>
  <w:style w:type="paragraph" w:styleId="Heading3">
    <w:name w:val="heading 3"/>
    <w:basedOn w:val="Normal"/>
    <w:next w:val="BodyText"/>
    <w:link w:val="Heading3Char"/>
    <w:unhideWhenUsed/>
    <w:qFormat/>
    <w:rsid w:val="00295D11"/>
    <w:pPr>
      <w:numPr>
        <w:ilvl w:val="2"/>
        <w:numId w:val="19"/>
      </w:numPr>
      <w:spacing w:after="240"/>
      <w:outlineLvl w:val="2"/>
    </w:pPr>
    <w:rPr>
      <w:snapToGrid w:val="0"/>
      <w:sz w:val="24"/>
    </w:rPr>
  </w:style>
  <w:style w:type="paragraph" w:styleId="Heading4">
    <w:name w:val="heading 4"/>
    <w:basedOn w:val="Normal"/>
    <w:next w:val="BodyText"/>
    <w:link w:val="Heading4Char"/>
    <w:unhideWhenUsed/>
    <w:qFormat/>
    <w:rsid w:val="00295D11"/>
    <w:pPr>
      <w:numPr>
        <w:ilvl w:val="3"/>
        <w:numId w:val="19"/>
      </w:numPr>
      <w:spacing w:after="240"/>
      <w:outlineLvl w:val="3"/>
    </w:pPr>
    <w:rPr>
      <w:snapToGrid w:val="0"/>
      <w:sz w:val="24"/>
    </w:rPr>
  </w:style>
  <w:style w:type="paragraph" w:styleId="Heading5">
    <w:name w:val="heading 5"/>
    <w:basedOn w:val="Normal"/>
    <w:next w:val="BodyText"/>
    <w:link w:val="Heading5Char"/>
    <w:unhideWhenUsed/>
    <w:qFormat/>
    <w:rsid w:val="00295D11"/>
    <w:pPr>
      <w:numPr>
        <w:ilvl w:val="4"/>
        <w:numId w:val="19"/>
      </w:numPr>
      <w:spacing w:after="240"/>
      <w:outlineLvl w:val="4"/>
    </w:pPr>
    <w:rPr>
      <w:snapToGrid w:val="0"/>
      <w:sz w:val="24"/>
    </w:rPr>
  </w:style>
  <w:style w:type="paragraph" w:styleId="Heading6">
    <w:name w:val="heading 6"/>
    <w:basedOn w:val="Normal"/>
    <w:next w:val="BodyText"/>
    <w:link w:val="Heading6Char"/>
    <w:unhideWhenUsed/>
    <w:qFormat/>
    <w:rsid w:val="00295D11"/>
    <w:pPr>
      <w:numPr>
        <w:ilvl w:val="5"/>
        <w:numId w:val="19"/>
      </w:numPr>
      <w:spacing w:after="240"/>
      <w:outlineLvl w:val="5"/>
    </w:pPr>
    <w:rPr>
      <w:snapToGrid w:val="0"/>
      <w:sz w:val="24"/>
    </w:rPr>
  </w:style>
  <w:style w:type="paragraph" w:styleId="Heading7">
    <w:name w:val="heading 7"/>
    <w:basedOn w:val="Normal"/>
    <w:next w:val="BodyText"/>
    <w:link w:val="Heading7Char"/>
    <w:unhideWhenUsed/>
    <w:qFormat/>
    <w:rsid w:val="00295D11"/>
    <w:pPr>
      <w:numPr>
        <w:ilvl w:val="6"/>
        <w:numId w:val="19"/>
      </w:numPr>
      <w:spacing w:after="240"/>
      <w:outlineLvl w:val="6"/>
    </w:pPr>
    <w:rPr>
      <w:snapToGrid w:val="0"/>
      <w:sz w:val="24"/>
    </w:rPr>
  </w:style>
  <w:style w:type="paragraph" w:styleId="Heading8">
    <w:name w:val="heading 8"/>
    <w:basedOn w:val="Normal"/>
    <w:next w:val="BodyText"/>
    <w:link w:val="Heading8Char"/>
    <w:unhideWhenUsed/>
    <w:qFormat/>
    <w:rsid w:val="00295D11"/>
    <w:pPr>
      <w:numPr>
        <w:ilvl w:val="7"/>
        <w:numId w:val="19"/>
      </w:numPr>
      <w:spacing w:after="240"/>
      <w:outlineLvl w:val="7"/>
    </w:pPr>
    <w:rPr>
      <w:snapToGrid w:val="0"/>
      <w:sz w:val="24"/>
    </w:rPr>
  </w:style>
  <w:style w:type="paragraph" w:styleId="Heading9">
    <w:name w:val="heading 9"/>
    <w:basedOn w:val="Normal"/>
    <w:next w:val="BodyText"/>
    <w:link w:val="Heading9Char"/>
    <w:unhideWhenUsed/>
    <w:qFormat/>
    <w:rsid w:val="00295D11"/>
    <w:pPr>
      <w:numPr>
        <w:ilvl w:val="8"/>
        <w:numId w:val="19"/>
      </w:numPr>
      <w:spacing w:after="240"/>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aliases w:val="Footnote Text Char Char,Footnote Text Char Char Char Char Char,Footnote Text Char Char Char1 Char,Footnote Text Char Char1,Footnote Text Char1,Footnote Text Char1 Char Char Char,Footnote Text Char1 Char1 Char,Footnote text,fn,fn Char Char"/>
    <w:basedOn w:val="Normal"/>
    <w:link w:val="FootnoteTextChar"/>
    <w:rsid w:val="00C50372"/>
  </w:style>
  <w:style w:type="character" w:styleId="FootnoteReference">
    <w:name w:val="footnote reference"/>
    <w:aliases w:val="o,fr,Style 42"/>
    <w:uiPriority w:val="99"/>
    <w:rsid w:val="00C50372"/>
    <w:rPr>
      <w:vertAlign w:val="superscript"/>
    </w:rPr>
  </w:style>
  <w:style w:type="paragraph" w:styleId="ListParagraph">
    <w:name w:val="List Paragraph"/>
    <w:basedOn w:val="Normal"/>
    <w:uiPriority w:val="34"/>
    <w:qFormat/>
    <w:rsid w:val="004C410E"/>
    <w:pPr>
      <w:ind w:left="720"/>
    </w:pPr>
  </w:style>
  <w:style w:type="paragraph" w:styleId="Header">
    <w:name w:val="header"/>
    <w:basedOn w:val="Normal"/>
    <w:link w:val="HeaderChar"/>
    <w:rsid w:val="00554D3D"/>
    <w:pPr>
      <w:tabs>
        <w:tab w:val="center" w:pos="4680"/>
        <w:tab w:val="right" w:pos="9360"/>
      </w:tabs>
    </w:pPr>
  </w:style>
  <w:style w:type="character" w:customStyle="1" w:styleId="HeaderChar">
    <w:name w:val="Header Char"/>
    <w:basedOn w:val="DefaultParagraphFont"/>
    <w:link w:val="Header"/>
    <w:rsid w:val="00554D3D"/>
  </w:style>
  <w:style w:type="character" w:customStyle="1" w:styleId="BulletChar">
    <w:name w:val="Bullet Char"/>
    <w:basedOn w:val="DefaultParagraphFont"/>
    <w:link w:val="Bullet"/>
    <w:locked/>
    <w:rsid w:val="00231190"/>
    <w:rPr>
      <w:sz w:val="24"/>
    </w:rPr>
  </w:style>
  <w:style w:type="paragraph" w:customStyle="1" w:styleId="Bullet">
    <w:name w:val="Bullet"/>
    <w:basedOn w:val="Normal"/>
    <w:link w:val="BulletChar"/>
    <w:rsid w:val="00231190"/>
    <w:pPr>
      <w:spacing w:after="120"/>
    </w:pPr>
    <w:rPr>
      <w:sz w:val="24"/>
    </w:rPr>
  </w:style>
  <w:style w:type="character" w:customStyle="1" w:styleId="NumberListChar">
    <w:name w:val="Number List Char"/>
    <w:basedOn w:val="BulletChar"/>
    <w:link w:val="NumberList"/>
    <w:locked/>
    <w:rsid w:val="00231190"/>
    <w:rPr>
      <w:sz w:val="24"/>
    </w:rPr>
  </w:style>
  <w:style w:type="paragraph" w:customStyle="1" w:styleId="NumberList">
    <w:name w:val="Number List"/>
    <w:basedOn w:val="Bullet"/>
    <w:link w:val="NumberListChar"/>
    <w:rsid w:val="00231190"/>
  </w:style>
  <w:style w:type="paragraph" w:customStyle="1" w:styleId="NumberList2">
    <w:name w:val="Number List 2"/>
    <w:basedOn w:val="NumberList"/>
    <w:qFormat/>
    <w:rsid w:val="00231190"/>
    <w:pPr>
      <w:numPr>
        <w:numId w:val="13"/>
      </w:numPr>
      <w:tabs>
        <w:tab w:val="num" w:pos="2160"/>
      </w:tabs>
      <w:autoSpaceDE w:val="0"/>
      <w:autoSpaceDN w:val="0"/>
      <w:adjustRightInd w:val="0"/>
      <w:spacing w:before="240" w:after="240"/>
      <w:ind w:left="2160" w:hanging="720"/>
    </w:pPr>
  </w:style>
  <w:style w:type="character" w:customStyle="1" w:styleId="LetteraChar">
    <w:name w:val="Letter a) Char"/>
    <w:basedOn w:val="BulletChar"/>
    <w:link w:val="Lettera"/>
    <w:locked/>
    <w:rsid w:val="00231190"/>
    <w:rPr>
      <w:sz w:val="24"/>
    </w:rPr>
  </w:style>
  <w:style w:type="paragraph" w:customStyle="1" w:styleId="Lettera">
    <w:name w:val="Letter a)"/>
    <w:basedOn w:val="Bullet"/>
    <w:link w:val="LetteraChar"/>
    <w:qFormat/>
    <w:rsid w:val="00231190"/>
    <w:pPr>
      <w:numPr>
        <w:numId w:val="15"/>
      </w:numPr>
      <w:spacing w:before="240" w:after="240"/>
    </w:pPr>
  </w:style>
  <w:style w:type="character" w:customStyle="1" w:styleId="FootnoteTextChar">
    <w:name w:val="Footnote Text Char"/>
    <w:aliases w:val="Footnote Text Char Char Char,Footnote Text Char Char Char Char Char Char,Footnote Text Char Char Char1 Char Char,Footnote Text Char Char1 Char,Footnote Text Char1 Char,Footnote Text Char1 Char Char Char Char,Footnote text Char,fn Char"/>
    <w:basedOn w:val="DefaultParagraphFont"/>
    <w:link w:val="FootnoteText"/>
    <w:rsid w:val="00D03506"/>
  </w:style>
  <w:style w:type="paragraph" w:styleId="BalloonText">
    <w:name w:val="Balloon Text"/>
    <w:basedOn w:val="Normal"/>
    <w:link w:val="BalloonTextChar"/>
    <w:rsid w:val="00CA7DED"/>
    <w:rPr>
      <w:rFonts w:ascii="Segoe UI" w:hAnsi="Segoe UI" w:cs="Segoe UI"/>
      <w:sz w:val="18"/>
      <w:szCs w:val="18"/>
    </w:rPr>
  </w:style>
  <w:style w:type="character" w:customStyle="1" w:styleId="BalloonTextChar">
    <w:name w:val="Balloon Text Char"/>
    <w:basedOn w:val="DefaultParagraphFont"/>
    <w:link w:val="BalloonText"/>
    <w:rsid w:val="00CA7DED"/>
    <w:rPr>
      <w:rFonts w:ascii="Segoe UI" w:hAnsi="Segoe UI" w:cs="Segoe UI"/>
      <w:sz w:val="18"/>
      <w:szCs w:val="18"/>
    </w:rPr>
  </w:style>
  <w:style w:type="paragraph" w:styleId="NoSpacing">
    <w:name w:val="No Spacing"/>
    <w:uiPriority w:val="1"/>
    <w:qFormat/>
    <w:rsid w:val="00E84928"/>
    <w:rPr>
      <w:sz w:val="24"/>
    </w:rPr>
  </w:style>
  <w:style w:type="paragraph" w:styleId="BodyText">
    <w:name w:val="Body Text"/>
    <w:aliases w:val="bt"/>
    <w:basedOn w:val="Normal"/>
    <w:link w:val="BodyTextChar"/>
    <w:rsid w:val="00BD5440"/>
    <w:pPr>
      <w:spacing w:after="240"/>
    </w:pPr>
    <w:rPr>
      <w:sz w:val="24"/>
      <w:szCs w:val="24"/>
    </w:rPr>
  </w:style>
  <w:style w:type="character" w:customStyle="1" w:styleId="BodyTextChar">
    <w:name w:val="Body Text Char"/>
    <w:aliases w:val="bt Char"/>
    <w:basedOn w:val="DefaultParagraphFont"/>
    <w:link w:val="BodyText"/>
    <w:rsid w:val="00BD5440"/>
    <w:rPr>
      <w:sz w:val="24"/>
      <w:szCs w:val="24"/>
    </w:rPr>
  </w:style>
  <w:style w:type="character" w:customStyle="1" w:styleId="Heading1Char">
    <w:name w:val="Heading 1 Char"/>
    <w:basedOn w:val="DefaultParagraphFont"/>
    <w:link w:val="Heading1"/>
    <w:rsid w:val="00295D11"/>
    <w:rPr>
      <w:snapToGrid w:val="0"/>
      <w:kern w:val="28"/>
      <w:sz w:val="24"/>
    </w:rPr>
  </w:style>
  <w:style w:type="character" w:customStyle="1" w:styleId="Heading2Char">
    <w:name w:val="Heading 2 Char"/>
    <w:basedOn w:val="DefaultParagraphFont"/>
    <w:link w:val="Heading2"/>
    <w:rsid w:val="00295D11"/>
    <w:rPr>
      <w:snapToGrid w:val="0"/>
      <w:sz w:val="24"/>
    </w:rPr>
  </w:style>
  <w:style w:type="character" w:customStyle="1" w:styleId="Heading3Char">
    <w:name w:val="Heading 3 Char"/>
    <w:basedOn w:val="DefaultParagraphFont"/>
    <w:link w:val="Heading3"/>
    <w:rsid w:val="00295D11"/>
    <w:rPr>
      <w:snapToGrid w:val="0"/>
      <w:sz w:val="24"/>
    </w:rPr>
  </w:style>
  <w:style w:type="character" w:customStyle="1" w:styleId="Heading4Char">
    <w:name w:val="Heading 4 Char"/>
    <w:basedOn w:val="DefaultParagraphFont"/>
    <w:link w:val="Heading4"/>
    <w:rsid w:val="00295D11"/>
    <w:rPr>
      <w:snapToGrid w:val="0"/>
      <w:sz w:val="24"/>
    </w:rPr>
  </w:style>
  <w:style w:type="character" w:customStyle="1" w:styleId="Heading5Char">
    <w:name w:val="Heading 5 Char"/>
    <w:basedOn w:val="DefaultParagraphFont"/>
    <w:link w:val="Heading5"/>
    <w:rsid w:val="00295D11"/>
    <w:rPr>
      <w:snapToGrid w:val="0"/>
      <w:sz w:val="24"/>
    </w:rPr>
  </w:style>
  <w:style w:type="character" w:customStyle="1" w:styleId="Heading6Char">
    <w:name w:val="Heading 6 Char"/>
    <w:basedOn w:val="DefaultParagraphFont"/>
    <w:link w:val="Heading6"/>
    <w:rsid w:val="00295D11"/>
    <w:rPr>
      <w:snapToGrid w:val="0"/>
      <w:sz w:val="24"/>
    </w:rPr>
  </w:style>
  <w:style w:type="character" w:customStyle="1" w:styleId="Heading7Char">
    <w:name w:val="Heading 7 Char"/>
    <w:basedOn w:val="DefaultParagraphFont"/>
    <w:link w:val="Heading7"/>
    <w:rsid w:val="00295D11"/>
    <w:rPr>
      <w:snapToGrid w:val="0"/>
      <w:sz w:val="24"/>
    </w:rPr>
  </w:style>
  <w:style w:type="character" w:customStyle="1" w:styleId="Heading8Char">
    <w:name w:val="Heading 8 Char"/>
    <w:basedOn w:val="DefaultParagraphFont"/>
    <w:link w:val="Heading8"/>
    <w:rsid w:val="00295D11"/>
    <w:rPr>
      <w:snapToGrid w:val="0"/>
      <w:sz w:val="24"/>
    </w:rPr>
  </w:style>
  <w:style w:type="character" w:customStyle="1" w:styleId="Heading9Char">
    <w:name w:val="Heading 9 Char"/>
    <w:basedOn w:val="DefaultParagraphFont"/>
    <w:link w:val="Heading9"/>
    <w:rsid w:val="00295D11"/>
    <w:rPr>
      <w:snapToGrid w:val="0"/>
      <w:sz w:val="24"/>
    </w:rPr>
  </w:style>
  <w:style w:type="character" w:styleId="Hyperlink">
    <w:name w:val="Hyperlink"/>
    <w:basedOn w:val="DefaultParagraphFont"/>
    <w:uiPriority w:val="99"/>
    <w:unhideWhenUsed/>
    <w:rsid w:val="001265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10175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nase@cozen.com" TargetMode="External"/><Relationship Id="rId18" Type="http://schemas.openxmlformats.org/officeDocument/2006/relationships/hyperlink" Target="mailto:azerby@paoca.org" TargetMode="External"/><Relationship Id="rId26" Type="http://schemas.openxmlformats.org/officeDocument/2006/relationships/hyperlink" Target="mailto:rjunker@babstcalland.com" TargetMode="External"/><Relationship Id="rId3" Type="http://schemas.openxmlformats.org/officeDocument/2006/relationships/styles" Target="styles.xml"/><Relationship Id="rId21" Type="http://schemas.openxmlformats.org/officeDocument/2006/relationships/hyperlink" Target="mailto:Matthew.Olesh@obermayer.com" TargetMode="External"/><Relationship Id="rId7" Type="http://schemas.openxmlformats.org/officeDocument/2006/relationships/endnotes" Target="endnotes.xml"/><Relationship Id="rId12" Type="http://schemas.openxmlformats.org/officeDocument/2006/relationships/hyperlink" Target="mailto:dzambito@cozen.com" TargetMode="External"/><Relationship Id="rId17" Type="http://schemas.openxmlformats.org/officeDocument/2006/relationships/hyperlink" Target="mailto:choover@paoca.org" TargetMode="External"/><Relationship Id="rId25" Type="http://schemas.openxmlformats.org/officeDocument/2006/relationships/hyperlink" Target="mailto:cbabst@babstcalland.com" TargetMode="External"/><Relationship Id="rId2" Type="http://schemas.openxmlformats.org/officeDocument/2006/relationships/numbering" Target="numbering.xml"/><Relationship Id="rId16" Type="http://schemas.openxmlformats.org/officeDocument/2006/relationships/hyperlink" Target="mailto:abeatty@paoca.org" TargetMode="External"/><Relationship Id="rId20" Type="http://schemas.openxmlformats.org/officeDocument/2006/relationships/hyperlink" Target="mailto:Thomas.Wyatt@obermayer.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n.fure@amwater.com" TargetMode="External"/><Relationship Id="rId24" Type="http://schemas.openxmlformats.org/officeDocument/2006/relationships/hyperlink" Target="mailto:eschnall@salzmannhughes.com" TargetMode="External"/><Relationship Id="rId5" Type="http://schemas.openxmlformats.org/officeDocument/2006/relationships/webSettings" Target="webSettings.xml"/><Relationship Id="rId15" Type="http://schemas.openxmlformats.org/officeDocument/2006/relationships/hyperlink" Target="mailto:jguthrie@paoca.org" TargetMode="External"/><Relationship Id="rId23" Type="http://schemas.openxmlformats.org/officeDocument/2006/relationships/hyperlink" Target="mailto:swyland@salzmannhughes.com" TargetMode="External"/><Relationship Id="rId28" Type="http://schemas.openxmlformats.org/officeDocument/2006/relationships/fontTable" Target="fontTable.xml"/><Relationship Id="rId10" Type="http://schemas.openxmlformats.org/officeDocument/2006/relationships/hyperlink" Target="mailto:Elizabeth.Triscari@amwater.com" TargetMode="External"/><Relationship Id="rId19" Type="http://schemas.openxmlformats.org/officeDocument/2006/relationships/hyperlink" Target="mailto:carwright@p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webb@pa.gov" TargetMode="External"/><Relationship Id="rId22" Type="http://schemas.openxmlformats.org/officeDocument/2006/relationships/hyperlink" Target="mailto:Sydney.Melillo@obermayer.com" TargetMode="External"/><Relationship Id="rId27" Type="http://schemas.openxmlformats.org/officeDocument/2006/relationships/hyperlink" Target="mailto:lstone@babstcal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37F6-8DD5-436F-9B0E-DD99EA1F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Kim</dc:creator>
  <cp:keywords/>
  <cp:lastModifiedBy>Foster, Laythan</cp:lastModifiedBy>
  <cp:revision>2</cp:revision>
  <cp:lastPrinted>2023-11-16T16:13:00Z</cp:lastPrinted>
  <dcterms:created xsi:type="dcterms:W3CDTF">2023-11-16T18:46:00Z</dcterms:created>
  <dcterms:modified xsi:type="dcterms:W3CDTF">2023-11-16T18:46:00Z</dcterms:modified>
</cp:coreProperties>
</file>