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6E91" w14:textId="77777777" w:rsidR="00C23613" w:rsidRPr="00A9731F" w:rsidRDefault="00C23613" w:rsidP="00C236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5C42844B" w14:textId="77777777" w:rsidR="00C23613" w:rsidRPr="00A9731F" w:rsidRDefault="00C23613" w:rsidP="00C2361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7EDA265B" w14:textId="77777777" w:rsidR="00C23613" w:rsidRPr="00A9731F" w:rsidRDefault="00C23613" w:rsidP="00C23613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1FE6D98" w14:textId="77777777" w:rsidR="00C23613" w:rsidRPr="00A9731F" w:rsidRDefault="00C23613" w:rsidP="00C23613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8BF0F7F" w14:textId="77777777" w:rsidR="00C23613" w:rsidRPr="00A9731F" w:rsidRDefault="00C23613" w:rsidP="00C23613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4C26C95" w14:textId="57180CFE" w:rsidR="00C23613" w:rsidRPr="00A9731F" w:rsidRDefault="007D02B3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Cheryl Kreider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A9731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1CC43C1" w14:textId="0E4EDCF4" w:rsidR="00C23613" w:rsidRPr="00A9731F" w:rsidRDefault="00C23613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5022BA" w14:textId="125E99EE" w:rsidR="00C23613" w:rsidRPr="00A9731F" w:rsidRDefault="00C23613" w:rsidP="00C23613">
      <w:pPr>
        <w:spacing w:after="0" w:line="240" w:lineRule="auto"/>
        <w:ind w:left="720" w:right="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sz w:val="24"/>
          <w:szCs w:val="24"/>
        </w:rPr>
        <w:t>v.</w:t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 w:rsidRPr="002E61AB">
        <w:rPr>
          <w:rFonts w:ascii="Times New Roman" w:eastAsia="Times New Roman" w:hAnsi="Times New Roman" w:cs="Times New Roman"/>
          <w:sz w:val="24"/>
          <w:szCs w:val="24"/>
        </w:rPr>
        <w:t>C-</w:t>
      </w:r>
      <w:r w:rsidR="007D02B3">
        <w:rPr>
          <w:rFonts w:ascii="Times New Roman" w:eastAsia="Times New Roman" w:hAnsi="Times New Roman" w:cs="Times New Roman"/>
          <w:sz w:val="24"/>
          <w:szCs w:val="24"/>
        </w:rPr>
        <w:t>2023-304</w:t>
      </w:r>
      <w:r w:rsidR="00FD66B0">
        <w:rPr>
          <w:rFonts w:ascii="Times New Roman" w:eastAsia="Times New Roman" w:hAnsi="Times New Roman" w:cs="Times New Roman"/>
          <w:sz w:val="24"/>
          <w:szCs w:val="24"/>
        </w:rPr>
        <w:t>3450</w:t>
      </w:r>
    </w:p>
    <w:p w14:paraId="1150E45C" w14:textId="77777777" w:rsidR="00C23613" w:rsidRPr="00A9731F" w:rsidRDefault="00C23613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7554608" w14:textId="5DE11809" w:rsidR="00C23613" w:rsidRPr="00A9731F" w:rsidRDefault="007D02B3" w:rsidP="00C23613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Duquesne Light Company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>
        <w:rPr>
          <w:rFonts w:ascii="Times New Roman" w:eastAsia="Times New Roman" w:hAnsi="Times New Roman" w:cs="Times New Roman"/>
          <w:sz w:val="24"/>
          <w:szCs w:val="24"/>
        </w:rPr>
        <w:tab/>
      </w:r>
      <w:r w:rsidR="00C23613" w:rsidRPr="00A9731F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4D6C8BFA" w14:textId="77777777" w:rsidR="00C23613" w:rsidRPr="00A9731F" w:rsidRDefault="00C23613" w:rsidP="00C2361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842E550" w14:textId="77777777" w:rsidR="00C23613" w:rsidRPr="00A9731F" w:rsidRDefault="00C23613" w:rsidP="00C2361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96412B2" w14:textId="77777777" w:rsidR="00C23613" w:rsidRPr="00A9731F" w:rsidRDefault="00C23613" w:rsidP="00C23613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</w:p>
    <w:p w14:paraId="2F2DE7F8" w14:textId="77777777" w:rsidR="00C23613" w:rsidRPr="00A9731F" w:rsidRDefault="00C23613" w:rsidP="00C23613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INTERIM ORDER </w:t>
      </w:r>
    </w:p>
    <w:p w14:paraId="769587C4" w14:textId="3DAEAA60" w:rsidR="00FD66B0" w:rsidRPr="00FD66B0" w:rsidRDefault="005D12B9" w:rsidP="002E61AB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GRANTING </w:t>
      </w:r>
      <w:r w:rsidR="00FD66B0" w:rsidRPr="00FD66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DUQUESNE LIGHT COMPANY’S</w:t>
      </w:r>
      <w:r w:rsidR="002E61AB" w:rsidRPr="00FD66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5E0715" w:rsidRPr="00FD66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PRELIMINARY OBJECTION</w:t>
      </w:r>
      <w:r w:rsidR="00FD66B0" w:rsidRPr="00FD66B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2D9FF850" w14:textId="2883400E" w:rsidR="00C23613" w:rsidRPr="00A9731F" w:rsidRDefault="00FD66B0" w:rsidP="002E61AB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AND TRANSFERRING MATTER TO MEDIATION</w:t>
      </w:r>
      <w:r w:rsidR="00350E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UNIT</w:t>
      </w:r>
    </w:p>
    <w:p w14:paraId="6D05D86C" w14:textId="77777777" w:rsidR="00C23613" w:rsidRPr="00A9731F" w:rsidRDefault="00C23613" w:rsidP="00C2361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44C8C64" w14:textId="6D266CF1" w:rsidR="00C23613" w:rsidRPr="00A9731F" w:rsidRDefault="00C23613" w:rsidP="002E61A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="002E61A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EF3920">
        <w:rPr>
          <w:rFonts w:ascii="Times New Roman" w:eastAsia="Times New Roman" w:hAnsi="Times New Roman" w:cs="Times New Roman"/>
          <w:sz w:val="24"/>
          <w:szCs w:val="24"/>
        </w:rPr>
        <w:t>October 10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EF3920">
        <w:rPr>
          <w:rFonts w:ascii="Times New Roman" w:eastAsia="Times New Roman" w:hAnsi="Times New Roman" w:cs="Times New Roman"/>
          <w:sz w:val="24"/>
          <w:szCs w:val="24"/>
        </w:rPr>
        <w:t>3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ab/>
      </w:r>
      <w:r w:rsidR="00AF1C12">
        <w:rPr>
          <w:rFonts w:ascii="Times New Roman" w:eastAsia="Times New Roman" w:hAnsi="Times New Roman" w:cs="Times New Roman"/>
          <w:sz w:val="24"/>
          <w:szCs w:val="24"/>
        </w:rPr>
        <w:t>Cheryl Kreider</w:t>
      </w:r>
      <w:r w:rsidR="002E61AB">
        <w:rPr>
          <w:rFonts w:ascii="Times New Roman" w:eastAsia="Times New Roman" w:hAnsi="Times New Roman" w:cs="Times New Roman"/>
          <w:sz w:val="24"/>
          <w:szCs w:val="24"/>
        </w:rPr>
        <w:t xml:space="preserve"> filed a Formal Complaint with the Pennsylvania Public Utility Commission, alleging that</w:t>
      </w:r>
      <w:r w:rsidR="00475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C12">
        <w:rPr>
          <w:rFonts w:ascii="Times New Roman" w:eastAsia="Times New Roman" w:hAnsi="Times New Roman" w:cs="Times New Roman"/>
          <w:sz w:val="24"/>
          <w:szCs w:val="24"/>
        </w:rPr>
        <w:t>Duquesne Light</w:t>
      </w:r>
      <w:r w:rsidR="004756C6">
        <w:rPr>
          <w:rFonts w:ascii="Times New Roman" w:eastAsia="Times New Roman" w:hAnsi="Times New Roman" w:cs="Times New Roman"/>
          <w:sz w:val="24"/>
          <w:szCs w:val="24"/>
        </w:rPr>
        <w:t xml:space="preserve"> Company </w:t>
      </w:r>
      <w:r w:rsidR="006074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AF1C12">
        <w:rPr>
          <w:rFonts w:ascii="Times New Roman" w:eastAsia="Times New Roman" w:hAnsi="Times New Roman" w:cs="Times New Roman"/>
          <w:sz w:val="24"/>
          <w:szCs w:val="24"/>
        </w:rPr>
        <w:t>DLC</w:t>
      </w:r>
      <w:r w:rsidR="0060749F">
        <w:rPr>
          <w:rFonts w:ascii="Times New Roman" w:eastAsia="Times New Roman" w:hAnsi="Times New Roman" w:cs="Times New Roman"/>
          <w:sz w:val="24"/>
          <w:szCs w:val="24"/>
        </w:rPr>
        <w:t xml:space="preserve">, Company, or Respondent) </w:t>
      </w:r>
      <w:r w:rsidR="003D5E30">
        <w:rPr>
          <w:rFonts w:ascii="Times New Roman" w:eastAsia="Times New Roman" w:hAnsi="Times New Roman" w:cs="Times New Roman"/>
          <w:sz w:val="24"/>
          <w:szCs w:val="24"/>
        </w:rPr>
        <w:t xml:space="preserve">had </w:t>
      </w:r>
      <w:r w:rsidR="003E7E91">
        <w:rPr>
          <w:rFonts w:ascii="Times New Roman" w:eastAsia="Times New Roman" w:hAnsi="Times New Roman" w:cs="Times New Roman"/>
          <w:sz w:val="24"/>
          <w:szCs w:val="24"/>
        </w:rPr>
        <w:t xml:space="preserve">completed “poor workmanship” regarding tree removal service at her residence at </w:t>
      </w:r>
      <w:r w:rsidR="006B4AC3">
        <w:rPr>
          <w:rFonts w:ascii="Times New Roman" w:eastAsia="Times New Roman" w:hAnsi="Times New Roman" w:cs="Times New Roman"/>
          <w:sz w:val="24"/>
          <w:szCs w:val="24"/>
        </w:rPr>
        <w:t>6 National Drive, Pittsburgh, PA</w:t>
      </w:r>
      <w:r w:rsidR="00A42C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159DD">
        <w:rPr>
          <w:rFonts w:ascii="Times New Roman" w:eastAsia="Times New Roman" w:hAnsi="Times New Roman" w:cs="Times New Roman"/>
          <w:sz w:val="24"/>
          <w:szCs w:val="24"/>
        </w:rPr>
        <w:t>Property</w:t>
      </w:r>
      <w:r w:rsidR="00A42C74"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 w:rsidR="0089348D">
        <w:rPr>
          <w:rFonts w:ascii="Times New Roman" w:eastAsia="Times New Roman" w:hAnsi="Times New Roman" w:cs="Times New Roman"/>
          <w:sz w:val="24"/>
          <w:szCs w:val="24"/>
        </w:rPr>
        <w:t xml:space="preserve">Complainant attached multiple pictures to the Complaint.  </w:t>
      </w:r>
      <w:r w:rsidR="004756C6">
        <w:rPr>
          <w:rFonts w:ascii="Times New Roman" w:eastAsia="Times New Roman" w:hAnsi="Times New Roman" w:cs="Times New Roman"/>
          <w:sz w:val="24"/>
          <w:szCs w:val="24"/>
        </w:rPr>
        <w:t xml:space="preserve">As relief, Complainant </w:t>
      </w:r>
      <w:r w:rsidR="00A42C74">
        <w:rPr>
          <w:rFonts w:ascii="Times New Roman" w:eastAsia="Times New Roman" w:hAnsi="Times New Roman" w:cs="Times New Roman"/>
          <w:sz w:val="24"/>
          <w:szCs w:val="24"/>
        </w:rPr>
        <w:t xml:space="preserve">requests restitution for work not completed by Nelson Tree Service </w:t>
      </w:r>
      <w:r w:rsidR="0089348D">
        <w:rPr>
          <w:rFonts w:ascii="Times New Roman" w:eastAsia="Times New Roman" w:hAnsi="Times New Roman" w:cs="Times New Roman"/>
          <w:sz w:val="24"/>
          <w:szCs w:val="24"/>
        </w:rPr>
        <w:t xml:space="preserve">(Contractor) </w:t>
      </w:r>
      <w:r w:rsidR="00A42C74">
        <w:rPr>
          <w:rFonts w:ascii="Times New Roman" w:eastAsia="Times New Roman" w:hAnsi="Times New Roman" w:cs="Times New Roman"/>
          <w:sz w:val="24"/>
          <w:szCs w:val="24"/>
        </w:rPr>
        <w:t xml:space="preserve">and DLC.  </w:t>
      </w:r>
      <w:r w:rsidR="00475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B29432" w14:textId="77777777" w:rsidR="00C23613" w:rsidRPr="00A9731F" w:rsidRDefault="00C23613" w:rsidP="00C2361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1E29F70" w14:textId="6BC0D41E" w:rsidR="00E439E3" w:rsidRDefault="00C23613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Times New Roman" w:eastAsia="Times New Roman" w:hAnsi="Times New Roman" w:cs="Times New Roman"/>
          <w:sz w:val="24"/>
          <w:szCs w:val="24"/>
        </w:rPr>
        <w:tab/>
      </w:r>
      <w:r w:rsidR="0060749F" w:rsidRPr="007A1152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E137CF" w:rsidRPr="007A1152">
        <w:rPr>
          <w:rFonts w:ascii="Times New Roman" w:eastAsia="Times New Roman" w:hAnsi="Times New Roman" w:cs="Times New Roman"/>
          <w:sz w:val="24"/>
          <w:szCs w:val="24"/>
        </w:rPr>
        <w:t>October 30, 2023</w:t>
      </w:r>
      <w:r w:rsidR="0060749F" w:rsidRPr="007A11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37CF" w:rsidRPr="007A1152">
        <w:rPr>
          <w:rFonts w:ascii="Times New Roman" w:eastAsia="Times New Roman" w:hAnsi="Times New Roman" w:cs="Times New Roman"/>
          <w:sz w:val="24"/>
          <w:szCs w:val="24"/>
        </w:rPr>
        <w:t xml:space="preserve">DLC </w:t>
      </w:r>
      <w:r w:rsidR="0060749F" w:rsidRPr="007A1152">
        <w:rPr>
          <w:rFonts w:ascii="Times New Roman" w:eastAsia="Times New Roman" w:hAnsi="Times New Roman" w:cs="Times New Roman"/>
          <w:sz w:val="24"/>
          <w:szCs w:val="24"/>
        </w:rPr>
        <w:t xml:space="preserve">filed an Answer as well as </w:t>
      </w:r>
      <w:r w:rsidR="00D13C70" w:rsidRPr="007A115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0749F" w:rsidRPr="007A1152">
        <w:rPr>
          <w:rFonts w:ascii="Times New Roman" w:eastAsia="Times New Roman" w:hAnsi="Times New Roman" w:cs="Times New Roman"/>
          <w:sz w:val="24"/>
          <w:szCs w:val="24"/>
        </w:rPr>
        <w:t xml:space="preserve">Preliminary Objection.  </w:t>
      </w:r>
      <w:r w:rsidR="00D13C70" w:rsidRPr="007A1152">
        <w:rPr>
          <w:rFonts w:ascii="Times New Roman" w:eastAsia="Times New Roman" w:hAnsi="Times New Roman" w:cs="Times New Roman"/>
          <w:sz w:val="24"/>
          <w:szCs w:val="24"/>
        </w:rPr>
        <w:t>DLC</w:t>
      </w:r>
      <w:r w:rsidR="0060749F" w:rsidRPr="007A1152">
        <w:rPr>
          <w:rFonts w:ascii="Times New Roman" w:eastAsia="Times New Roman" w:hAnsi="Times New Roman" w:cs="Times New Roman"/>
          <w:sz w:val="24"/>
          <w:szCs w:val="24"/>
        </w:rPr>
        <w:t xml:space="preserve"> avers</w:t>
      </w:r>
      <w:r w:rsidR="00A93D3C" w:rsidRPr="007A1152">
        <w:rPr>
          <w:rFonts w:ascii="Times New Roman" w:eastAsia="Times New Roman" w:hAnsi="Times New Roman" w:cs="Times New Roman"/>
          <w:sz w:val="24"/>
          <w:szCs w:val="24"/>
        </w:rPr>
        <w:t xml:space="preserve"> Complainant </w:t>
      </w:r>
      <w:r w:rsidR="008159DD" w:rsidRPr="007A1152">
        <w:rPr>
          <w:rFonts w:ascii="Times New Roman" w:hAnsi="Times New Roman" w:cs="Times New Roman"/>
          <w:sz w:val="24"/>
          <w:szCs w:val="24"/>
        </w:rPr>
        <w:t xml:space="preserve">provided </w:t>
      </w:r>
      <w:r w:rsidR="008A6C82">
        <w:rPr>
          <w:rFonts w:ascii="Times New Roman" w:hAnsi="Times New Roman" w:cs="Times New Roman"/>
          <w:sz w:val="24"/>
          <w:szCs w:val="24"/>
        </w:rPr>
        <w:t>DLC</w:t>
      </w:r>
      <w:r w:rsidR="008159DD" w:rsidRPr="007A1152">
        <w:rPr>
          <w:rFonts w:ascii="Times New Roman" w:hAnsi="Times New Roman" w:cs="Times New Roman"/>
          <w:sz w:val="24"/>
          <w:szCs w:val="24"/>
        </w:rPr>
        <w:t xml:space="preserve"> with consent to cut down a tree on the Property. </w:t>
      </w:r>
      <w:r w:rsidR="008A6C82">
        <w:rPr>
          <w:rFonts w:ascii="Times New Roman" w:hAnsi="Times New Roman" w:cs="Times New Roman"/>
          <w:sz w:val="24"/>
          <w:szCs w:val="24"/>
        </w:rPr>
        <w:t xml:space="preserve"> </w:t>
      </w:r>
      <w:r w:rsidR="008159DD" w:rsidRPr="007A1152">
        <w:rPr>
          <w:rFonts w:ascii="Times New Roman" w:hAnsi="Times New Roman" w:cs="Times New Roman"/>
          <w:sz w:val="24"/>
          <w:szCs w:val="24"/>
        </w:rPr>
        <w:t xml:space="preserve">On April 10, 2023, Duquesne Light arranged for </w:t>
      </w:r>
      <w:r w:rsidR="0089348D" w:rsidRPr="007A1152">
        <w:rPr>
          <w:rFonts w:ascii="Times New Roman" w:hAnsi="Times New Roman" w:cs="Times New Roman"/>
          <w:sz w:val="24"/>
          <w:szCs w:val="24"/>
        </w:rPr>
        <w:t xml:space="preserve">the Contractor </w:t>
      </w:r>
      <w:r w:rsidR="008159DD" w:rsidRPr="007A1152">
        <w:rPr>
          <w:rFonts w:ascii="Times New Roman" w:hAnsi="Times New Roman" w:cs="Times New Roman"/>
          <w:sz w:val="24"/>
          <w:szCs w:val="24"/>
        </w:rPr>
        <w:t xml:space="preserve">to cut down </w:t>
      </w:r>
      <w:r w:rsidR="0089348D" w:rsidRPr="007A1152">
        <w:rPr>
          <w:rFonts w:ascii="Times New Roman" w:hAnsi="Times New Roman" w:cs="Times New Roman"/>
          <w:sz w:val="24"/>
          <w:szCs w:val="24"/>
        </w:rPr>
        <w:t>a</w:t>
      </w:r>
      <w:r w:rsidR="008159DD" w:rsidRPr="007A1152">
        <w:rPr>
          <w:rFonts w:ascii="Times New Roman" w:hAnsi="Times New Roman" w:cs="Times New Roman"/>
          <w:sz w:val="24"/>
          <w:szCs w:val="24"/>
        </w:rPr>
        <w:t xml:space="preserve"> tree on the Property. </w:t>
      </w:r>
      <w:r w:rsidR="0089348D" w:rsidRPr="007A1152">
        <w:rPr>
          <w:rFonts w:ascii="Times New Roman" w:hAnsi="Times New Roman" w:cs="Times New Roman"/>
          <w:sz w:val="24"/>
          <w:szCs w:val="24"/>
        </w:rPr>
        <w:t xml:space="preserve"> DLC alle</w:t>
      </w:r>
      <w:r w:rsidR="007A1152" w:rsidRPr="007A1152">
        <w:rPr>
          <w:rFonts w:ascii="Times New Roman" w:hAnsi="Times New Roman" w:cs="Times New Roman"/>
          <w:sz w:val="24"/>
          <w:szCs w:val="24"/>
        </w:rPr>
        <w:t>ges t</w:t>
      </w:r>
      <w:r w:rsidR="008159DD" w:rsidRPr="007A1152">
        <w:rPr>
          <w:rFonts w:ascii="Times New Roman" w:hAnsi="Times New Roman" w:cs="Times New Roman"/>
          <w:sz w:val="24"/>
          <w:szCs w:val="24"/>
        </w:rPr>
        <w:t xml:space="preserve">he Contractor was unable to complete the cutting and the stacking of the wood on April 10, 2023, and informed the Complainant that the job would be completed the next day. </w:t>
      </w:r>
      <w:r w:rsidR="007A1152" w:rsidRPr="007A1152">
        <w:rPr>
          <w:rFonts w:ascii="Times New Roman" w:hAnsi="Times New Roman" w:cs="Times New Roman"/>
          <w:sz w:val="24"/>
          <w:szCs w:val="24"/>
        </w:rPr>
        <w:t xml:space="preserve"> </w:t>
      </w:r>
      <w:r w:rsidR="008159DD" w:rsidRPr="007A1152">
        <w:rPr>
          <w:rFonts w:ascii="Times New Roman" w:hAnsi="Times New Roman" w:cs="Times New Roman"/>
          <w:sz w:val="24"/>
          <w:szCs w:val="24"/>
        </w:rPr>
        <w:t>Due to poor weather conditions, the Contractor and the Complainant’s spouse agreed that the Contractor would</w:t>
      </w:r>
      <w:r w:rsidR="007A1152" w:rsidRPr="007A1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152" w:rsidRPr="007A1152">
        <w:rPr>
          <w:rFonts w:ascii="Times New Roman" w:hAnsi="Times New Roman" w:cs="Times New Roman"/>
          <w:sz w:val="24"/>
          <w:szCs w:val="24"/>
        </w:rPr>
        <w:t>return on Monday, April 17, 2023, to complete the work.  Upon returning to the Property on April 17, 2023, the Contractor discovered that the Complainant engaged in self-help and had cleared the debris.</w:t>
      </w:r>
      <w:r w:rsidR="0083760B">
        <w:rPr>
          <w:rFonts w:ascii="Times New Roman" w:hAnsi="Times New Roman" w:cs="Times New Roman"/>
          <w:sz w:val="24"/>
          <w:szCs w:val="24"/>
        </w:rPr>
        <w:t xml:space="preserve">  </w:t>
      </w:r>
      <w:r w:rsidR="0083760B" w:rsidRPr="0083760B">
        <w:rPr>
          <w:rFonts w:ascii="Times New Roman" w:hAnsi="Times New Roman" w:cs="Times New Roman"/>
          <w:sz w:val="24"/>
          <w:szCs w:val="24"/>
        </w:rPr>
        <w:t>D</w:t>
      </w:r>
      <w:r w:rsidR="008A6C82">
        <w:rPr>
          <w:rFonts w:ascii="Times New Roman" w:hAnsi="Times New Roman" w:cs="Times New Roman"/>
          <w:sz w:val="24"/>
          <w:szCs w:val="24"/>
        </w:rPr>
        <w:t>LC</w:t>
      </w:r>
      <w:r w:rsidR="0083760B" w:rsidRPr="0083760B">
        <w:rPr>
          <w:rFonts w:ascii="Times New Roman" w:hAnsi="Times New Roman" w:cs="Times New Roman"/>
          <w:sz w:val="24"/>
          <w:szCs w:val="24"/>
        </w:rPr>
        <w:t xml:space="preserve"> denies any wrongdoing associated with the tree removal on the </w:t>
      </w:r>
      <w:r w:rsidR="001908D7" w:rsidRPr="0083760B">
        <w:rPr>
          <w:rFonts w:ascii="Times New Roman" w:hAnsi="Times New Roman" w:cs="Times New Roman"/>
          <w:sz w:val="24"/>
          <w:szCs w:val="24"/>
        </w:rPr>
        <w:t>Property and</w:t>
      </w:r>
      <w:r w:rsidR="0083760B" w:rsidRPr="0083760B">
        <w:rPr>
          <w:rFonts w:ascii="Times New Roman" w:hAnsi="Times New Roman" w:cs="Times New Roman"/>
          <w:sz w:val="24"/>
          <w:szCs w:val="24"/>
        </w:rPr>
        <w:t xml:space="preserve"> maintains that it provided reasonable service to the Complainant pursuant to 66 Pa. C.S. § 1501.</w:t>
      </w:r>
      <w:r w:rsidR="00201473">
        <w:rPr>
          <w:rFonts w:ascii="Times New Roman" w:hAnsi="Times New Roman" w:cs="Times New Roman"/>
          <w:sz w:val="24"/>
          <w:szCs w:val="24"/>
        </w:rPr>
        <w:t xml:space="preserve">  </w:t>
      </w:r>
      <w:r w:rsidR="009F77B3">
        <w:rPr>
          <w:rFonts w:ascii="Times New Roman" w:hAnsi="Times New Roman" w:cs="Times New Roman"/>
          <w:sz w:val="24"/>
          <w:szCs w:val="24"/>
        </w:rPr>
        <w:t xml:space="preserve">Further, </w:t>
      </w:r>
      <w:r w:rsidR="00201473">
        <w:rPr>
          <w:rFonts w:ascii="Times New Roman" w:hAnsi="Times New Roman" w:cs="Times New Roman"/>
          <w:sz w:val="24"/>
          <w:szCs w:val="24"/>
        </w:rPr>
        <w:t>DLC request</w:t>
      </w:r>
      <w:r w:rsidR="008A6C82">
        <w:rPr>
          <w:rFonts w:ascii="Times New Roman" w:hAnsi="Times New Roman" w:cs="Times New Roman"/>
          <w:sz w:val="24"/>
          <w:szCs w:val="24"/>
        </w:rPr>
        <w:t>s</w:t>
      </w:r>
      <w:r w:rsidR="00201473">
        <w:rPr>
          <w:rFonts w:ascii="Times New Roman" w:hAnsi="Times New Roman" w:cs="Times New Roman"/>
          <w:sz w:val="24"/>
          <w:szCs w:val="24"/>
        </w:rPr>
        <w:t xml:space="preserve"> </w:t>
      </w:r>
      <w:r w:rsidR="00913590">
        <w:rPr>
          <w:rFonts w:ascii="Times New Roman" w:hAnsi="Times New Roman" w:cs="Times New Roman"/>
          <w:sz w:val="24"/>
          <w:szCs w:val="24"/>
        </w:rPr>
        <w:t xml:space="preserve">this matter be assigned to the Office of Administrative Law Judge’s (OALJ) Mediation Unit.  </w:t>
      </w:r>
    </w:p>
    <w:p w14:paraId="3DEDDDAD" w14:textId="7E731602" w:rsidR="00E439E3" w:rsidRDefault="00E439E3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F77B3">
        <w:rPr>
          <w:rFonts w:ascii="Times New Roman" w:eastAsia="Times New Roman" w:hAnsi="Times New Roman" w:cs="Times New Roman"/>
          <w:sz w:val="24"/>
          <w:szCs w:val="24"/>
        </w:rPr>
        <w:t xml:space="preserve">In its Preliminary Objection, DLC argues </w:t>
      </w:r>
      <w:r w:rsidR="000B261C">
        <w:rPr>
          <w:rFonts w:ascii="Times New Roman" w:eastAsia="Times New Roman" w:hAnsi="Times New Roman" w:cs="Times New Roman"/>
          <w:sz w:val="24"/>
          <w:szCs w:val="24"/>
        </w:rPr>
        <w:t xml:space="preserve">the Complaint is </w:t>
      </w:r>
      <w:r w:rsidR="0015160A">
        <w:rPr>
          <w:rFonts w:ascii="Times New Roman" w:eastAsia="Times New Roman" w:hAnsi="Times New Roman" w:cs="Times New Roman"/>
          <w:sz w:val="24"/>
          <w:szCs w:val="24"/>
        </w:rPr>
        <w:t xml:space="preserve">legally insufficient because the sole request for relief is </w:t>
      </w:r>
      <w:r w:rsidR="007C7CA4">
        <w:rPr>
          <w:rFonts w:ascii="Times New Roman" w:eastAsia="Times New Roman" w:hAnsi="Times New Roman" w:cs="Times New Roman"/>
          <w:sz w:val="24"/>
          <w:szCs w:val="24"/>
        </w:rPr>
        <w:t xml:space="preserve">restitution, which the Commission lacks jurisdiction and authority to provide.  </w:t>
      </w:r>
    </w:p>
    <w:p w14:paraId="23BC377D" w14:textId="77777777" w:rsidR="00E37E49" w:rsidRDefault="00E37E49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F3B5983" w14:textId="24C506B6" w:rsidR="00E37E49" w:rsidRDefault="00E37E49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Preliminary Objection included a Notice to Plead, advising Complainant of her </w:t>
      </w:r>
      <w:r w:rsidR="00535041">
        <w:rPr>
          <w:rFonts w:ascii="Times New Roman" w:eastAsia="Times New Roman" w:hAnsi="Times New Roman" w:cs="Times New Roman"/>
          <w:sz w:val="24"/>
          <w:szCs w:val="24"/>
        </w:rPr>
        <w:t xml:space="preserve">ability to file a response within ten days of service.  Complainant did not file a response.  </w:t>
      </w:r>
    </w:p>
    <w:p w14:paraId="47DCDC1B" w14:textId="77777777" w:rsidR="00EC7E82" w:rsidRDefault="00EC7E82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004CB86" w14:textId="33616CFD" w:rsidR="00EC7E82" w:rsidRDefault="00EC7E82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It is now appropriate to rule on the Preliminary Objection.</w:t>
      </w:r>
    </w:p>
    <w:p w14:paraId="107BE2DB" w14:textId="7BBAB6DC" w:rsidR="00895DAE" w:rsidRDefault="00895DAE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0604D1" w14:textId="59AE42C2" w:rsidR="00895DAE" w:rsidRPr="00895DAE" w:rsidRDefault="00895DAE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95DAE">
        <w:rPr>
          <w:rFonts w:ascii="Times New Roman" w:eastAsia="Times New Roman" w:hAnsi="Times New Roman" w:cs="Times New Roman"/>
          <w:sz w:val="24"/>
          <w:szCs w:val="24"/>
          <w:u w:val="single"/>
        </w:rPr>
        <w:t>Discussion</w:t>
      </w:r>
    </w:p>
    <w:p w14:paraId="033AB39D" w14:textId="7E0944CE" w:rsidR="00C726AA" w:rsidRDefault="00C726AA" w:rsidP="00943D9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1749D03" w14:textId="0501C669" w:rsidR="00C726AA" w:rsidRDefault="00C726AA" w:rsidP="00C726AA">
      <w:pPr>
        <w:autoSpaceDE w:val="0"/>
        <w:autoSpaceDN w:val="0"/>
        <w:spacing w:after="0" w:line="360" w:lineRule="auto"/>
        <w:rPr>
          <w:rFonts w:ascii="CG Times" w:eastAsia="SimSun" w:hAnsi="CG Times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9731F">
        <w:rPr>
          <w:rFonts w:ascii="CG Times" w:eastAsia="SimSun" w:hAnsi="CG Times" w:cs="Times New Roman"/>
          <w:sz w:val="24"/>
          <w:szCs w:val="24"/>
        </w:rPr>
        <w:t>Preliminary objection practice before the Commission is similar to Pennsylvania civil practice respecting preliminary objections.</w:t>
      </w:r>
      <w:r w:rsidRPr="00A9731F">
        <w:rPr>
          <w:rFonts w:ascii="CG Times" w:eastAsia="SimSun" w:hAnsi="CG Times" w:cs="Times New Roman"/>
          <w:sz w:val="24"/>
          <w:szCs w:val="24"/>
          <w:vertAlign w:val="superscript"/>
        </w:rPr>
        <w:footnoteReference w:id="1"/>
      </w:r>
      <w:r w:rsidRPr="00A9731F">
        <w:rPr>
          <w:rFonts w:ascii="CG Times" w:eastAsia="SimSun" w:hAnsi="CG Times" w:cs="Times New Roman"/>
          <w:sz w:val="24"/>
          <w:szCs w:val="24"/>
        </w:rPr>
        <w:t xml:space="preserve">  In deciding the preliminary objections, the Commission must determine whether, based on well-pleaded factual averments of the petitioners, recovery or relief is possible.</w:t>
      </w:r>
      <w:r w:rsidRPr="00A9731F">
        <w:rPr>
          <w:rFonts w:ascii="CG Times" w:eastAsia="SimSun" w:hAnsi="CG Times" w:cs="Times New Roman"/>
          <w:sz w:val="24"/>
          <w:szCs w:val="24"/>
          <w:vertAlign w:val="superscript"/>
        </w:rPr>
        <w:footnoteReference w:id="2"/>
      </w:r>
      <w:r w:rsidRPr="00A9731F">
        <w:rPr>
          <w:rFonts w:ascii="CG Times" w:eastAsia="SimSun" w:hAnsi="CG Times" w:cs="Times New Roman"/>
          <w:sz w:val="24"/>
          <w:szCs w:val="24"/>
        </w:rPr>
        <w:t xml:space="preserve">  Any doubt must be resolved in favor of the non</w:t>
      </w:r>
      <w:r w:rsidRPr="00A9731F">
        <w:rPr>
          <w:rFonts w:ascii="CG Times" w:eastAsia="SimSun" w:hAnsi="CG Times" w:cs="Times New Roman"/>
          <w:sz w:val="24"/>
          <w:szCs w:val="24"/>
        </w:rPr>
        <w:noBreakHyphen/>
        <w:t>moving party by refusing to sustain the preliminary objections.</w:t>
      </w:r>
      <w:r w:rsidRPr="00A9731F">
        <w:rPr>
          <w:rFonts w:ascii="CG Times" w:eastAsia="SimSun" w:hAnsi="CG Times" w:cs="Times New Roman"/>
          <w:sz w:val="24"/>
          <w:szCs w:val="24"/>
          <w:vertAlign w:val="superscript"/>
        </w:rPr>
        <w:footnoteReference w:id="3"/>
      </w:r>
      <w:r w:rsidRPr="00A9731F">
        <w:rPr>
          <w:rFonts w:ascii="CG Times" w:eastAsia="SimSun" w:hAnsi="CG Times" w:cs="Times New Roman"/>
          <w:sz w:val="24"/>
          <w:szCs w:val="24"/>
        </w:rPr>
        <w:t xml:space="preserve">  All of the non-moving party’s averments in the complaint must be viewed as true for purposes of deciding the preliminary objections.</w:t>
      </w:r>
      <w:r w:rsidRPr="00A9731F">
        <w:rPr>
          <w:rFonts w:ascii="CG Times" w:eastAsia="SimSun" w:hAnsi="CG Times" w:cs="Times New Roman"/>
          <w:sz w:val="24"/>
          <w:szCs w:val="24"/>
          <w:vertAlign w:val="superscript"/>
        </w:rPr>
        <w:footnoteReference w:id="4"/>
      </w:r>
      <w:r w:rsidRPr="00A9731F">
        <w:rPr>
          <w:rFonts w:ascii="CG Times" w:eastAsia="SimSun" w:hAnsi="CG Times" w:cs="Times New Roman"/>
          <w:sz w:val="24"/>
          <w:szCs w:val="24"/>
        </w:rPr>
        <w:t xml:space="preserve">  Only those facts specifically admitted may be considered against the non-moving party.</w:t>
      </w:r>
      <w:r w:rsidRPr="00A9731F">
        <w:rPr>
          <w:rFonts w:ascii="CG Times" w:eastAsia="SimSun" w:hAnsi="CG Times" w:cs="Times New Roman"/>
          <w:sz w:val="24"/>
          <w:szCs w:val="24"/>
          <w:vertAlign w:val="superscript"/>
        </w:rPr>
        <w:footnoteReference w:id="5"/>
      </w:r>
      <w:r w:rsidRPr="00A9731F">
        <w:rPr>
          <w:rFonts w:ascii="CG Times" w:eastAsia="SimSun" w:hAnsi="CG Times" w:cs="Times New Roman"/>
          <w:sz w:val="24"/>
          <w:szCs w:val="24"/>
        </w:rPr>
        <w:t xml:space="preserve">  </w:t>
      </w:r>
    </w:p>
    <w:p w14:paraId="7849829B" w14:textId="37247137" w:rsidR="00764813" w:rsidRDefault="00764813" w:rsidP="00C726AA">
      <w:pPr>
        <w:autoSpaceDE w:val="0"/>
        <w:autoSpaceDN w:val="0"/>
        <w:spacing w:after="0" w:line="360" w:lineRule="auto"/>
        <w:rPr>
          <w:rFonts w:ascii="CG Times" w:eastAsia="SimSun" w:hAnsi="CG Times" w:cs="Times New Roman"/>
          <w:sz w:val="24"/>
          <w:szCs w:val="24"/>
        </w:rPr>
      </w:pPr>
    </w:p>
    <w:p w14:paraId="0C181D08" w14:textId="6E5BC20C" w:rsidR="00764813" w:rsidRDefault="00764813" w:rsidP="00C726AA">
      <w:pPr>
        <w:autoSpaceDE w:val="0"/>
        <w:autoSpaceDN w:val="0"/>
        <w:spacing w:after="0" w:line="360" w:lineRule="auto"/>
        <w:rPr>
          <w:rFonts w:ascii="CG Times" w:eastAsia="SimSun" w:hAnsi="CG Times" w:cs="Times New Roman"/>
          <w:sz w:val="24"/>
          <w:szCs w:val="24"/>
        </w:rPr>
      </w:pPr>
      <w:r>
        <w:rPr>
          <w:rFonts w:ascii="CG Times" w:eastAsia="SimSun" w:hAnsi="CG Times" w:cs="Times New Roman"/>
          <w:sz w:val="24"/>
          <w:szCs w:val="24"/>
        </w:rPr>
        <w:tab/>
      </w:r>
      <w:r>
        <w:rPr>
          <w:rFonts w:ascii="CG Times" w:eastAsia="SimSun" w:hAnsi="CG Times" w:cs="Times New Roman"/>
          <w:sz w:val="24"/>
          <w:szCs w:val="24"/>
        </w:rPr>
        <w:tab/>
        <w:t xml:space="preserve">The Commission’s rules regarding procedural regulations allow a party to object to pleadings that fail to comply with the rules of administrative practice that include scandalous </w:t>
      </w:r>
      <w:r>
        <w:rPr>
          <w:rFonts w:ascii="CG Times" w:eastAsia="SimSun" w:hAnsi="CG Times" w:cs="Times New Roman"/>
          <w:sz w:val="24"/>
          <w:szCs w:val="24"/>
        </w:rPr>
        <w:lastRenderedPageBreak/>
        <w:t>or impertent matters.</w:t>
      </w:r>
      <w:r w:rsidR="002F1FD5">
        <w:rPr>
          <w:rStyle w:val="FootnoteReference"/>
          <w:rFonts w:ascii="CG Times" w:eastAsia="SimSun" w:hAnsi="CG Times" w:cs="Times New Roman"/>
          <w:sz w:val="24"/>
          <w:szCs w:val="24"/>
        </w:rPr>
        <w:footnoteReference w:id="6"/>
      </w:r>
      <w:r w:rsidR="002F1FD5">
        <w:rPr>
          <w:rFonts w:ascii="CG Times" w:eastAsia="SimSun" w:hAnsi="CG Times" w:cs="Times New Roman"/>
          <w:sz w:val="24"/>
          <w:szCs w:val="24"/>
        </w:rPr>
        <w:t xml:space="preserve">  It is well established under Pennsylvania law that the enforcement powers of the Commission do not include the power to award money damages.</w:t>
      </w:r>
      <w:r w:rsidR="002F1FD5">
        <w:rPr>
          <w:rStyle w:val="FootnoteReference"/>
          <w:rFonts w:ascii="CG Times" w:eastAsia="SimSun" w:hAnsi="CG Times" w:cs="Times New Roman"/>
          <w:sz w:val="24"/>
          <w:szCs w:val="24"/>
        </w:rPr>
        <w:footnoteReference w:id="7"/>
      </w:r>
      <w:r w:rsidR="002F1FD5">
        <w:rPr>
          <w:rFonts w:ascii="CG Times" w:eastAsia="SimSun" w:hAnsi="CG Times" w:cs="Times New Roman"/>
          <w:sz w:val="24"/>
          <w:szCs w:val="24"/>
        </w:rPr>
        <w:t xml:space="preserve"> </w:t>
      </w:r>
    </w:p>
    <w:p w14:paraId="51303122" w14:textId="40D9B90C" w:rsidR="005401CD" w:rsidRDefault="005401CD" w:rsidP="00C726AA">
      <w:pPr>
        <w:autoSpaceDE w:val="0"/>
        <w:autoSpaceDN w:val="0"/>
        <w:spacing w:after="0" w:line="360" w:lineRule="auto"/>
        <w:rPr>
          <w:rFonts w:ascii="CG Times" w:eastAsia="SimSun" w:hAnsi="CG Times" w:cs="Times New Roman"/>
          <w:sz w:val="24"/>
          <w:szCs w:val="24"/>
        </w:rPr>
      </w:pPr>
    </w:p>
    <w:p w14:paraId="7B9CD713" w14:textId="18206A73" w:rsidR="005401CD" w:rsidRDefault="005401CD" w:rsidP="00C726AA">
      <w:pPr>
        <w:autoSpaceDE w:val="0"/>
        <w:autoSpaceDN w:val="0"/>
        <w:spacing w:after="0" w:line="360" w:lineRule="auto"/>
        <w:rPr>
          <w:rFonts w:ascii="CG Times" w:eastAsia="SimSun" w:hAnsi="CG Times" w:cs="Times New Roman"/>
          <w:sz w:val="24"/>
          <w:szCs w:val="24"/>
        </w:rPr>
      </w:pPr>
      <w:r>
        <w:rPr>
          <w:rFonts w:ascii="CG Times" w:eastAsia="SimSun" w:hAnsi="CG Times" w:cs="Times New Roman"/>
          <w:sz w:val="24"/>
          <w:szCs w:val="24"/>
        </w:rPr>
        <w:tab/>
      </w:r>
      <w:r>
        <w:rPr>
          <w:rFonts w:ascii="CG Times" w:eastAsia="SimSun" w:hAnsi="CG Times" w:cs="Times New Roman"/>
          <w:sz w:val="24"/>
          <w:szCs w:val="24"/>
        </w:rPr>
        <w:tab/>
        <w:t xml:space="preserve">In </w:t>
      </w:r>
      <w:r>
        <w:rPr>
          <w:rFonts w:ascii="CG Times" w:eastAsia="SimSun" w:hAnsi="CG Times" w:cs="Times New Roman"/>
          <w:i/>
          <w:iCs/>
          <w:sz w:val="24"/>
          <w:szCs w:val="24"/>
        </w:rPr>
        <w:t>Feingold</w:t>
      </w:r>
      <w:r>
        <w:rPr>
          <w:rFonts w:ascii="CG Times" w:eastAsia="SimSun" w:hAnsi="CG Times" w:cs="Times New Roman"/>
          <w:sz w:val="24"/>
          <w:szCs w:val="24"/>
        </w:rPr>
        <w:t>, the Pennsylvania Supreme Court explained:</w:t>
      </w:r>
    </w:p>
    <w:p w14:paraId="2EA08170" w14:textId="5E928059" w:rsidR="005401CD" w:rsidRDefault="005401CD" w:rsidP="00C726AA">
      <w:pPr>
        <w:autoSpaceDE w:val="0"/>
        <w:autoSpaceDN w:val="0"/>
        <w:spacing w:after="0" w:line="360" w:lineRule="auto"/>
        <w:rPr>
          <w:rFonts w:ascii="CG Times" w:eastAsia="SimSun" w:hAnsi="CG Times" w:cs="Times New Roman"/>
          <w:sz w:val="24"/>
          <w:szCs w:val="24"/>
        </w:rPr>
      </w:pPr>
    </w:p>
    <w:p w14:paraId="3552CE4B" w14:textId="68462C0D" w:rsidR="005401CD" w:rsidRPr="00E67012" w:rsidRDefault="005401CD" w:rsidP="00E67012">
      <w:pPr>
        <w:autoSpaceDE w:val="0"/>
        <w:autoSpaceDN w:val="0"/>
        <w:spacing w:after="0" w:line="240" w:lineRule="auto"/>
        <w:ind w:left="1440" w:right="14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67012">
        <w:rPr>
          <w:rFonts w:ascii="Times New Roman" w:eastAsia="SimSun" w:hAnsi="Times New Roman" w:cs="Times New Roman"/>
          <w:sz w:val="24"/>
          <w:szCs w:val="24"/>
        </w:rPr>
        <w:t xml:space="preserve">…the statutory array of PUC remedial and enforcement powers   does not include the power to award damages to a private litigant for breach of contract by a public utility.  Nor can we find an express grant of power from which the power to award damages </w:t>
      </w:r>
      <w:r w:rsidR="00E67012" w:rsidRPr="00E67012">
        <w:rPr>
          <w:rFonts w:ascii="Times New Roman" w:eastAsia="SimSun" w:hAnsi="Times New Roman" w:cs="Times New Roman"/>
          <w:sz w:val="24"/>
          <w:szCs w:val="24"/>
        </w:rPr>
        <w:t xml:space="preserve">can be </w:t>
      </w:r>
      <w:proofErr w:type="gramStart"/>
      <w:r w:rsidR="00E67012" w:rsidRPr="00E67012">
        <w:rPr>
          <w:rFonts w:ascii="Times New Roman" w:eastAsia="SimSun" w:hAnsi="Times New Roman" w:cs="Times New Roman"/>
          <w:sz w:val="24"/>
          <w:szCs w:val="24"/>
        </w:rPr>
        <w:t>fairly implied</w:t>
      </w:r>
      <w:proofErr w:type="gramEnd"/>
      <w:r w:rsidR="00E67012" w:rsidRPr="00E67012">
        <w:rPr>
          <w:rFonts w:ascii="Times New Roman" w:eastAsia="SimSun" w:hAnsi="Times New Roman" w:cs="Times New Roman"/>
          <w:sz w:val="24"/>
          <w:szCs w:val="24"/>
        </w:rPr>
        <w:t>.  Thus, it can be concluded that the Legislature did not intend for the PUC to have such a power.</w:t>
      </w:r>
      <w:r w:rsidR="00E67012">
        <w:rPr>
          <w:rStyle w:val="FootnoteReference"/>
          <w:rFonts w:ascii="Times New Roman" w:eastAsia="SimSun" w:hAnsi="Times New Roman" w:cs="Times New Roman"/>
          <w:sz w:val="24"/>
          <w:szCs w:val="24"/>
        </w:rPr>
        <w:footnoteReference w:id="8"/>
      </w:r>
    </w:p>
    <w:p w14:paraId="1321AF44" w14:textId="0E4D789B" w:rsidR="00E67012" w:rsidRDefault="00E67012" w:rsidP="00E67012">
      <w:pPr>
        <w:autoSpaceDE w:val="0"/>
        <w:autoSpaceDN w:val="0"/>
        <w:spacing w:after="0" w:line="360" w:lineRule="auto"/>
        <w:ind w:right="1440"/>
        <w:rPr>
          <w:rFonts w:ascii="CG Times" w:eastAsia="SimSun" w:hAnsi="CG Times" w:cs="Times New Roman"/>
          <w:sz w:val="24"/>
          <w:szCs w:val="24"/>
        </w:rPr>
      </w:pPr>
    </w:p>
    <w:p w14:paraId="4D188EED" w14:textId="66C536CE" w:rsidR="00E67012" w:rsidRDefault="00E67012" w:rsidP="00B02795">
      <w:pPr>
        <w:autoSpaceDE w:val="0"/>
        <w:autoSpaceDN w:val="0"/>
        <w:spacing w:after="0" w:line="360" w:lineRule="auto"/>
        <w:rPr>
          <w:rFonts w:ascii="CG Times" w:eastAsia="SimSun" w:hAnsi="CG Times" w:cs="Times New Roman"/>
          <w:sz w:val="24"/>
          <w:szCs w:val="24"/>
        </w:rPr>
      </w:pPr>
      <w:r>
        <w:rPr>
          <w:rFonts w:ascii="CG Times" w:eastAsia="SimSun" w:hAnsi="CG Times" w:cs="Times New Roman"/>
          <w:sz w:val="24"/>
          <w:szCs w:val="24"/>
        </w:rPr>
        <w:tab/>
      </w:r>
      <w:r>
        <w:rPr>
          <w:rFonts w:ascii="CG Times" w:eastAsia="SimSun" w:hAnsi="CG Times" w:cs="Times New Roman"/>
          <w:sz w:val="24"/>
          <w:szCs w:val="24"/>
        </w:rPr>
        <w:tab/>
      </w:r>
      <w:r w:rsidR="00E31F43">
        <w:rPr>
          <w:rFonts w:ascii="CG Times" w:eastAsia="SimSun" w:hAnsi="CG Times" w:cs="Times New Roman"/>
          <w:sz w:val="24"/>
          <w:szCs w:val="24"/>
        </w:rPr>
        <w:t xml:space="preserve">Therefore, DLC’s Preliminary Objection is </w:t>
      </w:r>
      <w:r w:rsidR="00DE11FD">
        <w:rPr>
          <w:rFonts w:ascii="CG Times" w:eastAsia="SimSun" w:hAnsi="CG Times" w:cs="Times New Roman"/>
          <w:sz w:val="24"/>
          <w:szCs w:val="24"/>
        </w:rPr>
        <w:t>granted, and the request for monetary damages is stricken from the Complaint.</w:t>
      </w:r>
      <w:r w:rsidR="009B7D15">
        <w:rPr>
          <w:rFonts w:ascii="CG Times" w:eastAsia="SimSun" w:hAnsi="CG Times" w:cs="Times New Roman"/>
          <w:sz w:val="24"/>
          <w:szCs w:val="24"/>
        </w:rPr>
        <w:t xml:space="preserve">  However, the </w:t>
      </w:r>
      <w:r w:rsidR="0007521F">
        <w:rPr>
          <w:rFonts w:ascii="CG Times" w:eastAsia="SimSun" w:hAnsi="CG Times" w:cs="Times New Roman"/>
          <w:sz w:val="24"/>
          <w:szCs w:val="24"/>
        </w:rPr>
        <w:t>allegation that DLC failed to provide reasonable service as require</w:t>
      </w:r>
      <w:r w:rsidR="00B02795">
        <w:rPr>
          <w:rFonts w:ascii="CG Times" w:eastAsia="SimSun" w:hAnsi="CG Times" w:cs="Times New Roman"/>
          <w:sz w:val="24"/>
          <w:szCs w:val="24"/>
        </w:rPr>
        <w:t>d</w:t>
      </w:r>
      <w:r w:rsidR="0007521F">
        <w:rPr>
          <w:rFonts w:ascii="CG Times" w:eastAsia="SimSun" w:hAnsi="CG Times" w:cs="Times New Roman"/>
          <w:sz w:val="24"/>
          <w:szCs w:val="24"/>
        </w:rPr>
        <w:t xml:space="preserve"> by </w:t>
      </w:r>
      <w:r w:rsidR="00C466D2">
        <w:rPr>
          <w:rFonts w:ascii="CG Times" w:eastAsia="SimSun" w:hAnsi="CG Times" w:cs="Times New Roman"/>
          <w:sz w:val="24"/>
          <w:szCs w:val="24"/>
        </w:rPr>
        <w:t xml:space="preserve">66 Pa. C.S </w:t>
      </w:r>
      <w:r w:rsidR="00C466D2">
        <w:rPr>
          <w:rFonts w:ascii="Times New Roman" w:eastAsia="SimSun" w:hAnsi="Times New Roman" w:cs="Times New Roman"/>
          <w:sz w:val="24"/>
          <w:szCs w:val="24"/>
        </w:rPr>
        <w:t>§ 1501 remains</w:t>
      </w:r>
      <w:r w:rsidR="00B6282C">
        <w:rPr>
          <w:rFonts w:ascii="Times New Roman" w:eastAsia="SimSun" w:hAnsi="Times New Roman" w:cs="Times New Roman"/>
          <w:sz w:val="24"/>
          <w:szCs w:val="24"/>
        </w:rPr>
        <w:t>, and the Complaint is transferred to the OALJ’s Mediation Unit</w:t>
      </w:r>
      <w:r w:rsidR="00B02795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382DD2E7" w14:textId="5100C308" w:rsidR="0047729A" w:rsidRDefault="0047729A" w:rsidP="00E67012">
      <w:pPr>
        <w:autoSpaceDE w:val="0"/>
        <w:autoSpaceDN w:val="0"/>
        <w:spacing w:after="0" w:line="360" w:lineRule="auto"/>
        <w:ind w:right="1440"/>
        <w:rPr>
          <w:rFonts w:ascii="CG Times" w:eastAsia="SimSun" w:hAnsi="CG Times" w:cs="Times New Roman"/>
          <w:sz w:val="24"/>
          <w:szCs w:val="24"/>
        </w:rPr>
      </w:pPr>
    </w:p>
    <w:p w14:paraId="4D053851" w14:textId="77777777" w:rsidR="00C2635B" w:rsidRDefault="0047729A" w:rsidP="00E67012">
      <w:pPr>
        <w:autoSpaceDE w:val="0"/>
        <w:autoSpaceDN w:val="0"/>
        <w:spacing w:after="0" w:line="360" w:lineRule="auto"/>
        <w:ind w:right="1440"/>
        <w:rPr>
          <w:rFonts w:ascii="CG Times" w:eastAsia="SimSun" w:hAnsi="CG Times" w:cs="Times New Roman"/>
          <w:sz w:val="24"/>
          <w:szCs w:val="24"/>
        </w:rPr>
      </w:pPr>
      <w:r>
        <w:rPr>
          <w:rFonts w:ascii="CG Times" w:eastAsia="SimSun" w:hAnsi="CG Times" w:cs="Times New Roman"/>
          <w:sz w:val="24"/>
          <w:szCs w:val="24"/>
        </w:rPr>
        <w:tab/>
      </w:r>
      <w:r>
        <w:rPr>
          <w:rFonts w:ascii="CG Times" w:eastAsia="SimSun" w:hAnsi="CG Times" w:cs="Times New Roman"/>
          <w:sz w:val="24"/>
          <w:szCs w:val="24"/>
        </w:rPr>
        <w:tab/>
      </w:r>
    </w:p>
    <w:p w14:paraId="2546DEF4" w14:textId="4401A530" w:rsidR="0047729A" w:rsidRDefault="00C2635B" w:rsidP="00E67012">
      <w:pPr>
        <w:autoSpaceDE w:val="0"/>
        <w:autoSpaceDN w:val="0"/>
        <w:spacing w:after="0" w:line="360" w:lineRule="auto"/>
        <w:ind w:right="1440"/>
        <w:rPr>
          <w:rFonts w:ascii="CG Times" w:eastAsia="SimSun" w:hAnsi="CG Times" w:cs="Times New Roman"/>
          <w:sz w:val="24"/>
          <w:szCs w:val="24"/>
        </w:rPr>
      </w:pPr>
      <w:r>
        <w:rPr>
          <w:rFonts w:ascii="CG Times" w:eastAsia="SimSun" w:hAnsi="CG Times" w:cs="Times New Roman"/>
          <w:sz w:val="24"/>
          <w:szCs w:val="24"/>
        </w:rPr>
        <w:tab/>
      </w:r>
      <w:r>
        <w:rPr>
          <w:rFonts w:ascii="CG Times" w:eastAsia="SimSun" w:hAnsi="CG Times" w:cs="Times New Roman"/>
          <w:sz w:val="24"/>
          <w:szCs w:val="24"/>
        </w:rPr>
        <w:tab/>
      </w:r>
      <w:r w:rsidR="0047729A">
        <w:rPr>
          <w:rFonts w:ascii="CG Times" w:eastAsia="SimSun" w:hAnsi="CG Times" w:cs="Times New Roman"/>
          <w:sz w:val="24"/>
          <w:szCs w:val="24"/>
        </w:rPr>
        <w:t xml:space="preserve">THEREFORE, </w:t>
      </w:r>
    </w:p>
    <w:p w14:paraId="18ADE4EF" w14:textId="623463B0" w:rsidR="0047729A" w:rsidRDefault="0047729A" w:rsidP="00E67012">
      <w:pPr>
        <w:autoSpaceDE w:val="0"/>
        <w:autoSpaceDN w:val="0"/>
        <w:spacing w:after="0" w:line="360" w:lineRule="auto"/>
        <w:ind w:right="1440"/>
        <w:rPr>
          <w:rFonts w:ascii="CG Times" w:eastAsia="SimSun" w:hAnsi="CG Times" w:cs="Times New Roman"/>
          <w:sz w:val="24"/>
          <w:szCs w:val="24"/>
        </w:rPr>
      </w:pPr>
    </w:p>
    <w:p w14:paraId="0EE13FFE" w14:textId="1ACEBC36" w:rsidR="0047729A" w:rsidRDefault="0047729A" w:rsidP="00E67012">
      <w:pPr>
        <w:autoSpaceDE w:val="0"/>
        <w:autoSpaceDN w:val="0"/>
        <w:spacing w:after="0" w:line="360" w:lineRule="auto"/>
        <w:ind w:right="1440"/>
        <w:rPr>
          <w:rFonts w:ascii="CG Times" w:eastAsia="SimSun" w:hAnsi="CG Times" w:cs="Times New Roman"/>
          <w:sz w:val="24"/>
          <w:szCs w:val="24"/>
        </w:rPr>
      </w:pPr>
      <w:r>
        <w:rPr>
          <w:rFonts w:ascii="CG Times" w:eastAsia="SimSun" w:hAnsi="CG Times" w:cs="Times New Roman"/>
          <w:sz w:val="24"/>
          <w:szCs w:val="24"/>
        </w:rPr>
        <w:tab/>
      </w:r>
      <w:r>
        <w:rPr>
          <w:rFonts w:ascii="CG Times" w:eastAsia="SimSun" w:hAnsi="CG Times" w:cs="Times New Roman"/>
          <w:sz w:val="24"/>
          <w:szCs w:val="24"/>
        </w:rPr>
        <w:tab/>
        <w:t>IT IS ORDERED:</w:t>
      </w:r>
    </w:p>
    <w:p w14:paraId="2C3A6CE0" w14:textId="586F86EB" w:rsidR="0047729A" w:rsidRDefault="0047729A" w:rsidP="00E67012">
      <w:pPr>
        <w:autoSpaceDE w:val="0"/>
        <w:autoSpaceDN w:val="0"/>
        <w:spacing w:after="0" w:line="360" w:lineRule="auto"/>
        <w:ind w:right="1440"/>
        <w:rPr>
          <w:rFonts w:ascii="CG Times" w:eastAsia="SimSun" w:hAnsi="CG Times" w:cs="Times New Roman"/>
          <w:sz w:val="24"/>
          <w:szCs w:val="24"/>
        </w:rPr>
      </w:pPr>
    </w:p>
    <w:p w14:paraId="1FDCC5D6" w14:textId="59E6911C" w:rsidR="00773689" w:rsidRDefault="0047729A" w:rsidP="00B02795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G Times" w:eastAsia="SimSun" w:hAnsi="CG Times" w:cs="Times New Roman"/>
          <w:sz w:val="24"/>
          <w:szCs w:val="24"/>
        </w:rPr>
        <w:tab/>
      </w:r>
      <w:r>
        <w:rPr>
          <w:rFonts w:ascii="CG Times" w:eastAsia="SimSun" w:hAnsi="CG Times" w:cs="Times New Roman"/>
          <w:sz w:val="24"/>
          <w:szCs w:val="24"/>
        </w:rPr>
        <w:tab/>
        <w:t xml:space="preserve">1. </w:t>
      </w:r>
      <w:r>
        <w:rPr>
          <w:rFonts w:ascii="CG Times" w:eastAsia="SimSun" w:hAnsi="CG Times" w:cs="Times New Roman"/>
          <w:sz w:val="24"/>
          <w:szCs w:val="24"/>
        </w:rPr>
        <w:tab/>
        <w:t xml:space="preserve">The </w:t>
      </w:r>
      <w:r w:rsidR="00D43733">
        <w:rPr>
          <w:rFonts w:ascii="CG Times" w:eastAsia="SimSun" w:hAnsi="CG Times" w:cs="Times New Roman"/>
          <w:sz w:val="24"/>
          <w:szCs w:val="24"/>
        </w:rPr>
        <w:t xml:space="preserve">Preliminary Objection filed by </w:t>
      </w:r>
      <w:r w:rsidR="00B02795">
        <w:rPr>
          <w:rFonts w:ascii="CG Times" w:eastAsia="SimSun" w:hAnsi="CG Times" w:cs="Times New Roman"/>
          <w:sz w:val="24"/>
          <w:szCs w:val="24"/>
        </w:rPr>
        <w:t>Duquesne Light Company</w:t>
      </w:r>
      <w:r w:rsidR="00D43733">
        <w:rPr>
          <w:rFonts w:ascii="CG Times" w:eastAsia="SimSun" w:hAnsi="CG Times" w:cs="Times New Roman"/>
          <w:sz w:val="24"/>
          <w:szCs w:val="24"/>
        </w:rPr>
        <w:t xml:space="preserve"> agains</w:t>
      </w:r>
      <w:r w:rsidR="00773689">
        <w:rPr>
          <w:rFonts w:ascii="CG Times" w:eastAsia="SimSun" w:hAnsi="CG Times" w:cs="Times New Roman"/>
          <w:sz w:val="24"/>
          <w:szCs w:val="24"/>
        </w:rPr>
        <w:t xml:space="preserve">t the </w:t>
      </w:r>
      <w:r>
        <w:rPr>
          <w:rFonts w:ascii="CG Times" w:eastAsia="SimSun" w:hAnsi="CG Times" w:cs="Times New Roman"/>
          <w:sz w:val="24"/>
          <w:szCs w:val="24"/>
        </w:rPr>
        <w:t xml:space="preserve">Formal Complaint filed by </w:t>
      </w:r>
      <w:r w:rsidR="00B02795">
        <w:rPr>
          <w:rFonts w:ascii="CG Times" w:eastAsia="SimSun" w:hAnsi="CG Times" w:cs="Times New Roman"/>
          <w:sz w:val="24"/>
          <w:szCs w:val="24"/>
        </w:rPr>
        <w:t>Cheryl Kreider</w:t>
      </w:r>
      <w:r w:rsidR="00773689">
        <w:rPr>
          <w:rFonts w:ascii="CG Times" w:eastAsia="SimSun" w:hAnsi="CG Times" w:cs="Times New Roman"/>
          <w:sz w:val="24"/>
          <w:szCs w:val="24"/>
        </w:rPr>
        <w:t xml:space="preserve"> at Docket Number </w:t>
      </w:r>
      <w:r w:rsidR="00B02795" w:rsidRPr="002E61AB">
        <w:rPr>
          <w:rFonts w:ascii="Times New Roman" w:eastAsia="Times New Roman" w:hAnsi="Times New Roman" w:cs="Times New Roman"/>
          <w:sz w:val="24"/>
          <w:szCs w:val="24"/>
        </w:rPr>
        <w:t>C-</w:t>
      </w:r>
      <w:r w:rsidR="00B02795">
        <w:rPr>
          <w:rFonts w:ascii="Times New Roman" w:eastAsia="Times New Roman" w:hAnsi="Times New Roman" w:cs="Times New Roman"/>
          <w:sz w:val="24"/>
          <w:szCs w:val="24"/>
        </w:rPr>
        <w:t xml:space="preserve">2023-3043450 </w:t>
      </w:r>
      <w:r w:rsidR="001A6678">
        <w:rPr>
          <w:rFonts w:ascii="Times New Roman" w:eastAsia="Times New Roman" w:hAnsi="Times New Roman" w:cs="Times New Roman"/>
          <w:sz w:val="24"/>
          <w:szCs w:val="24"/>
        </w:rPr>
        <w:t xml:space="preserve">shall be </w:t>
      </w:r>
      <w:r w:rsidR="00B02795">
        <w:rPr>
          <w:rFonts w:ascii="Times New Roman" w:eastAsia="Times New Roman" w:hAnsi="Times New Roman" w:cs="Times New Roman"/>
          <w:sz w:val="24"/>
          <w:szCs w:val="24"/>
        </w:rPr>
        <w:t>granted</w:t>
      </w:r>
      <w:r w:rsidR="001A667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49BF7A7" w14:textId="6E8C21E6" w:rsidR="00863AD8" w:rsidRDefault="00863AD8" w:rsidP="00773689">
      <w:pPr>
        <w:autoSpaceDE w:val="0"/>
        <w:autoSpaceDN w:val="0"/>
        <w:spacing w:after="0" w:line="360" w:lineRule="auto"/>
        <w:ind w:right="1440"/>
        <w:rPr>
          <w:rFonts w:ascii="Times New Roman" w:eastAsia="Times New Roman" w:hAnsi="Times New Roman" w:cs="Times New Roman"/>
          <w:sz w:val="24"/>
          <w:szCs w:val="24"/>
        </w:rPr>
      </w:pPr>
    </w:p>
    <w:p w14:paraId="0A94B18F" w14:textId="48AA2978" w:rsidR="00F53BD4" w:rsidRDefault="00863AD8" w:rsidP="00FC4F7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="00BF491D">
        <w:rPr>
          <w:rFonts w:ascii="Times New Roman" w:eastAsia="Times New Roman" w:hAnsi="Times New Roman" w:cs="Times New Roman"/>
          <w:sz w:val="24"/>
          <w:szCs w:val="24"/>
        </w:rPr>
        <w:tab/>
        <w:t xml:space="preserve">The </w:t>
      </w:r>
      <w:r w:rsidR="00F53BD4">
        <w:rPr>
          <w:rFonts w:ascii="Times New Roman" w:eastAsia="Times New Roman" w:hAnsi="Times New Roman" w:cs="Times New Roman"/>
          <w:sz w:val="24"/>
          <w:szCs w:val="24"/>
        </w:rPr>
        <w:t xml:space="preserve">request for monetary compensation in the Formal Complaint filed by </w:t>
      </w:r>
      <w:r w:rsidR="00FC4F7B">
        <w:rPr>
          <w:rFonts w:ascii="Times New Roman" w:eastAsia="Times New Roman" w:hAnsi="Times New Roman" w:cs="Times New Roman"/>
          <w:sz w:val="24"/>
          <w:szCs w:val="24"/>
        </w:rPr>
        <w:t>Cheryl Kreider</w:t>
      </w:r>
      <w:r w:rsidR="00F53BD4">
        <w:rPr>
          <w:rFonts w:ascii="Times New Roman" w:eastAsia="Times New Roman" w:hAnsi="Times New Roman" w:cs="Times New Roman"/>
          <w:sz w:val="24"/>
          <w:szCs w:val="24"/>
        </w:rPr>
        <w:t xml:space="preserve"> at Docket Number </w:t>
      </w:r>
      <w:r w:rsidR="00FC4F7B" w:rsidRPr="002E61AB">
        <w:rPr>
          <w:rFonts w:ascii="Times New Roman" w:eastAsia="Times New Roman" w:hAnsi="Times New Roman" w:cs="Times New Roman"/>
          <w:sz w:val="24"/>
          <w:szCs w:val="24"/>
        </w:rPr>
        <w:t>C-</w:t>
      </w:r>
      <w:r w:rsidR="00FC4F7B">
        <w:rPr>
          <w:rFonts w:ascii="Times New Roman" w:eastAsia="Times New Roman" w:hAnsi="Times New Roman" w:cs="Times New Roman"/>
          <w:sz w:val="24"/>
          <w:szCs w:val="24"/>
        </w:rPr>
        <w:t>2023-3043450 is</w:t>
      </w:r>
      <w:r w:rsidR="00F53BD4">
        <w:rPr>
          <w:rFonts w:ascii="Times New Roman" w:eastAsia="Times New Roman" w:hAnsi="Times New Roman" w:cs="Times New Roman"/>
          <w:sz w:val="24"/>
          <w:szCs w:val="24"/>
        </w:rPr>
        <w:t xml:space="preserve"> hereby stricken from the Complaint. </w:t>
      </w:r>
    </w:p>
    <w:p w14:paraId="2B650251" w14:textId="77777777" w:rsidR="00F53BD4" w:rsidRDefault="00F53BD4" w:rsidP="00863AD8">
      <w:pPr>
        <w:autoSpaceDE w:val="0"/>
        <w:autoSpaceDN w:val="0"/>
        <w:spacing w:after="0" w:line="360" w:lineRule="auto"/>
        <w:ind w:right="1440"/>
        <w:rPr>
          <w:rFonts w:ascii="Times New Roman" w:eastAsia="Times New Roman" w:hAnsi="Times New Roman" w:cs="Times New Roman"/>
          <w:sz w:val="24"/>
          <w:szCs w:val="24"/>
        </w:rPr>
      </w:pPr>
    </w:p>
    <w:p w14:paraId="1F5B3FCB" w14:textId="3A969CE3" w:rsidR="00BF491D" w:rsidRDefault="00F53BD4" w:rsidP="00FC4F7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F491D">
        <w:rPr>
          <w:rFonts w:ascii="Times New Roman" w:eastAsia="Times New Roman" w:hAnsi="Times New Roman" w:cs="Times New Roman"/>
          <w:sz w:val="24"/>
          <w:szCs w:val="24"/>
        </w:rPr>
        <w:t xml:space="preserve">Formal Complaint filed by </w:t>
      </w:r>
      <w:r w:rsidR="00FC4F7B">
        <w:rPr>
          <w:rFonts w:ascii="Times New Roman" w:eastAsia="Times New Roman" w:hAnsi="Times New Roman" w:cs="Times New Roman"/>
          <w:sz w:val="24"/>
          <w:szCs w:val="24"/>
        </w:rPr>
        <w:t>Cheryl Kreider</w:t>
      </w:r>
      <w:r w:rsidR="00BF491D">
        <w:rPr>
          <w:rFonts w:ascii="Times New Roman" w:eastAsia="Times New Roman" w:hAnsi="Times New Roman" w:cs="Times New Roman"/>
          <w:sz w:val="24"/>
          <w:szCs w:val="24"/>
        </w:rPr>
        <w:t xml:space="preserve"> against </w:t>
      </w:r>
      <w:r w:rsidR="00FC4F7B">
        <w:rPr>
          <w:rFonts w:ascii="Times New Roman" w:eastAsia="Times New Roman" w:hAnsi="Times New Roman" w:cs="Times New Roman"/>
          <w:sz w:val="24"/>
          <w:szCs w:val="24"/>
        </w:rPr>
        <w:t>Duquesne Light</w:t>
      </w:r>
      <w:r w:rsidR="00897E12">
        <w:rPr>
          <w:rFonts w:ascii="Times New Roman" w:eastAsia="Times New Roman" w:hAnsi="Times New Roman" w:cs="Times New Roman"/>
          <w:sz w:val="24"/>
          <w:szCs w:val="24"/>
        </w:rPr>
        <w:t xml:space="preserve"> Company at Docket Number </w:t>
      </w:r>
      <w:r w:rsidR="00350E0C" w:rsidRPr="002E61AB">
        <w:rPr>
          <w:rFonts w:ascii="Times New Roman" w:eastAsia="Times New Roman" w:hAnsi="Times New Roman" w:cs="Times New Roman"/>
          <w:sz w:val="24"/>
          <w:szCs w:val="24"/>
        </w:rPr>
        <w:t>C-</w:t>
      </w:r>
      <w:r w:rsidR="00350E0C">
        <w:rPr>
          <w:rFonts w:ascii="Times New Roman" w:eastAsia="Times New Roman" w:hAnsi="Times New Roman" w:cs="Times New Roman"/>
          <w:sz w:val="24"/>
          <w:szCs w:val="24"/>
        </w:rPr>
        <w:t xml:space="preserve">2023-3043450 </w:t>
      </w:r>
      <w:r w:rsidR="00932D61">
        <w:rPr>
          <w:rFonts w:ascii="Times New Roman" w:eastAsia="Times New Roman" w:hAnsi="Times New Roman" w:cs="Times New Roman"/>
          <w:sz w:val="24"/>
          <w:szCs w:val="24"/>
        </w:rPr>
        <w:t xml:space="preserve">shall be </w:t>
      </w:r>
      <w:r w:rsidR="00350E0C">
        <w:rPr>
          <w:rFonts w:ascii="Times New Roman" w:eastAsia="Times New Roman" w:hAnsi="Times New Roman" w:cs="Times New Roman"/>
          <w:sz w:val="24"/>
          <w:szCs w:val="24"/>
        </w:rPr>
        <w:t>transferred</w:t>
      </w:r>
      <w:r w:rsidR="00932D61">
        <w:rPr>
          <w:rFonts w:ascii="Times New Roman" w:eastAsia="Times New Roman" w:hAnsi="Times New Roman" w:cs="Times New Roman"/>
          <w:sz w:val="24"/>
          <w:szCs w:val="24"/>
        </w:rPr>
        <w:t xml:space="preserve"> to the Mediation Unit of the Pennsylvania Public Utility Commission’s Office of the Administrative Law Judge for further proceedings not inconsistent with this Order. </w:t>
      </w:r>
    </w:p>
    <w:p w14:paraId="620FE3E7" w14:textId="77777777" w:rsidR="00FC4F7B" w:rsidRPr="00A9731F" w:rsidRDefault="00FC4F7B" w:rsidP="00FC4F7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AB929" w14:textId="17FC069E" w:rsidR="00F51635" w:rsidRPr="00F51635" w:rsidRDefault="00350E0C" w:rsidP="00F5163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u w:val="single"/>
        </w:rPr>
        <w:t>December 5, 2023</w:t>
      </w:r>
      <w:r w:rsidR="00F51635" w:rsidRPr="00F51635">
        <w:rPr>
          <w:rFonts w:ascii="Times New Roman" w:hAnsi="Times New Roman" w:cs="Times New Roman"/>
          <w:spacing w:val="-3"/>
        </w:rPr>
        <w:tab/>
      </w:r>
      <w:r w:rsidR="00F51635" w:rsidRPr="00F51635">
        <w:rPr>
          <w:rFonts w:ascii="Times New Roman" w:hAnsi="Times New Roman" w:cs="Times New Roman"/>
          <w:spacing w:val="-3"/>
          <w:u w:val="single"/>
        </w:rPr>
        <w:tab/>
      </w:r>
      <w:r w:rsidR="00F51635" w:rsidRPr="00F51635">
        <w:rPr>
          <w:rFonts w:ascii="Times New Roman" w:hAnsi="Times New Roman" w:cs="Times New Roman"/>
          <w:spacing w:val="-3"/>
          <w:u w:val="single"/>
        </w:rPr>
        <w:tab/>
        <w:t>/s/</w:t>
      </w:r>
      <w:r w:rsidR="00F51635" w:rsidRPr="00F51635">
        <w:rPr>
          <w:rFonts w:ascii="Times New Roman" w:hAnsi="Times New Roman" w:cs="Times New Roman"/>
          <w:spacing w:val="-3"/>
          <w:u w:val="single"/>
        </w:rPr>
        <w:tab/>
      </w:r>
      <w:r w:rsidR="00F51635" w:rsidRPr="00F51635">
        <w:rPr>
          <w:rFonts w:ascii="Times New Roman" w:hAnsi="Times New Roman" w:cs="Times New Roman"/>
          <w:spacing w:val="-3"/>
          <w:u w:val="single"/>
        </w:rPr>
        <w:tab/>
      </w:r>
      <w:r w:rsidR="00F51635" w:rsidRPr="00F51635">
        <w:rPr>
          <w:rFonts w:ascii="Times New Roman" w:hAnsi="Times New Roman" w:cs="Times New Roman"/>
          <w:spacing w:val="-3"/>
          <w:u w:val="single"/>
        </w:rPr>
        <w:tab/>
      </w:r>
    </w:p>
    <w:p w14:paraId="233E2460" w14:textId="77777777" w:rsidR="00F51635" w:rsidRPr="00F51635" w:rsidRDefault="00F51635" w:rsidP="00F51635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635">
        <w:rPr>
          <w:rFonts w:ascii="Times New Roman" w:hAnsi="Times New Roman" w:cs="Times New Roman"/>
          <w:spacing w:val="-3"/>
          <w:sz w:val="24"/>
          <w:szCs w:val="24"/>
        </w:rPr>
        <w:t xml:space="preserve">Date </w:t>
      </w:r>
      <w:r w:rsidRPr="00F516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516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516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516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516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516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5163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F51635">
        <w:rPr>
          <w:rFonts w:ascii="Times New Roman" w:hAnsi="Times New Roman" w:cs="Times New Roman"/>
          <w:sz w:val="24"/>
          <w:szCs w:val="24"/>
        </w:rPr>
        <w:t>Emily I. DeVoe</w:t>
      </w:r>
    </w:p>
    <w:p w14:paraId="4D8CC446" w14:textId="699523D9" w:rsidR="00C23613" w:rsidRPr="00A9731F" w:rsidRDefault="00F51635" w:rsidP="0016783D">
      <w:pPr>
        <w:widowControl w:val="0"/>
        <w:tabs>
          <w:tab w:val="left" w:pos="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1635">
        <w:rPr>
          <w:rFonts w:ascii="Times New Roman" w:hAnsi="Times New Roman" w:cs="Times New Roman"/>
          <w:sz w:val="24"/>
          <w:szCs w:val="24"/>
        </w:rPr>
        <w:tab/>
      </w:r>
      <w:r w:rsidRPr="00F51635">
        <w:rPr>
          <w:rFonts w:ascii="Times New Roman" w:hAnsi="Times New Roman" w:cs="Times New Roman"/>
          <w:sz w:val="24"/>
          <w:szCs w:val="24"/>
        </w:rPr>
        <w:tab/>
      </w:r>
      <w:r w:rsidRPr="00F51635">
        <w:rPr>
          <w:rFonts w:ascii="Times New Roman" w:hAnsi="Times New Roman" w:cs="Times New Roman"/>
          <w:sz w:val="24"/>
          <w:szCs w:val="24"/>
        </w:rPr>
        <w:tab/>
      </w:r>
      <w:r w:rsidRPr="00F51635">
        <w:rPr>
          <w:rFonts w:ascii="Times New Roman" w:hAnsi="Times New Roman" w:cs="Times New Roman"/>
          <w:sz w:val="24"/>
          <w:szCs w:val="24"/>
        </w:rPr>
        <w:tab/>
      </w:r>
      <w:r w:rsidRPr="00F51635">
        <w:rPr>
          <w:rFonts w:ascii="Times New Roman" w:hAnsi="Times New Roman" w:cs="Times New Roman"/>
          <w:sz w:val="24"/>
          <w:szCs w:val="24"/>
        </w:rPr>
        <w:tab/>
      </w:r>
      <w:r w:rsidRPr="00F51635">
        <w:rPr>
          <w:rFonts w:ascii="Times New Roman" w:hAnsi="Times New Roman" w:cs="Times New Roman"/>
          <w:sz w:val="24"/>
          <w:szCs w:val="24"/>
        </w:rPr>
        <w:tab/>
      </w:r>
      <w:r w:rsidRPr="00F51635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2C529144" w14:textId="77777777" w:rsidR="00C23613" w:rsidRDefault="00C23613" w:rsidP="00C2361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6AB71F3" w14:textId="77777777" w:rsidR="001908D7" w:rsidRDefault="001908D7" w:rsidP="00C2361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15B9153" w14:textId="77777777" w:rsidR="001908D7" w:rsidRDefault="001908D7" w:rsidP="001908D7">
      <w:pPr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sectPr w:rsidR="001908D7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FA4584" w14:textId="77777777" w:rsidR="001908D7" w:rsidRPr="001908D7" w:rsidRDefault="001908D7" w:rsidP="001908D7">
      <w:pPr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</w:pPr>
      <w:r w:rsidRPr="001908D7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lastRenderedPageBreak/>
        <w:t>C-2023-3043450 - CHERYL KREIDER v. DUQUESNE LIGHT COMPANY</w:t>
      </w:r>
      <w:r w:rsidRPr="001908D7">
        <w:rPr>
          <w:rFonts w:ascii="Microsoft Sans Serif" w:eastAsia="Microsoft Sans Serif" w:hAnsi="Microsoft Sans Serif" w:cs="Microsoft Sans Serif"/>
          <w:b/>
          <w:kern w:val="2"/>
          <w:sz w:val="24"/>
          <w:u w:val="single"/>
          <w14:ligatures w14:val="standardContextual"/>
        </w:rPr>
        <w:cr/>
      </w: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CHERYL KREIDER</w:t>
      </w: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6 NATIONAL DRIVE</w:t>
      </w: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PITTSBURGH PA  15236</w:t>
      </w: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1908D7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412.680.3441</w:t>
      </w:r>
      <w:r w:rsidRPr="001908D7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cr/>
      </w: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bkreider28@yahoo.com</w:t>
      </w: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 xml:space="preserve">Accepts </w:t>
      </w:r>
      <w:proofErr w:type="gramStart"/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eService</w:t>
      </w:r>
      <w:proofErr w:type="gramEnd"/>
    </w:p>
    <w:p w14:paraId="0849C1B5" w14:textId="77777777" w:rsidR="001908D7" w:rsidRPr="001908D7" w:rsidRDefault="001908D7" w:rsidP="001908D7">
      <w:pPr>
        <w:rPr>
          <w:rFonts w:eastAsiaTheme="minorEastAsia"/>
          <w:kern w:val="2"/>
          <w14:ligatures w14:val="standardContextual"/>
        </w:rPr>
      </w:pP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EMILY M FARAH COUNSEL</w:t>
      </w: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DUQUESNE LIGHT COMPANY</w:t>
      </w: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411 SEVENTH AVENUE</w:t>
      </w: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>PITTSBURGH PA  15219</w:t>
      </w: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</w:r>
      <w:r w:rsidRPr="001908D7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t>412.393.6431</w:t>
      </w:r>
      <w:r w:rsidRPr="001908D7">
        <w:rPr>
          <w:rFonts w:ascii="Microsoft Sans Serif" w:eastAsia="Microsoft Sans Serif" w:hAnsi="Microsoft Sans Serif" w:cs="Microsoft Sans Serif"/>
          <w:b/>
          <w:bCs/>
          <w:kern w:val="2"/>
          <w:sz w:val="24"/>
          <w14:ligatures w14:val="standardContextual"/>
        </w:rPr>
        <w:cr/>
      </w: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efarah@duqlight.com</w:t>
      </w:r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cr/>
        <w:t xml:space="preserve">Accepts </w:t>
      </w:r>
      <w:proofErr w:type="gramStart"/>
      <w:r w:rsidRPr="001908D7">
        <w:rPr>
          <w:rFonts w:ascii="Microsoft Sans Serif" w:eastAsia="Microsoft Sans Serif" w:hAnsi="Microsoft Sans Serif" w:cs="Microsoft Sans Serif"/>
          <w:kern w:val="2"/>
          <w:sz w:val="24"/>
          <w14:ligatures w14:val="standardContextual"/>
        </w:rPr>
        <w:t>eService</w:t>
      </w:r>
      <w:proofErr w:type="gramEnd"/>
    </w:p>
    <w:p w14:paraId="1098EDAF" w14:textId="77777777" w:rsidR="001908D7" w:rsidRPr="001908D7" w:rsidRDefault="001908D7" w:rsidP="001908D7">
      <w:pPr>
        <w:rPr>
          <w:rFonts w:eastAsiaTheme="minorEastAsia"/>
          <w:kern w:val="2"/>
          <w14:ligatures w14:val="standardContextual"/>
        </w:rPr>
      </w:pPr>
    </w:p>
    <w:p w14:paraId="06CD8377" w14:textId="77777777" w:rsidR="001908D7" w:rsidRPr="00A9731F" w:rsidRDefault="001908D7" w:rsidP="00C2361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69B9D64" w14:textId="77777777" w:rsidR="00C23613" w:rsidRPr="00A9731F" w:rsidRDefault="00C23613" w:rsidP="00C23613">
      <w:p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9731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CA51B2A" w14:textId="77777777" w:rsidR="001908D7" w:rsidRDefault="001908D7"/>
    <w:sectPr w:rsidR="00425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3A5D" w14:textId="77777777" w:rsidR="001350D5" w:rsidRDefault="001350D5" w:rsidP="00C726AA">
      <w:pPr>
        <w:spacing w:after="0" w:line="240" w:lineRule="auto"/>
      </w:pPr>
      <w:r>
        <w:separator/>
      </w:r>
    </w:p>
  </w:endnote>
  <w:endnote w:type="continuationSeparator" w:id="0">
    <w:p w14:paraId="5E70E6CE" w14:textId="77777777" w:rsidR="001350D5" w:rsidRDefault="001350D5" w:rsidP="00C7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4BE2BE5" w14:textId="77777777" w:rsidR="00F51635" w:rsidRPr="00810227" w:rsidRDefault="00F5163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102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022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102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1022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1022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3448" w14:textId="77777777" w:rsidR="001350D5" w:rsidRDefault="001350D5" w:rsidP="00C726AA">
      <w:pPr>
        <w:spacing w:after="0" w:line="240" w:lineRule="auto"/>
      </w:pPr>
      <w:r>
        <w:separator/>
      </w:r>
    </w:p>
  </w:footnote>
  <w:footnote w:type="continuationSeparator" w:id="0">
    <w:p w14:paraId="02D2D417" w14:textId="77777777" w:rsidR="001350D5" w:rsidRDefault="001350D5" w:rsidP="00C726AA">
      <w:pPr>
        <w:spacing w:after="0" w:line="240" w:lineRule="auto"/>
      </w:pPr>
      <w:r>
        <w:continuationSeparator/>
      </w:r>
    </w:p>
  </w:footnote>
  <w:footnote w:id="1">
    <w:p w14:paraId="3B9F50ED" w14:textId="77777777" w:rsidR="00C726AA" w:rsidRPr="00C726AA" w:rsidRDefault="00C726AA" w:rsidP="001908D7">
      <w:pPr>
        <w:pStyle w:val="FootnoteText"/>
        <w:ind w:firstLine="720"/>
        <w:rPr>
          <w:rFonts w:ascii="Times New Roman" w:hAnsi="Times New Roman" w:cs="Times New Roman"/>
        </w:rPr>
      </w:pPr>
      <w:r w:rsidRPr="00C726AA">
        <w:rPr>
          <w:rStyle w:val="FootnoteReference"/>
          <w:rFonts w:ascii="Times New Roman" w:eastAsia="Times New Roman" w:hAnsi="Times New Roman" w:cs="Times New Roman"/>
        </w:rPr>
        <w:footnoteRef/>
      </w:r>
      <w:r w:rsidRPr="00C726AA">
        <w:rPr>
          <w:rFonts w:ascii="Times New Roman" w:hAnsi="Times New Roman" w:cs="Times New Roman"/>
        </w:rPr>
        <w:t xml:space="preserve"> </w:t>
      </w:r>
      <w:r w:rsidRPr="00C726AA">
        <w:rPr>
          <w:rFonts w:ascii="Times New Roman" w:hAnsi="Times New Roman" w:cs="Times New Roman"/>
        </w:rPr>
        <w:tab/>
      </w:r>
      <w:r w:rsidRPr="00C726AA">
        <w:rPr>
          <w:rFonts w:ascii="Times New Roman" w:hAnsi="Times New Roman" w:cs="Times New Roman"/>
          <w:i/>
        </w:rPr>
        <w:t>Equitable Small Transportation Intervenors v. Equitable Gas Company</w:t>
      </w:r>
      <w:r w:rsidRPr="00C726AA">
        <w:rPr>
          <w:rFonts w:ascii="Times New Roman" w:hAnsi="Times New Roman" w:cs="Times New Roman"/>
        </w:rPr>
        <w:t xml:space="preserve">, 1994 Pa. PUC LEXIS 69, Docket No. C-00935435 (July 18, 1994).  </w:t>
      </w:r>
    </w:p>
    <w:p w14:paraId="69F05AFA" w14:textId="3403883E" w:rsidR="00C726AA" w:rsidRPr="00C726AA" w:rsidRDefault="00C726AA" w:rsidP="00C726AA">
      <w:pPr>
        <w:pStyle w:val="FootnoteText"/>
        <w:rPr>
          <w:rFonts w:ascii="Times New Roman" w:hAnsi="Times New Roman" w:cs="Times New Roman"/>
        </w:rPr>
      </w:pPr>
    </w:p>
  </w:footnote>
  <w:footnote w:id="2">
    <w:p w14:paraId="44DF2294" w14:textId="77777777" w:rsidR="00C726AA" w:rsidRPr="00C726AA" w:rsidRDefault="00C726AA" w:rsidP="001908D7">
      <w:pPr>
        <w:pStyle w:val="FootnoteText"/>
        <w:ind w:firstLine="720"/>
        <w:rPr>
          <w:rFonts w:ascii="Times New Roman" w:hAnsi="Times New Roman" w:cs="Times New Roman"/>
        </w:rPr>
      </w:pPr>
      <w:r w:rsidRPr="00C726AA">
        <w:rPr>
          <w:rStyle w:val="FootnoteReference"/>
          <w:rFonts w:ascii="Times New Roman" w:eastAsia="Times New Roman" w:hAnsi="Times New Roman" w:cs="Times New Roman"/>
        </w:rPr>
        <w:footnoteRef/>
      </w:r>
      <w:r w:rsidRPr="00C726AA">
        <w:rPr>
          <w:rFonts w:ascii="Times New Roman" w:hAnsi="Times New Roman" w:cs="Times New Roman"/>
        </w:rPr>
        <w:t xml:space="preserve"> </w:t>
      </w:r>
      <w:r w:rsidRPr="00C726AA">
        <w:rPr>
          <w:rFonts w:ascii="Times New Roman" w:hAnsi="Times New Roman" w:cs="Times New Roman"/>
        </w:rPr>
        <w:tab/>
      </w:r>
      <w:r w:rsidRPr="00C726AA">
        <w:rPr>
          <w:rFonts w:ascii="Times New Roman" w:hAnsi="Times New Roman" w:cs="Times New Roman"/>
          <w:i/>
        </w:rPr>
        <w:t>Dept. of Auditor General v. SERS</w:t>
      </w:r>
      <w:r w:rsidRPr="00C726AA">
        <w:rPr>
          <w:rFonts w:ascii="Times New Roman" w:hAnsi="Times New Roman" w:cs="Times New Roman"/>
        </w:rPr>
        <w:t>, 836 A.2d 1053, 1064 (</w:t>
      </w:r>
      <w:proofErr w:type="spellStart"/>
      <w:proofErr w:type="gramStart"/>
      <w:r w:rsidRPr="00C726AA">
        <w:rPr>
          <w:rFonts w:ascii="Times New Roman" w:hAnsi="Times New Roman" w:cs="Times New Roman"/>
        </w:rPr>
        <w:t>Pa.Cmwlth</w:t>
      </w:r>
      <w:proofErr w:type="spellEnd"/>
      <w:proofErr w:type="gramEnd"/>
      <w:r w:rsidRPr="00C726AA">
        <w:rPr>
          <w:rFonts w:ascii="Times New Roman" w:hAnsi="Times New Roman" w:cs="Times New Roman"/>
        </w:rPr>
        <w:t xml:space="preserve">. 2003); </w:t>
      </w:r>
      <w:r w:rsidRPr="00C726AA">
        <w:rPr>
          <w:rFonts w:ascii="Times New Roman" w:hAnsi="Times New Roman" w:cs="Times New Roman"/>
          <w:i/>
        </w:rPr>
        <w:t>P.J.S. v. Pa. State Ethics Comm’n</w:t>
      </w:r>
      <w:r w:rsidRPr="00C726AA">
        <w:rPr>
          <w:rFonts w:ascii="Times New Roman" w:hAnsi="Times New Roman" w:cs="Times New Roman"/>
        </w:rPr>
        <w:t>, 669 A.2d 1105 (</w:t>
      </w:r>
      <w:proofErr w:type="spellStart"/>
      <w:proofErr w:type="gramStart"/>
      <w:r w:rsidRPr="00C726AA">
        <w:rPr>
          <w:rFonts w:ascii="Times New Roman" w:hAnsi="Times New Roman" w:cs="Times New Roman"/>
        </w:rPr>
        <w:t>Pa.Cmwlth</w:t>
      </w:r>
      <w:proofErr w:type="spellEnd"/>
      <w:proofErr w:type="gramEnd"/>
      <w:r w:rsidRPr="00C726AA">
        <w:rPr>
          <w:rFonts w:ascii="Times New Roman" w:hAnsi="Times New Roman" w:cs="Times New Roman"/>
        </w:rPr>
        <w:t>. 1996).</w:t>
      </w:r>
    </w:p>
    <w:p w14:paraId="3F3E67F9" w14:textId="77777777" w:rsidR="00C726AA" w:rsidRPr="00C726AA" w:rsidRDefault="00C726AA" w:rsidP="00C726AA">
      <w:pPr>
        <w:pStyle w:val="FootnoteText"/>
        <w:rPr>
          <w:rFonts w:ascii="Times New Roman" w:hAnsi="Times New Roman" w:cs="Times New Roman"/>
        </w:rPr>
      </w:pPr>
    </w:p>
  </w:footnote>
  <w:footnote w:id="3">
    <w:p w14:paraId="58279DFD" w14:textId="77777777" w:rsidR="00C726AA" w:rsidRPr="00C726AA" w:rsidRDefault="00C726AA" w:rsidP="001908D7">
      <w:pPr>
        <w:pStyle w:val="FootnoteText"/>
        <w:ind w:firstLine="720"/>
        <w:rPr>
          <w:rFonts w:ascii="Times New Roman" w:hAnsi="Times New Roman" w:cs="Times New Roman"/>
        </w:rPr>
      </w:pPr>
      <w:r w:rsidRPr="00C726AA">
        <w:rPr>
          <w:rStyle w:val="FootnoteReference"/>
          <w:rFonts w:ascii="Times New Roman" w:eastAsia="Times New Roman" w:hAnsi="Times New Roman" w:cs="Times New Roman"/>
        </w:rPr>
        <w:footnoteRef/>
      </w:r>
      <w:r w:rsidRPr="00C726AA">
        <w:rPr>
          <w:rFonts w:ascii="Times New Roman" w:hAnsi="Times New Roman" w:cs="Times New Roman"/>
        </w:rPr>
        <w:t xml:space="preserve"> </w:t>
      </w:r>
      <w:r w:rsidRPr="00C726AA">
        <w:rPr>
          <w:rFonts w:ascii="Times New Roman" w:hAnsi="Times New Roman" w:cs="Times New Roman"/>
        </w:rPr>
        <w:tab/>
      </w:r>
      <w:r w:rsidRPr="00C726AA">
        <w:rPr>
          <w:rFonts w:ascii="Times New Roman" w:hAnsi="Times New Roman" w:cs="Times New Roman"/>
          <w:i/>
        </w:rPr>
        <w:t>Boyd v. Ward</w:t>
      </w:r>
      <w:r w:rsidRPr="00C726AA">
        <w:rPr>
          <w:rFonts w:ascii="Times New Roman" w:hAnsi="Times New Roman" w:cs="Times New Roman"/>
        </w:rPr>
        <w:t>, 802 A.2d 705 (</w:t>
      </w:r>
      <w:proofErr w:type="spellStart"/>
      <w:proofErr w:type="gramStart"/>
      <w:r w:rsidRPr="00C726AA">
        <w:rPr>
          <w:rFonts w:ascii="Times New Roman" w:hAnsi="Times New Roman" w:cs="Times New Roman"/>
        </w:rPr>
        <w:t>Pa.Cmwlth</w:t>
      </w:r>
      <w:proofErr w:type="spellEnd"/>
      <w:proofErr w:type="gramEnd"/>
      <w:r w:rsidRPr="00C726AA">
        <w:rPr>
          <w:rFonts w:ascii="Times New Roman" w:hAnsi="Times New Roman" w:cs="Times New Roman"/>
        </w:rPr>
        <w:t xml:space="preserve">. 2002). </w:t>
      </w:r>
    </w:p>
    <w:p w14:paraId="02E4C749" w14:textId="77777777" w:rsidR="00C726AA" w:rsidRPr="00C726AA" w:rsidRDefault="00C726AA" w:rsidP="00C726AA">
      <w:pPr>
        <w:pStyle w:val="FootnoteText"/>
        <w:rPr>
          <w:rFonts w:ascii="Times New Roman" w:hAnsi="Times New Roman" w:cs="Times New Roman"/>
        </w:rPr>
      </w:pPr>
    </w:p>
  </w:footnote>
  <w:footnote w:id="4">
    <w:p w14:paraId="1DBDDCDD" w14:textId="77777777" w:rsidR="00C726AA" w:rsidRPr="00C726AA" w:rsidRDefault="00C726AA" w:rsidP="001908D7">
      <w:pPr>
        <w:pStyle w:val="FootnoteText"/>
        <w:ind w:firstLine="720"/>
        <w:rPr>
          <w:rFonts w:ascii="Times New Roman" w:hAnsi="Times New Roman" w:cs="Times New Roman"/>
        </w:rPr>
      </w:pPr>
      <w:r w:rsidRPr="00C726AA">
        <w:rPr>
          <w:rStyle w:val="FootnoteReference"/>
          <w:rFonts w:ascii="Times New Roman" w:eastAsia="Times New Roman" w:hAnsi="Times New Roman" w:cs="Times New Roman"/>
        </w:rPr>
        <w:footnoteRef/>
      </w:r>
      <w:r w:rsidRPr="00C726AA">
        <w:rPr>
          <w:rFonts w:ascii="Times New Roman" w:hAnsi="Times New Roman" w:cs="Times New Roman"/>
        </w:rPr>
        <w:t xml:space="preserve">  </w:t>
      </w:r>
      <w:r w:rsidRPr="00C726AA">
        <w:rPr>
          <w:rFonts w:ascii="Times New Roman" w:hAnsi="Times New Roman" w:cs="Times New Roman"/>
        </w:rPr>
        <w:tab/>
      </w:r>
      <w:r w:rsidRPr="00C726AA">
        <w:rPr>
          <w:rFonts w:ascii="Times New Roman" w:hAnsi="Times New Roman" w:cs="Times New Roman"/>
          <w:i/>
          <w:iCs/>
        </w:rPr>
        <w:t xml:space="preserve">County of Allegheny v. </w:t>
      </w:r>
      <w:proofErr w:type="spellStart"/>
      <w:r w:rsidRPr="00C726AA">
        <w:rPr>
          <w:rFonts w:ascii="Times New Roman" w:hAnsi="Times New Roman" w:cs="Times New Roman"/>
          <w:i/>
          <w:iCs/>
        </w:rPr>
        <w:t>Commw</w:t>
      </w:r>
      <w:proofErr w:type="spellEnd"/>
      <w:r w:rsidRPr="00C726AA">
        <w:rPr>
          <w:rFonts w:ascii="Times New Roman" w:hAnsi="Times New Roman" w:cs="Times New Roman"/>
          <w:i/>
          <w:iCs/>
        </w:rPr>
        <w:t>. of Pa</w:t>
      </w:r>
      <w:r w:rsidRPr="00C726AA">
        <w:rPr>
          <w:rFonts w:ascii="Times New Roman" w:hAnsi="Times New Roman" w:cs="Times New Roman"/>
        </w:rPr>
        <w:t>., 490 A.2d 402 (Pa. 1985); Pennsylvania</w:t>
      </w:r>
      <w:r w:rsidRPr="00C726AA">
        <w:rPr>
          <w:rFonts w:ascii="Times New Roman" w:hAnsi="Times New Roman" w:cs="Times New Roman"/>
          <w:i/>
          <w:iCs/>
        </w:rPr>
        <w:t xml:space="preserve"> State Lodge, Fraternal Order of Police v. Dept. of Conservation and Natural Resources</w:t>
      </w:r>
      <w:r w:rsidRPr="00C726AA">
        <w:rPr>
          <w:rFonts w:ascii="Times New Roman" w:hAnsi="Times New Roman" w:cs="Times New Roman"/>
        </w:rPr>
        <w:t>, 909 A.2d 413 (</w:t>
      </w:r>
      <w:proofErr w:type="spellStart"/>
      <w:proofErr w:type="gramStart"/>
      <w:r w:rsidRPr="00C726AA">
        <w:rPr>
          <w:rFonts w:ascii="Times New Roman" w:hAnsi="Times New Roman" w:cs="Times New Roman"/>
        </w:rPr>
        <w:t>Pa.Cmwlth</w:t>
      </w:r>
      <w:proofErr w:type="spellEnd"/>
      <w:proofErr w:type="gramEnd"/>
      <w:r w:rsidRPr="00C726AA">
        <w:rPr>
          <w:rFonts w:ascii="Times New Roman" w:hAnsi="Times New Roman" w:cs="Times New Roman"/>
        </w:rPr>
        <w:t>. 2006</w:t>
      </w:r>
      <w:r w:rsidRPr="00C726AA">
        <w:rPr>
          <w:rFonts w:ascii="Times New Roman" w:hAnsi="Times New Roman" w:cs="Times New Roman"/>
          <w:i/>
          <w:iCs/>
        </w:rPr>
        <w:t>), aff’d per curium,</w:t>
      </w:r>
      <w:r w:rsidRPr="00C726AA">
        <w:rPr>
          <w:rFonts w:ascii="Times New Roman" w:hAnsi="Times New Roman" w:cs="Times New Roman"/>
        </w:rPr>
        <w:t xml:space="preserve"> 924 A.2d 1203 (Pa. 2007).</w:t>
      </w:r>
    </w:p>
    <w:p w14:paraId="17CEDD9C" w14:textId="77777777" w:rsidR="00C726AA" w:rsidRPr="00C726AA" w:rsidRDefault="00C726AA" w:rsidP="00C726AA">
      <w:pPr>
        <w:pStyle w:val="FootnoteText"/>
        <w:rPr>
          <w:rFonts w:ascii="Times New Roman" w:hAnsi="Times New Roman" w:cs="Times New Roman"/>
        </w:rPr>
      </w:pPr>
    </w:p>
  </w:footnote>
  <w:footnote w:id="5">
    <w:p w14:paraId="7618738C" w14:textId="77777777" w:rsidR="00C726AA" w:rsidRPr="00C726AA" w:rsidRDefault="00C726AA" w:rsidP="001908D7">
      <w:pPr>
        <w:pStyle w:val="FootnoteText"/>
        <w:ind w:firstLine="720"/>
        <w:rPr>
          <w:rFonts w:ascii="Times New Roman" w:hAnsi="Times New Roman" w:cs="Times New Roman"/>
        </w:rPr>
      </w:pPr>
      <w:r w:rsidRPr="00C726AA">
        <w:rPr>
          <w:rStyle w:val="FootnoteReference"/>
          <w:rFonts w:ascii="Times New Roman" w:eastAsia="Times New Roman" w:hAnsi="Times New Roman" w:cs="Times New Roman"/>
        </w:rPr>
        <w:footnoteRef/>
      </w:r>
      <w:r w:rsidRPr="00C726AA">
        <w:rPr>
          <w:rFonts w:ascii="Times New Roman" w:hAnsi="Times New Roman" w:cs="Times New Roman"/>
        </w:rPr>
        <w:t xml:space="preserve"> </w:t>
      </w:r>
      <w:r w:rsidRPr="00C726AA">
        <w:rPr>
          <w:rFonts w:ascii="Times New Roman" w:hAnsi="Times New Roman" w:cs="Times New Roman"/>
        </w:rPr>
        <w:tab/>
      </w:r>
      <w:r w:rsidRPr="00C726AA">
        <w:rPr>
          <w:rFonts w:ascii="Times New Roman" w:hAnsi="Times New Roman" w:cs="Times New Roman"/>
          <w:i/>
          <w:iCs/>
        </w:rPr>
        <w:t>Ridge v. State Employees’ Retirement Board</w:t>
      </w:r>
      <w:r w:rsidRPr="00C726AA">
        <w:rPr>
          <w:rFonts w:ascii="Times New Roman" w:hAnsi="Times New Roman" w:cs="Times New Roman"/>
        </w:rPr>
        <w:t>, 690 A.2d 1312 (</w:t>
      </w:r>
      <w:proofErr w:type="spellStart"/>
      <w:proofErr w:type="gramStart"/>
      <w:r w:rsidRPr="00C726AA">
        <w:rPr>
          <w:rFonts w:ascii="Times New Roman" w:hAnsi="Times New Roman" w:cs="Times New Roman"/>
        </w:rPr>
        <w:t>Pa.Cmwlth</w:t>
      </w:r>
      <w:proofErr w:type="spellEnd"/>
      <w:proofErr w:type="gramEnd"/>
      <w:r w:rsidRPr="00C726AA">
        <w:rPr>
          <w:rFonts w:ascii="Times New Roman" w:hAnsi="Times New Roman" w:cs="Times New Roman"/>
        </w:rPr>
        <w:t>. 1997).</w:t>
      </w:r>
    </w:p>
    <w:p w14:paraId="2315C5CF" w14:textId="77777777" w:rsidR="00C726AA" w:rsidRPr="00C726AA" w:rsidRDefault="00C726AA" w:rsidP="00C726AA">
      <w:pPr>
        <w:pStyle w:val="FootnoteText"/>
        <w:rPr>
          <w:rFonts w:ascii="Times New Roman" w:hAnsi="Times New Roman" w:cs="Times New Roman"/>
        </w:rPr>
      </w:pPr>
    </w:p>
  </w:footnote>
  <w:footnote w:id="6">
    <w:p w14:paraId="1D7AC11B" w14:textId="1E75E04B" w:rsidR="002F1FD5" w:rsidRDefault="002F1FD5" w:rsidP="001908D7">
      <w:pPr>
        <w:pStyle w:val="FootnoteText"/>
        <w:ind w:firstLine="720"/>
        <w:rPr>
          <w:rFonts w:ascii="Times New Roman" w:eastAsia="SimSu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2F1FD5">
        <w:tab/>
      </w:r>
      <w:r w:rsidRPr="002F1FD5">
        <w:rPr>
          <w:rFonts w:ascii="Times New Roman" w:hAnsi="Times New Roman" w:cs="Times New Roman"/>
        </w:rPr>
        <w:t xml:space="preserve">52 Pa. Code </w:t>
      </w:r>
      <w:r w:rsidRPr="002F1FD5">
        <w:rPr>
          <w:rFonts w:ascii="Times New Roman" w:eastAsia="SimSun" w:hAnsi="Times New Roman" w:cs="Times New Roman"/>
        </w:rPr>
        <w:t>§ 5.102(a)(2).</w:t>
      </w:r>
    </w:p>
    <w:p w14:paraId="2B2A5CF0" w14:textId="77777777" w:rsidR="002F1FD5" w:rsidRDefault="002F1FD5">
      <w:pPr>
        <w:pStyle w:val="FootnoteText"/>
      </w:pPr>
    </w:p>
  </w:footnote>
  <w:footnote w:id="7">
    <w:p w14:paraId="6AC8F527" w14:textId="03E9D811" w:rsidR="002F1FD5" w:rsidRDefault="002F1FD5" w:rsidP="001908D7">
      <w:pPr>
        <w:pStyle w:val="FootnoteText"/>
        <w:ind w:firstLine="720"/>
        <w:rPr>
          <w:rFonts w:ascii="Times New Roman" w:hAnsi="Times New Roman" w:cs="Times New Roman"/>
        </w:rPr>
      </w:pPr>
      <w:r w:rsidRPr="00D468A0">
        <w:rPr>
          <w:rStyle w:val="FootnoteReference"/>
          <w:rFonts w:ascii="Times New Roman" w:hAnsi="Times New Roman" w:cs="Times New Roman"/>
        </w:rPr>
        <w:footnoteRef/>
      </w:r>
      <w:r w:rsidRPr="00D468A0">
        <w:rPr>
          <w:rFonts w:ascii="Times New Roman" w:hAnsi="Times New Roman" w:cs="Times New Roman"/>
        </w:rPr>
        <w:tab/>
      </w:r>
      <w:r w:rsidR="00D468A0" w:rsidRPr="00D468A0">
        <w:rPr>
          <w:rFonts w:ascii="Times New Roman" w:hAnsi="Times New Roman" w:cs="Times New Roman"/>
          <w:i/>
          <w:iCs/>
        </w:rPr>
        <w:t>Elkin v. Bell Tel. Co. of PA., Co. of Pa. PA</w:t>
      </w:r>
      <w:r w:rsidR="00D468A0" w:rsidRPr="00D468A0">
        <w:rPr>
          <w:rFonts w:ascii="Times New Roman" w:hAnsi="Times New Roman" w:cs="Times New Roman"/>
        </w:rPr>
        <w:t xml:space="preserve">., </w:t>
      </w:r>
      <w:r w:rsidR="00D468A0">
        <w:rPr>
          <w:rFonts w:ascii="Times New Roman" w:hAnsi="Times New Roman" w:cs="Times New Roman"/>
        </w:rPr>
        <w:t>420</w:t>
      </w:r>
      <w:r w:rsidR="00D468A0" w:rsidRPr="00D468A0">
        <w:rPr>
          <w:rFonts w:ascii="Times New Roman" w:hAnsi="Times New Roman" w:cs="Times New Roman"/>
        </w:rPr>
        <w:t xml:space="preserve"> A</w:t>
      </w:r>
      <w:r w:rsidR="00D468A0">
        <w:rPr>
          <w:rFonts w:ascii="Times New Roman" w:hAnsi="Times New Roman" w:cs="Times New Roman"/>
        </w:rPr>
        <w:t>.</w:t>
      </w:r>
      <w:r w:rsidR="00D468A0" w:rsidRPr="00D468A0">
        <w:rPr>
          <w:rFonts w:ascii="Times New Roman" w:hAnsi="Times New Roman" w:cs="Times New Roman"/>
        </w:rPr>
        <w:t xml:space="preserve">2d </w:t>
      </w:r>
      <w:r w:rsidR="00D468A0">
        <w:rPr>
          <w:rFonts w:ascii="Times New Roman" w:hAnsi="Times New Roman" w:cs="Times New Roman"/>
        </w:rPr>
        <w:t>3</w:t>
      </w:r>
      <w:r w:rsidR="005401CD">
        <w:rPr>
          <w:rFonts w:ascii="Times New Roman" w:hAnsi="Times New Roman" w:cs="Times New Roman"/>
        </w:rPr>
        <w:t>7</w:t>
      </w:r>
      <w:r w:rsidR="00D468A0">
        <w:rPr>
          <w:rFonts w:ascii="Times New Roman" w:hAnsi="Times New Roman" w:cs="Times New Roman"/>
        </w:rPr>
        <w:t>1</w:t>
      </w:r>
      <w:r w:rsidR="00D468A0" w:rsidRPr="00D468A0">
        <w:rPr>
          <w:rFonts w:ascii="Times New Roman" w:hAnsi="Times New Roman" w:cs="Times New Roman"/>
        </w:rPr>
        <w:t xml:space="preserve"> (Pa. 198</w:t>
      </w:r>
      <w:r w:rsidR="00D468A0">
        <w:rPr>
          <w:rFonts w:ascii="Times New Roman" w:hAnsi="Times New Roman" w:cs="Times New Roman"/>
        </w:rPr>
        <w:t>0</w:t>
      </w:r>
      <w:r w:rsidR="00D468A0" w:rsidRPr="00D468A0">
        <w:rPr>
          <w:rFonts w:ascii="Times New Roman" w:hAnsi="Times New Roman" w:cs="Times New Roman"/>
        </w:rPr>
        <w:t>)</w:t>
      </w:r>
      <w:r w:rsidR="00D468A0">
        <w:rPr>
          <w:rFonts w:ascii="Times New Roman" w:hAnsi="Times New Roman" w:cs="Times New Roman"/>
        </w:rPr>
        <w:t xml:space="preserve">; </w:t>
      </w:r>
      <w:r w:rsidR="00D468A0">
        <w:rPr>
          <w:rFonts w:ascii="Times New Roman" w:hAnsi="Times New Roman" w:cs="Times New Roman"/>
          <w:i/>
          <w:iCs/>
        </w:rPr>
        <w:t>Feingold v. Bell of Pa.</w:t>
      </w:r>
      <w:r w:rsidR="00D468A0">
        <w:rPr>
          <w:rFonts w:ascii="Times New Roman" w:hAnsi="Times New Roman" w:cs="Times New Roman"/>
        </w:rPr>
        <w:t xml:space="preserve">, </w:t>
      </w:r>
      <w:r w:rsidR="005401CD">
        <w:rPr>
          <w:rFonts w:ascii="Times New Roman" w:hAnsi="Times New Roman" w:cs="Times New Roman"/>
        </w:rPr>
        <w:t>383 A.2d 791 (Pa. 1978)</w:t>
      </w:r>
      <w:r w:rsidR="009018DA">
        <w:rPr>
          <w:rFonts w:ascii="Times New Roman" w:hAnsi="Times New Roman" w:cs="Times New Roman"/>
        </w:rPr>
        <w:t xml:space="preserve"> (</w:t>
      </w:r>
      <w:r w:rsidR="009018DA" w:rsidRPr="009018DA">
        <w:rPr>
          <w:rFonts w:ascii="Times New Roman" w:hAnsi="Times New Roman" w:cs="Times New Roman"/>
          <w:i/>
          <w:iCs/>
        </w:rPr>
        <w:t>Feingold</w:t>
      </w:r>
      <w:r w:rsidR="009018DA">
        <w:rPr>
          <w:rFonts w:ascii="Times New Roman" w:hAnsi="Times New Roman" w:cs="Times New Roman"/>
        </w:rPr>
        <w:t>)</w:t>
      </w:r>
      <w:r w:rsidR="005401CD">
        <w:rPr>
          <w:rFonts w:ascii="Times New Roman" w:hAnsi="Times New Roman" w:cs="Times New Roman"/>
        </w:rPr>
        <w:t xml:space="preserve">; </w:t>
      </w:r>
      <w:r w:rsidR="005401CD">
        <w:rPr>
          <w:rFonts w:ascii="Times New Roman" w:hAnsi="Times New Roman" w:cs="Times New Roman"/>
          <w:i/>
          <w:iCs/>
        </w:rPr>
        <w:t>see Nagy v. Bell Tel Co. of PA.</w:t>
      </w:r>
      <w:r w:rsidR="005401CD">
        <w:rPr>
          <w:rFonts w:ascii="Times New Roman" w:hAnsi="Times New Roman" w:cs="Times New Roman"/>
        </w:rPr>
        <w:t>, 436 A.2d 701</w:t>
      </w:r>
      <w:r w:rsidR="009018DA">
        <w:rPr>
          <w:rFonts w:ascii="Times New Roman" w:hAnsi="Times New Roman" w:cs="Times New Roman"/>
        </w:rPr>
        <w:t xml:space="preserve"> </w:t>
      </w:r>
      <w:r w:rsidR="005401CD">
        <w:rPr>
          <w:rFonts w:ascii="Times New Roman" w:hAnsi="Times New Roman" w:cs="Times New Roman"/>
        </w:rPr>
        <w:t xml:space="preserve">(Pa. Super. 1981). </w:t>
      </w:r>
    </w:p>
    <w:p w14:paraId="2E1286B0" w14:textId="77777777" w:rsidR="009209E1" w:rsidRPr="005401CD" w:rsidRDefault="009209E1">
      <w:pPr>
        <w:pStyle w:val="FootnoteText"/>
        <w:rPr>
          <w:rFonts w:ascii="Times New Roman" w:hAnsi="Times New Roman" w:cs="Times New Roman"/>
        </w:rPr>
      </w:pPr>
    </w:p>
  </w:footnote>
  <w:footnote w:id="8">
    <w:p w14:paraId="002B372C" w14:textId="77777777" w:rsidR="009209E1" w:rsidRPr="009209E1" w:rsidRDefault="00E67012" w:rsidP="001908D7">
      <w:pPr>
        <w:autoSpaceDE w:val="0"/>
        <w:autoSpaceDN w:val="0"/>
        <w:spacing w:after="0" w:line="360" w:lineRule="auto"/>
        <w:ind w:right="1440" w:firstLine="720"/>
        <w:rPr>
          <w:rFonts w:ascii="Times New Roman" w:eastAsia="SimSun" w:hAnsi="Times New Roman" w:cs="Times New Roman"/>
          <w:sz w:val="20"/>
          <w:szCs w:val="24"/>
        </w:rPr>
      </w:pPr>
      <w:r w:rsidRPr="009209E1">
        <w:rPr>
          <w:rStyle w:val="FootnoteReference"/>
          <w:rFonts w:ascii="Times New Roman" w:hAnsi="Times New Roman" w:cs="Times New Roman"/>
          <w:sz w:val="20"/>
        </w:rPr>
        <w:footnoteRef/>
      </w:r>
      <w:r w:rsidRPr="009209E1">
        <w:rPr>
          <w:rFonts w:ascii="Times New Roman" w:hAnsi="Times New Roman" w:cs="Times New Roman"/>
          <w:sz w:val="20"/>
        </w:rPr>
        <w:t xml:space="preserve"> </w:t>
      </w:r>
      <w:r w:rsidR="009209E1" w:rsidRPr="009209E1">
        <w:rPr>
          <w:rFonts w:ascii="Times New Roman" w:hAnsi="Times New Roman" w:cs="Times New Roman"/>
          <w:sz w:val="20"/>
        </w:rPr>
        <w:tab/>
      </w:r>
      <w:r w:rsidR="009209E1" w:rsidRPr="009209E1">
        <w:rPr>
          <w:rFonts w:ascii="Times New Roman" w:eastAsia="SimSun" w:hAnsi="Times New Roman" w:cs="Times New Roman"/>
          <w:i/>
          <w:sz w:val="20"/>
          <w:szCs w:val="24"/>
        </w:rPr>
        <w:t>Feingold</w:t>
      </w:r>
      <w:r w:rsidR="009209E1" w:rsidRPr="009209E1">
        <w:rPr>
          <w:rFonts w:ascii="Times New Roman" w:eastAsia="SimSun" w:hAnsi="Times New Roman" w:cs="Times New Roman"/>
          <w:sz w:val="20"/>
          <w:szCs w:val="24"/>
        </w:rPr>
        <w:t>, 383 A.2d at 794.</w:t>
      </w:r>
    </w:p>
    <w:p w14:paraId="6714E6D5" w14:textId="14F04AA9" w:rsidR="00E67012" w:rsidRDefault="00E67012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13"/>
    <w:rsid w:val="0007521F"/>
    <w:rsid w:val="000B261C"/>
    <w:rsid w:val="001350D5"/>
    <w:rsid w:val="0015160A"/>
    <w:rsid w:val="0016783D"/>
    <w:rsid w:val="001908D7"/>
    <w:rsid w:val="001A6678"/>
    <w:rsid w:val="00201473"/>
    <w:rsid w:val="00211A0B"/>
    <w:rsid w:val="002E61AB"/>
    <w:rsid w:val="002F1FD5"/>
    <w:rsid w:val="003101CE"/>
    <w:rsid w:val="00350E0C"/>
    <w:rsid w:val="003D5E30"/>
    <w:rsid w:val="003E7E91"/>
    <w:rsid w:val="004756C6"/>
    <w:rsid w:val="0047729A"/>
    <w:rsid w:val="00535041"/>
    <w:rsid w:val="005401CD"/>
    <w:rsid w:val="005D12B9"/>
    <w:rsid w:val="005E0715"/>
    <w:rsid w:val="0060749F"/>
    <w:rsid w:val="006B4AC3"/>
    <w:rsid w:val="00764813"/>
    <w:rsid w:val="00773689"/>
    <w:rsid w:val="007A1152"/>
    <w:rsid w:val="007C7CA4"/>
    <w:rsid w:val="007D02B3"/>
    <w:rsid w:val="008159DD"/>
    <w:rsid w:val="0083760B"/>
    <w:rsid w:val="00863AD8"/>
    <w:rsid w:val="00885271"/>
    <w:rsid w:val="0089348D"/>
    <w:rsid w:val="00895DAE"/>
    <w:rsid w:val="00897E12"/>
    <w:rsid w:val="008A6C82"/>
    <w:rsid w:val="009018DA"/>
    <w:rsid w:val="00913590"/>
    <w:rsid w:val="009209E1"/>
    <w:rsid w:val="00932D61"/>
    <w:rsid w:val="00943D93"/>
    <w:rsid w:val="009B1325"/>
    <w:rsid w:val="009B7D15"/>
    <w:rsid w:val="009F77B3"/>
    <w:rsid w:val="00A42C74"/>
    <w:rsid w:val="00A93D3C"/>
    <w:rsid w:val="00AE1073"/>
    <w:rsid w:val="00AF1C12"/>
    <w:rsid w:val="00B02795"/>
    <w:rsid w:val="00B6282C"/>
    <w:rsid w:val="00BC0997"/>
    <w:rsid w:val="00BF491D"/>
    <w:rsid w:val="00C23613"/>
    <w:rsid w:val="00C2635B"/>
    <w:rsid w:val="00C466D2"/>
    <w:rsid w:val="00C726AA"/>
    <w:rsid w:val="00CE5F59"/>
    <w:rsid w:val="00D13C70"/>
    <w:rsid w:val="00D32C1F"/>
    <w:rsid w:val="00D43733"/>
    <w:rsid w:val="00D468A0"/>
    <w:rsid w:val="00DE11FD"/>
    <w:rsid w:val="00E137CF"/>
    <w:rsid w:val="00E31F43"/>
    <w:rsid w:val="00E37E49"/>
    <w:rsid w:val="00E439E3"/>
    <w:rsid w:val="00E53ED1"/>
    <w:rsid w:val="00E67012"/>
    <w:rsid w:val="00EC7E82"/>
    <w:rsid w:val="00ED3886"/>
    <w:rsid w:val="00EF3920"/>
    <w:rsid w:val="00F51635"/>
    <w:rsid w:val="00F53BD4"/>
    <w:rsid w:val="00F65A57"/>
    <w:rsid w:val="00FC4F7B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149F"/>
  <w15:chartTrackingRefBased/>
  <w15:docId w15:val="{3AA5FE8F-9200-498A-BC11-A62A5973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26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26AA"/>
    <w:rPr>
      <w:sz w:val="20"/>
      <w:szCs w:val="20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C726A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64813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F51635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1635"/>
    <w:rPr>
      <w:rFonts w:ascii="CG Times" w:eastAsia="Times New Roman" w:hAnsi="CG Times" w:cs="CG Times"/>
      <w:sz w:val="24"/>
      <w:szCs w:val="24"/>
    </w:rPr>
  </w:style>
  <w:style w:type="paragraph" w:customStyle="1" w:styleId="ParaTab1">
    <w:name w:val="ParaTab 1"/>
    <w:rsid w:val="00F51635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9B5F2-AADF-47E2-BBFC-75F7B8E1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DeVoe, Emily</dc:creator>
  <cp:keywords/>
  <dc:description/>
  <cp:lastModifiedBy>Foster, Laythan</cp:lastModifiedBy>
  <cp:revision>2</cp:revision>
  <dcterms:created xsi:type="dcterms:W3CDTF">2023-12-05T14:40:00Z</dcterms:created>
  <dcterms:modified xsi:type="dcterms:W3CDTF">2023-12-05T14:40:00Z</dcterms:modified>
</cp:coreProperties>
</file>