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B969" w14:textId="77777777" w:rsidR="00F30DE8" w:rsidRPr="00F30DE8" w:rsidRDefault="00F30DE8" w:rsidP="00F30DE8">
      <w:pPr>
        <w:tabs>
          <w:tab w:val="clear" w:pos="1440"/>
        </w:tabs>
        <w:autoSpaceDE w:val="0"/>
        <w:autoSpaceDN w:val="0"/>
        <w:spacing w:after="0" w:line="240" w:lineRule="auto"/>
        <w:jc w:val="center"/>
        <w:rPr>
          <w:rFonts w:eastAsia="Times New Roman"/>
          <w:b/>
          <w:kern w:val="0"/>
          <w14:ligatures w14:val="none"/>
        </w:rPr>
      </w:pPr>
      <w:r w:rsidRPr="00F30DE8">
        <w:rPr>
          <w:rFonts w:eastAsia="Times New Roman"/>
          <w:b/>
          <w:kern w:val="0"/>
          <w14:ligatures w14:val="none"/>
        </w:rPr>
        <w:t>BEFORE THE</w:t>
      </w:r>
    </w:p>
    <w:p w14:paraId="07C3F266" w14:textId="77777777" w:rsidR="00F30DE8" w:rsidRPr="00F30DE8" w:rsidRDefault="00F30DE8" w:rsidP="00F30DE8">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F30DE8">
        <w:rPr>
          <w:rFonts w:eastAsia="Times New Roman"/>
          <w:b/>
          <w:bCs/>
          <w:spacing w:val="-3"/>
          <w:kern w:val="0"/>
          <w14:ligatures w14:val="none"/>
        </w:rPr>
        <w:t>PENNSYLVANIA PUBLIC UTILITY COMMISSION</w:t>
      </w:r>
    </w:p>
    <w:p w14:paraId="0336F333" w14:textId="77777777" w:rsidR="00F30DE8" w:rsidRPr="00F30DE8" w:rsidRDefault="00F30DE8" w:rsidP="00F30DE8">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6E1C8B38" w14:textId="77777777" w:rsidR="00F30DE8" w:rsidRPr="00F30DE8" w:rsidRDefault="00F30DE8" w:rsidP="00F30DE8">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5815DD2E" w14:textId="77777777" w:rsidR="00F30DE8" w:rsidRPr="00F30DE8" w:rsidRDefault="00F30DE8" w:rsidP="00F30DE8">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59D3059A"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Deborah Engisch-Platt and Kim Platt</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fldChar w:fldCharType="begin"/>
      </w:r>
      <w:r w:rsidRPr="00F30DE8">
        <w:rPr>
          <w:rFonts w:eastAsia="Calibri"/>
          <w:spacing w:val="-3"/>
          <w:kern w:val="0"/>
          <w14:ligatures w14:val="none"/>
        </w:rPr>
        <w:instrText>fillin "Complainant's name" \d ""</w:instrText>
      </w:r>
      <w:r w:rsidRPr="00F30DE8">
        <w:rPr>
          <w:rFonts w:eastAsia="Calibri"/>
          <w:spacing w:val="-3"/>
          <w:kern w:val="0"/>
          <w14:ligatures w14:val="none"/>
        </w:rPr>
        <w:fldChar w:fldCharType="end"/>
      </w:r>
      <w:r w:rsidRPr="00F30DE8">
        <w:rPr>
          <w:rFonts w:eastAsia="Calibri"/>
          <w:spacing w:val="-3"/>
          <w:kern w:val="0"/>
          <w14:ligatures w14:val="none"/>
        </w:rPr>
        <w:t>:</w:t>
      </w:r>
    </w:p>
    <w:p w14:paraId="0F8AC143"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5924D26C"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t>v.</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r w:rsidRPr="00F30DE8">
        <w:rPr>
          <w:rFonts w:eastAsia="Calibri"/>
          <w:spacing w:val="-3"/>
          <w:kern w:val="0"/>
          <w14:ligatures w14:val="none"/>
        </w:rPr>
        <w:tab/>
      </w:r>
      <w:r w:rsidRPr="00F30DE8">
        <w:rPr>
          <w:rFonts w:eastAsia="Calibri"/>
          <w:spacing w:val="-3"/>
          <w:kern w:val="0"/>
          <w14:ligatures w14:val="none"/>
        </w:rPr>
        <w:tab/>
        <w:t>C-2019-3013745</w:t>
      </w:r>
    </w:p>
    <w:p w14:paraId="74A96414"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21715438"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Metropolitan Edison Company</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13B8B30D" w14:textId="77777777" w:rsidR="00F30DE8" w:rsidRPr="00F30DE8" w:rsidRDefault="00F30DE8" w:rsidP="00F30DE8">
      <w:pPr>
        <w:tabs>
          <w:tab w:val="clear" w:pos="1440"/>
          <w:tab w:val="left" w:pos="-720"/>
        </w:tabs>
        <w:suppressAutoHyphens/>
        <w:autoSpaceDE w:val="0"/>
        <w:autoSpaceDN w:val="0"/>
        <w:spacing w:after="0" w:line="240" w:lineRule="auto"/>
        <w:jc w:val="both"/>
        <w:rPr>
          <w:rFonts w:eastAsia="Times New Roman"/>
          <w:spacing w:val="-3"/>
          <w:kern w:val="0"/>
          <w14:ligatures w14:val="none"/>
        </w:rPr>
      </w:pPr>
    </w:p>
    <w:p w14:paraId="2FB9B0DF" w14:textId="77777777" w:rsidR="00F30DE8" w:rsidRPr="00F30DE8" w:rsidRDefault="00F30DE8" w:rsidP="00F30DE8">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01C328DE" w14:textId="77777777" w:rsidR="00F30DE8" w:rsidRPr="00F30DE8" w:rsidRDefault="00F30DE8" w:rsidP="00F30DE8">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722207EE" w14:textId="0C830B41" w:rsidR="00F30DE8" w:rsidRPr="00F30DE8" w:rsidRDefault="00F30DE8" w:rsidP="00F30DE8">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F30DE8">
        <w:rPr>
          <w:rFonts w:eastAsia="Times New Roman"/>
          <w:b/>
          <w:bCs/>
          <w:spacing w:val="-3"/>
          <w:kern w:val="0"/>
          <w14:ligatures w14:val="none"/>
        </w:rPr>
        <w:t xml:space="preserve">INTERIM ORDER ON </w:t>
      </w:r>
    </w:p>
    <w:p w14:paraId="0D33DD36" w14:textId="48B2105A" w:rsidR="00F30DE8" w:rsidRPr="00F30DE8" w:rsidRDefault="00F30DE8" w:rsidP="00F30DE8">
      <w:pPr>
        <w:tabs>
          <w:tab w:val="clear" w:pos="1440"/>
          <w:tab w:val="center" w:pos="4680"/>
        </w:tabs>
        <w:suppressAutoHyphens/>
        <w:autoSpaceDE w:val="0"/>
        <w:autoSpaceDN w:val="0"/>
        <w:spacing w:after="0" w:line="240" w:lineRule="auto"/>
        <w:jc w:val="center"/>
        <w:rPr>
          <w:rFonts w:eastAsia="Times New Roman"/>
          <w:b/>
          <w:bCs/>
          <w:spacing w:val="-3"/>
          <w:kern w:val="0"/>
          <w:u w:val="single"/>
          <w14:ligatures w14:val="none"/>
        </w:rPr>
      </w:pPr>
      <w:r>
        <w:rPr>
          <w:rFonts w:eastAsia="Times New Roman"/>
          <w:b/>
          <w:bCs/>
          <w:spacing w:val="-3"/>
          <w:kern w:val="0"/>
          <w:u w:val="single"/>
          <w14:ligatures w14:val="none"/>
        </w:rPr>
        <w:t>FURTHER PROCEEDINGS</w:t>
      </w:r>
    </w:p>
    <w:p w14:paraId="1E97263B" w14:textId="77777777" w:rsidR="00F30DE8" w:rsidRPr="00F30DE8" w:rsidRDefault="00F30DE8" w:rsidP="00F30DE8">
      <w:pPr>
        <w:tabs>
          <w:tab w:val="clear" w:pos="1440"/>
        </w:tabs>
        <w:autoSpaceDE w:val="0"/>
        <w:autoSpaceDN w:val="0"/>
        <w:spacing w:after="0" w:line="240" w:lineRule="auto"/>
        <w:jc w:val="center"/>
        <w:rPr>
          <w:rFonts w:eastAsia="Times New Roman"/>
          <w:kern w:val="0"/>
          <w14:ligatures w14:val="none"/>
        </w:rPr>
      </w:pPr>
    </w:p>
    <w:p w14:paraId="27A26726" w14:textId="77777777" w:rsidR="00F30DE8" w:rsidRPr="00F30DE8" w:rsidRDefault="00F30DE8" w:rsidP="00F30DE8">
      <w:pPr>
        <w:tabs>
          <w:tab w:val="clear" w:pos="1440"/>
        </w:tabs>
        <w:autoSpaceDE w:val="0"/>
        <w:autoSpaceDN w:val="0"/>
        <w:spacing w:after="0" w:line="240" w:lineRule="auto"/>
        <w:jc w:val="center"/>
        <w:rPr>
          <w:rFonts w:eastAsia="Times New Roman"/>
          <w:kern w:val="0"/>
          <w14:ligatures w14:val="none"/>
        </w:rPr>
      </w:pPr>
    </w:p>
    <w:p w14:paraId="1C5BDBBF" w14:textId="543AEB2A" w:rsidR="00F30DE8" w:rsidRPr="00F30DE8" w:rsidRDefault="00F30DE8" w:rsidP="00F30DE8">
      <w:pPr>
        <w:tabs>
          <w:tab w:val="clear" w:pos="1440"/>
          <w:tab w:val="left" w:pos="-720"/>
          <w:tab w:val="left" w:pos="2070"/>
        </w:tabs>
        <w:suppressAutoHyphens/>
        <w:autoSpaceDE w:val="0"/>
        <w:autoSpaceDN w:val="0"/>
        <w:spacing w:after="0"/>
        <w:ind w:firstLine="1440"/>
        <w:rPr>
          <w:rFonts w:eastAsia="Times New Roman"/>
          <w:kern w:val="0"/>
          <w14:ligatures w14:val="none"/>
        </w:rPr>
      </w:pPr>
      <w:r w:rsidRPr="00F30DE8">
        <w:rPr>
          <w:rFonts w:eastAsia="Times New Roman"/>
          <w:kern w:val="0"/>
          <w14:ligatures w14:val="none"/>
        </w:rPr>
        <w:t xml:space="preserve">On October 17, 2019, Deborah Engisch-Platt and Kim Platt filed a formal complaint with the Pennsylvania Public Utility Commission against Metropolitan Edison Company (Met-Ed.  In their complaint, the Platts averred that they are having a reliability, safety or quality problem with their utility service because they do not want a smart meter installed at their home due to various adverse health effects.  The Platts averred that Mr. Platt is 63 years old and has an irregular heart rate that is compounded by electromagnetic sensitivity and their daughter also has a sensory disorder affected by high pitched electrical humming sounds and pulsations.  The Platts requested that the analog meter remain on their home.  </w:t>
      </w:r>
    </w:p>
    <w:p w14:paraId="0B09F80B" w14:textId="77777777" w:rsidR="00F30DE8" w:rsidRPr="00F30DE8" w:rsidRDefault="00F30DE8" w:rsidP="00F30DE8">
      <w:pPr>
        <w:tabs>
          <w:tab w:val="clear" w:pos="1440"/>
          <w:tab w:val="left" w:pos="-720"/>
          <w:tab w:val="left" w:pos="2070"/>
        </w:tabs>
        <w:suppressAutoHyphens/>
        <w:autoSpaceDE w:val="0"/>
        <w:autoSpaceDN w:val="0"/>
        <w:spacing w:after="0"/>
        <w:ind w:firstLine="1440"/>
        <w:rPr>
          <w:rFonts w:eastAsia="Times New Roman"/>
          <w:kern w:val="0"/>
          <w14:ligatures w14:val="none"/>
        </w:rPr>
      </w:pPr>
    </w:p>
    <w:p w14:paraId="187D86AE" w14:textId="735C9AB9" w:rsidR="00F30DE8" w:rsidRPr="00F30DE8" w:rsidRDefault="00F30DE8" w:rsidP="00F30DE8">
      <w:pPr>
        <w:tabs>
          <w:tab w:val="clear" w:pos="1440"/>
          <w:tab w:val="left" w:pos="-720"/>
          <w:tab w:val="left" w:pos="2070"/>
        </w:tabs>
        <w:suppressAutoHyphens/>
        <w:autoSpaceDE w:val="0"/>
        <w:autoSpaceDN w:val="0"/>
        <w:spacing w:after="0"/>
        <w:ind w:firstLine="1440"/>
        <w:rPr>
          <w:rFonts w:eastAsia="Times New Roman"/>
          <w:kern w:val="0"/>
          <w14:ligatures w14:val="none"/>
        </w:rPr>
      </w:pPr>
      <w:r w:rsidRPr="00F30DE8">
        <w:rPr>
          <w:rFonts w:eastAsia="Times New Roman"/>
          <w:kern w:val="0"/>
          <w14:ligatures w14:val="none"/>
        </w:rPr>
        <w:t>On November 12, 2019, Met-Ed filed an answer and new matter in response to the Platt’s complaint.  In the answer, Met-Ed denied that the Platts are having a reliability, safety or quality problem with their utility service.  In its new matter, which was accompanied by a notice to plead, Met-Ed averred that the complaint is legally insufficient because the company has not violated the Public Utility Code or the orders or regulations of the Commission since the company is required to install smart meters.  Met-Ed requested that the complaint be dismissed.</w:t>
      </w:r>
    </w:p>
    <w:p w14:paraId="1B9A42DA" w14:textId="77777777" w:rsidR="00792796" w:rsidRDefault="00792796"/>
    <w:p w14:paraId="59B6A47B" w14:textId="29BAE280" w:rsidR="00F30DE8" w:rsidRDefault="00F30DE8">
      <w:r>
        <w:tab/>
        <w:t xml:space="preserve">The complaint was assigned to Deputy Chief Administrative Law Judge Joel Cheskis.    On August 18, 2020, Judge Cheskis issued an order which, among other things, set a </w:t>
      </w:r>
      <w:r>
        <w:lastRenderedPageBreak/>
        <w:t>procedural schedule for the exchange of written testimony.  Further proceedings were to be issued following the distribution of preserved testimony.</w:t>
      </w:r>
    </w:p>
    <w:p w14:paraId="0D99EC3D" w14:textId="0B1F169D" w:rsidR="00F30DE8" w:rsidRPr="00F30DE8" w:rsidRDefault="00F30DE8" w:rsidP="00F30DE8">
      <w:r>
        <w:tab/>
        <w:t>Shortly thereafter, t</w:t>
      </w:r>
      <w:r w:rsidRPr="00F30DE8">
        <w:t>he Commission issued a general stay of smart meter proceedings on November 4, 2020, in view of the litigation in the appellate courts related to smart meters.</w:t>
      </w:r>
      <w:r w:rsidR="003623B3">
        <w:rPr>
          <w:rStyle w:val="FootnoteReference"/>
        </w:rPr>
        <w:footnoteReference w:id="1"/>
      </w:r>
    </w:p>
    <w:p w14:paraId="65088A7E" w14:textId="77777777" w:rsidR="00F30DE8" w:rsidRPr="00F30DE8" w:rsidRDefault="00F30DE8" w:rsidP="00F30DE8">
      <w:r w:rsidRPr="00F30DE8">
        <w:tab/>
        <w:t xml:space="preserve">On August 16, 2022, the Pennsylvania issued a decision in </w:t>
      </w:r>
      <w:r w:rsidRPr="00F30DE8">
        <w:rPr>
          <w:i/>
          <w:iCs/>
        </w:rPr>
        <w:t>Povacz. v. Pa. Public Utility Commission</w:t>
      </w:r>
      <w:r w:rsidRPr="00F30DE8">
        <w:t>.</w:t>
      </w:r>
      <w:r w:rsidRPr="00F30DE8">
        <w:rPr>
          <w:vertAlign w:val="superscript"/>
        </w:rPr>
        <w:footnoteReference w:id="2"/>
      </w:r>
      <w:r w:rsidRPr="00F30DE8">
        <w:rPr>
          <w:i/>
          <w:iCs/>
        </w:rPr>
        <w:t xml:space="preserve"> </w:t>
      </w:r>
      <w:r w:rsidRPr="00F30DE8">
        <w:t xml:space="preserve"> In </w:t>
      </w:r>
      <w:r w:rsidRPr="00F30DE8">
        <w:rPr>
          <w:i/>
          <w:iCs/>
        </w:rPr>
        <w:t>Povacz II</w:t>
      </w:r>
      <w:r w:rsidRPr="00F30DE8">
        <w:t>, the Pennsylvania Supreme Court resolved many of the outstanding legal issues in many smart meter cases.  The court held, among other things, that under Act 129, customers have no right to refuse smart meter installation.</w:t>
      </w:r>
      <w:r w:rsidRPr="00F30DE8">
        <w:rPr>
          <w:vertAlign w:val="superscript"/>
        </w:rPr>
        <w:footnoteReference w:id="3"/>
      </w:r>
      <w:r w:rsidRPr="00F30DE8">
        <w:t xml:space="preserve">  The court further clarified the burden of proof required to support a claim that the installation of a smart meter violates the safe and reasonable service requirement of Section 1501 of the Public Utility Code.</w:t>
      </w:r>
      <w:r w:rsidRPr="00F30DE8">
        <w:rPr>
          <w:vertAlign w:val="superscript"/>
        </w:rPr>
        <w:footnoteReference w:id="4"/>
      </w:r>
      <w:r w:rsidRPr="00F30DE8">
        <w:t xml:space="preserve">  </w:t>
      </w:r>
    </w:p>
    <w:p w14:paraId="13B5F5AB" w14:textId="77777777" w:rsidR="00F30DE8" w:rsidRPr="00F30DE8" w:rsidRDefault="00F30DE8" w:rsidP="00F30DE8">
      <w:r w:rsidRPr="00F30DE8">
        <w:tab/>
        <w:t xml:space="preserve">A copy of the Supreme Court’s decision can by downloaded here:  </w:t>
      </w:r>
      <w:hyperlink r:id="rId7" w:history="1">
        <w:r w:rsidRPr="00F30DE8">
          <w:rPr>
            <w:rStyle w:val="Hyperlink"/>
          </w:rPr>
          <w:t>https://www.pacourts.us/assets/opinions/SUPREME/out/J-77-A-L-2021mo.pdf</w:t>
        </w:r>
      </w:hyperlink>
      <w:r w:rsidRPr="00F30DE8">
        <w:t xml:space="preserve"> </w:t>
      </w:r>
    </w:p>
    <w:p w14:paraId="469E5831" w14:textId="77777777" w:rsidR="00F30DE8" w:rsidRDefault="00F30DE8" w:rsidP="00F30DE8">
      <w:r w:rsidRPr="00F30DE8">
        <w:tab/>
        <w:t>By order entered November 14, 2023, the Commission lifted the general stay of smart meter proceedings and directed the Office of Administrative Law Judge to proceed with pending formal complaint proceedings as directed by the presiding administrative law judge.</w:t>
      </w:r>
    </w:p>
    <w:p w14:paraId="7B0EDBB0" w14:textId="4B966242" w:rsidR="00A66BFE" w:rsidRDefault="00A66BFE" w:rsidP="00F30DE8">
      <w:r>
        <w:tab/>
        <w:t>THEREFORE</w:t>
      </w:r>
      <w:r w:rsidR="00714F48">
        <w:t>,</w:t>
      </w:r>
    </w:p>
    <w:p w14:paraId="091B6666" w14:textId="717E5F86" w:rsidR="00A66BFE" w:rsidRDefault="00A66BFE" w:rsidP="00F30DE8">
      <w:r>
        <w:tab/>
        <w:t>IT IS ORDERED:</w:t>
      </w:r>
    </w:p>
    <w:p w14:paraId="24AF7714" w14:textId="69235009" w:rsidR="00A66BFE" w:rsidRDefault="00A66BFE" w:rsidP="00F30DE8">
      <w:r>
        <w:tab/>
        <w:t>1.</w:t>
      </w:r>
      <w:r>
        <w:tab/>
        <w:t xml:space="preserve">That the parties shall confer and submit a </w:t>
      </w:r>
      <w:r w:rsidR="00DD2888">
        <w:t xml:space="preserve">joint status report which includes </w:t>
      </w:r>
      <w:r>
        <w:t xml:space="preserve">revised schedule for the exchange of </w:t>
      </w:r>
      <w:r w:rsidR="00DD2888">
        <w:t>written testimony or other proposal for further proceedings.</w:t>
      </w:r>
    </w:p>
    <w:p w14:paraId="5C3E9C31" w14:textId="383BF4B1" w:rsidR="00DD2888" w:rsidRDefault="00DD2888" w:rsidP="00F30DE8">
      <w:r>
        <w:lastRenderedPageBreak/>
        <w:tab/>
        <w:t>2.</w:t>
      </w:r>
      <w:r>
        <w:tab/>
        <w:t>That</w:t>
      </w:r>
      <w:r w:rsidR="00BE0509">
        <w:t xml:space="preserve"> counsel for Met-Ed shall file and serve the status report on or before </w:t>
      </w:r>
      <w:r w:rsidR="009F4477" w:rsidRPr="00E66CEB">
        <w:rPr>
          <w:b/>
          <w:bCs/>
        </w:rPr>
        <w:t>February 7, 2024</w:t>
      </w:r>
      <w:r w:rsidR="009F4477" w:rsidRPr="00E66CEB">
        <w:t>.</w:t>
      </w:r>
      <w:r w:rsidR="009F4477">
        <w:t xml:space="preserve">  A copy shall be provided to me by email at </w:t>
      </w:r>
      <w:hyperlink r:id="rId8" w:history="1">
        <w:r w:rsidR="009F4477" w:rsidRPr="00AF5A29">
          <w:rPr>
            <w:rStyle w:val="Hyperlink"/>
          </w:rPr>
          <w:t>malong@pa.gov</w:t>
        </w:r>
      </w:hyperlink>
      <w:r w:rsidR="009F4477">
        <w:t xml:space="preserve">. </w:t>
      </w:r>
    </w:p>
    <w:p w14:paraId="5895BE0E" w14:textId="4490FA8A" w:rsidR="00E85339" w:rsidRDefault="00E85339" w:rsidP="00F30DE8">
      <w:r>
        <w:tab/>
        <w:t>3.</w:t>
      </w:r>
      <w:r>
        <w:tab/>
        <w:t>That i</w:t>
      </w:r>
      <w:r w:rsidRPr="00E85339">
        <w:t xml:space="preserve">f the Complainants no longer wish to pursue their complaint, they may withdraw it by filing a brief letter explaining their wish to withdraw the complaint.  A letter withdrawing the complaint should be filed with the Commission’s Secretary’s Bureau and served on opposing counsel.  A copy shall be emailed to </w:t>
      </w:r>
      <w:r w:rsidR="007656CA">
        <w:t>me</w:t>
      </w:r>
      <w:r w:rsidRPr="00E85339">
        <w:t xml:space="preserve"> at </w:t>
      </w:r>
      <w:hyperlink r:id="rId9" w:history="1">
        <w:r w:rsidR="00CC2433" w:rsidRPr="00AF5A29">
          <w:rPr>
            <w:rStyle w:val="Hyperlink"/>
          </w:rPr>
          <w:t>malong@pa.gov</w:t>
        </w:r>
      </w:hyperlink>
      <w:r w:rsidR="00CC2433">
        <w:t>.</w:t>
      </w:r>
      <w:r w:rsidRPr="00E85339">
        <w:t xml:space="preserve">  </w:t>
      </w:r>
    </w:p>
    <w:p w14:paraId="2ED1F19E" w14:textId="77777777" w:rsidR="006B108B" w:rsidRPr="00F30DE8" w:rsidRDefault="006B108B" w:rsidP="00F30DE8"/>
    <w:p w14:paraId="5B5AE00F" w14:textId="43AA3D0C" w:rsidR="00F30DE8" w:rsidRDefault="00F30DE8"/>
    <w:p w14:paraId="4139CAF7" w14:textId="77777777" w:rsidR="00514205" w:rsidRDefault="00514205" w:rsidP="00514205">
      <w:pPr>
        <w:spacing w:after="0" w:line="240" w:lineRule="auto"/>
      </w:pPr>
      <w:r w:rsidRPr="004B6921">
        <w:rPr>
          <w:u w:val="single"/>
        </w:rPr>
        <w:t>December 6</w:t>
      </w:r>
      <w:r w:rsidRPr="004B6921">
        <w:rPr>
          <w:u w:val="single"/>
          <w:vertAlign w:val="superscript"/>
        </w:rPr>
        <w:t>th</w:t>
      </w:r>
      <w:r w:rsidRPr="004B6921">
        <w:rPr>
          <w:u w:val="single"/>
        </w:rPr>
        <w:t>, 2023</w:t>
      </w:r>
      <w:r>
        <w:t xml:space="preserve">                                                                       ____/s/___________________</w:t>
      </w:r>
    </w:p>
    <w:p w14:paraId="612C3AEC" w14:textId="77777777" w:rsidR="00514205" w:rsidRDefault="00514205" w:rsidP="00514205">
      <w:pPr>
        <w:spacing w:after="0" w:line="240" w:lineRule="auto"/>
        <w:jc w:val="center"/>
      </w:pPr>
      <w:r>
        <w:t xml:space="preserve">                                                                       Mary D. Long</w:t>
      </w:r>
    </w:p>
    <w:p w14:paraId="78DD5DBA" w14:textId="77777777" w:rsidR="00514205" w:rsidRDefault="00514205" w:rsidP="00514205">
      <w:pPr>
        <w:spacing w:after="0" w:line="240" w:lineRule="auto"/>
        <w:jc w:val="center"/>
      </w:pPr>
      <w:r>
        <w:t xml:space="preserve">                                                                                          Administrative Law Judge</w:t>
      </w:r>
    </w:p>
    <w:p w14:paraId="53E3AC23" w14:textId="77777777" w:rsidR="00514205" w:rsidRDefault="00514205"/>
    <w:p w14:paraId="25F26ECA" w14:textId="77777777" w:rsidR="00514205" w:rsidRDefault="00514205" w:rsidP="00514205">
      <w:pPr>
        <w:rPr>
          <w:rFonts w:ascii="Microsoft Sans Serif" w:eastAsia="Microsoft Sans Serif" w:hAnsi="Microsoft Sans Serif" w:cs="Microsoft Sans Serif"/>
          <w:b/>
          <w:u w:val="single"/>
        </w:rPr>
        <w:sectPr w:rsidR="00514205" w:rsidSect="00AB2D44">
          <w:footerReference w:type="default" r:id="rId10"/>
          <w:pgSz w:w="12240" w:h="15840"/>
          <w:pgMar w:top="1440" w:right="1440" w:bottom="1440" w:left="1440" w:header="720" w:footer="720" w:gutter="0"/>
          <w:cols w:space="720"/>
          <w:titlePg/>
          <w:docGrid w:linePitch="360"/>
        </w:sectPr>
      </w:pPr>
    </w:p>
    <w:p w14:paraId="604FA1F7" w14:textId="77777777" w:rsidR="00514205" w:rsidRDefault="00514205" w:rsidP="0051420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C-2019-3013745 - DEBORAH &amp; KIM PLATT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DEBORAH &amp; KIM PLATT</w:t>
      </w:r>
      <w:r>
        <w:rPr>
          <w:rFonts w:ascii="Microsoft Sans Serif" w:eastAsia="Microsoft Sans Serif" w:hAnsi="Microsoft Sans Serif" w:cs="Microsoft Sans Serif"/>
        </w:rPr>
        <w:cr/>
        <w:t>PO BOX 175</w:t>
      </w:r>
      <w:r>
        <w:rPr>
          <w:rFonts w:ascii="Microsoft Sans Serif" w:eastAsia="Microsoft Sans Serif" w:hAnsi="Microsoft Sans Serif" w:cs="Microsoft Sans Serif"/>
        </w:rPr>
        <w:cr/>
        <w:t>POINT PLEASANT PA  18950</w:t>
      </w:r>
      <w:r>
        <w:rPr>
          <w:rFonts w:ascii="Microsoft Sans Serif" w:eastAsia="Microsoft Sans Serif" w:hAnsi="Microsoft Sans Serif" w:cs="Microsoft Sans Serif"/>
        </w:rPr>
        <w:cr/>
      </w:r>
      <w:r w:rsidRPr="00765462">
        <w:rPr>
          <w:rFonts w:ascii="Microsoft Sans Serif" w:eastAsia="Microsoft Sans Serif" w:hAnsi="Microsoft Sans Serif" w:cs="Microsoft Sans Serif"/>
          <w:b/>
          <w:bCs/>
        </w:rPr>
        <w:t>215.297.8899</w:t>
      </w:r>
      <w:r>
        <w:rPr>
          <w:rFonts w:ascii="Microsoft Sans Serif" w:eastAsia="Microsoft Sans Serif" w:hAnsi="Microsoft Sans Serif" w:cs="Microsoft Sans Serif"/>
        </w:rPr>
        <w:cr/>
        <w:t>RIVERSONG3@COMCAST.NET</w:t>
      </w:r>
    </w:p>
    <w:p w14:paraId="6A05661B" w14:textId="77777777" w:rsidR="00514205" w:rsidRDefault="00514205" w:rsidP="00514205">
      <w:pPr>
        <w:rPr>
          <w:rFonts w:ascii="Microsoft Sans Serif" w:eastAsia="Microsoft Sans Serif" w:hAnsi="Microsoft Sans Serif" w:cs="Microsoft Sans Serif"/>
        </w:rPr>
      </w:pP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A620B3">
        <w:rPr>
          <w:rFonts w:ascii="Microsoft Sans Serif" w:eastAsia="Microsoft Sans Serif" w:hAnsi="Microsoft Sans Serif" w:cs="Microsoft Sans Serif"/>
          <w:b/>
          <w:bCs/>
        </w:rPr>
        <w:t>610.921.6203</w:t>
      </w:r>
      <w:r w:rsidRPr="00A620B3">
        <w:rPr>
          <w:rFonts w:ascii="Microsoft Sans Serif" w:eastAsia="Microsoft Sans Serif" w:hAnsi="Microsoft Sans Serif" w:cs="Microsoft Sans Serif"/>
          <w:b/>
          <w:bCs/>
        </w:rPr>
        <w:cr/>
      </w:r>
      <w:r>
        <w:rPr>
          <w:rFonts w:ascii="Microsoft Sans Serif" w:eastAsia="Microsoft Sans Serif" w:hAnsi="Microsoft Sans Serif" w:cs="Microsoft Sans Serif"/>
        </w:rPr>
        <w:t>LLEPKOSKI@FIRSTENERGYCORP.COM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6C2B10CB" w14:textId="77777777" w:rsidR="00514205" w:rsidRDefault="00514205" w:rsidP="00514205">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A620B3">
        <w:rPr>
          <w:rFonts w:ascii="Microsoft Sans Serif" w:eastAsia="Microsoft Sans Serif" w:hAnsi="Microsoft Sans Serif" w:cs="Microsoft Sans Serif"/>
          <w:b/>
          <w:bCs/>
        </w:rPr>
        <w:t>610.921.6658</w:t>
      </w:r>
      <w:r w:rsidRPr="00A620B3">
        <w:rPr>
          <w:rFonts w:ascii="Microsoft Sans Serif" w:eastAsia="Microsoft Sans Serif" w:hAnsi="Microsoft Sans Serif" w:cs="Microsoft Sans Serif"/>
          <w:b/>
          <w:bCs/>
        </w:rPr>
        <w:cr/>
      </w:r>
      <w:r>
        <w:rPr>
          <w:rFonts w:ascii="Microsoft Sans Serif" w:eastAsia="Microsoft Sans Serif" w:hAnsi="Microsoft Sans Serif" w:cs="Microsoft Sans Serif"/>
        </w:rPr>
        <w:t>TGIESLER@FIRSTENERGYCORP.COM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4B3026AB" w14:textId="77777777" w:rsidR="00514205" w:rsidRDefault="00514205" w:rsidP="00514205"/>
    <w:p w14:paraId="11AD5357" w14:textId="611DEB95" w:rsidR="00F30DE8" w:rsidRDefault="00F30DE8">
      <w:r>
        <w:tab/>
      </w:r>
    </w:p>
    <w:sectPr w:rsidR="00F30DE8" w:rsidSect="00AB2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94BE" w14:textId="77777777" w:rsidR="004F6B85" w:rsidRDefault="004F6B85" w:rsidP="00F30DE8">
      <w:pPr>
        <w:spacing w:after="0" w:line="240" w:lineRule="auto"/>
      </w:pPr>
      <w:r>
        <w:separator/>
      </w:r>
    </w:p>
  </w:endnote>
  <w:endnote w:type="continuationSeparator" w:id="0">
    <w:p w14:paraId="2FC737A4" w14:textId="77777777" w:rsidR="004F6B85" w:rsidRDefault="004F6B85" w:rsidP="00F3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640106"/>
      <w:docPartObj>
        <w:docPartGallery w:val="Page Numbers (Bottom of Page)"/>
        <w:docPartUnique/>
      </w:docPartObj>
    </w:sdtPr>
    <w:sdtEndPr>
      <w:rPr>
        <w:noProof/>
      </w:rPr>
    </w:sdtEndPr>
    <w:sdtContent>
      <w:p w14:paraId="62FF47F2" w14:textId="68BA2E65" w:rsidR="00AB2D44" w:rsidRDefault="00AB2D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574BA" w14:textId="77777777" w:rsidR="00AB2D44" w:rsidRDefault="00AB2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4B3A" w14:textId="77777777" w:rsidR="004F6B85" w:rsidRDefault="004F6B85" w:rsidP="00F30DE8">
      <w:pPr>
        <w:spacing w:after="0" w:line="240" w:lineRule="auto"/>
      </w:pPr>
      <w:r>
        <w:separator/>
      </w:r>
    </w:p>
  </w:footnote>
  <w:footnote w:type="continuationSeparator" w:id="0">
    <w:p w14:paraId="3B7B0193" w14:textId="77777777" w:rsidR="004F6B85" w:rsidRDefault="004F6B85" w:rsidP="00F30DE8">
      <w:pPr>
        <w:spacing w:after="0" w:line="240" w:lineRule="auto"/>
      </w:pPr>
      <w:r>
        <w:continuationSeparator/>
      </w:r>
    </w:p>
  </w:footnote>
  <w:footnote w:id="1">
    <w:p w14:paraId="42B341CD" w14:textId="1F957178" w:rsidR="003623B3" w:rsidRDefault="00043DC1">
      <w:pPr>
        <w:pStyle w:val="FootnoteText"/>
      </w:pPr>
      <w:r>
        <w:tab/>
      </w:r>
      <w:r w:rsidR="003623B3">
        <w:rPr>
          <w:rStyle w:val="FootnoteReference"/>
        </w:rPr>
        <w:footnoteRef/>
      </w:r>
      <w:r w:rsidR="003623B3">
        <w:t xml:space="preserve"> </w:t>
      </w:r>
      <w:r w:rsidR="003623B3">
        <w:tab/>
        <w:t>By notice</w:t>
      </w:r>
      <w:r>
        <w:t xml:space="preserve"> dated November 22, 2022</w:t>
      </w:r>
      <w:r w:rsidR="00BA7598">
        <w:t>,</w:t>
      </w:r>
      <w:r>
        <w:t xml:space="preserve"> the case was reassigned to me.</w:t>
      </w:r>
    </w:p>
  </w:footnote>
  <w:footnote w:id="2">
    <w:p w14:paraId="74F4C8C0" w14:textId="77777777" w:rsidR="00F30DE8" w:rsidRPr="00BD7681" w:rsidRDefault="00F30DE8" w:rsidP="00F30DE8">
      <w:pPr>
        <w:pStyle w:val="FootnoteText"/>
      </w:pPr>
      <w:r>
        <w:tab/>
      </w:r>
      <w:r w:rsidRPr="00BD7681">
        <w:rPr>
          <w:rStyle w:val="FootnoteReference"/>
        </w:rPr>
        <w:footnoteRef/>
      </w:r>
      <w:r w:rsidRPr="00BD7681">
        <w:t xml:space="preserve"> </w:t>
      </w:r>
      <w:r w:rsidRPr="00BD7681">
        <w:tab/>
      </w:r>
      <w:r w:rsidRPr="00BA7598">
        <w:rPr>
          <w:i/>
          <w:iCs/>
        </w:rPr>
        <w:t>Povacz, v. Pa. Public Utility Commission</w:t>
      </w:r>
      <w:r w:rsidRPr="00BD7681">
        <w:t>, 280 A.3d 975 (Pa. 2022)</w:t>
      </w:r>
      <w:r>
        <w:t>(</w:t>
      </w:r>
      <w:r w:rsidRPr="00BA7598">
        <w:rPr>
          <w:i/>
          <w:iCs/>
        </w:rPr>
        <w:t>Povacz II</w:t>
      </w:r>
      <w:r>
        <w:t>).</w:t>
      </w:r>
    </w:p>
  </w:footnote>
  <w:footnote w:id="3">
    <w:p w14:paraId="6DC67452" w14:textId="77777777" w:rsidR="00F30DE8" w:rsidRPr="00BD7681" w:rsidRDefault="00F30DE8" w:rsidP="00F30DE8">
      <w:pPr>
        <w:pStyle w:val="FootnoteText"/>
      </w:pPr>
      <w:r>
        <w:tab/>
      </w:r>
      <w:r w:rsidRPr="00BD7681">
        <w:rPr>
          <w:rStyle w:val="FootnoteReference"/>
        </w:rPr>
        <w:footnoteRef/>
      </w:r>
      <w:r w:rsidRPr="00BD7681">
        <w:t xml:space="preserve"> </w:t>
      </w:r>
      <w:r w:rsidRPr="00BD7681">
        <w:tab/>
      </w:r>
      <w:r w:rsidRPr="00BD7681">
        <w:rPr>
          <w:i/>
          <w:iCs/>
        </w:rPr>
        <w:t xml:space="preserve">Id. </w:t>
      </w:r>
      <w:r w:rsidRPr="00BD7681">
        <w:t xml:space="preserve">at 997.  </w:t>
      </w:r>
    </w:p>
  </w:footnote>
  <w:footnote w:id="4">
    <w:p w14:paraId="71695051" w14:textId="77777777" w:rsidR="00F30DE8" w:rsidRDefault="00F30DE8" w:rsidP="00F30DE8">
      <w:pPr>
        <w:pStyle w:val="FootnoteText"/>
      </w:pPr>
      <w:r>
        <w:tab/>
      </w:r>
      <w:r>
        <w:rPr>
          <w:rStyle w:val="FootnoteReference"/>
        </w:rPr>
        <w:footnoteRef/>
      </w:r>
      <w:r>
        <w:t xml:space="preserve"> </w:t>
      </w:r>
      <w:r>
        <w:tab/>
        <w:t>66 Pa. C.S. § 1501.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60A80"/>
    <w:multiLevelType w:val="hybridMultilevel"/>
    <w:tmpl w:val="D200DB98"/>
    <w:lvl w:ilvl="0" w:tplc="131A383A">
      <w:start w:val="1"/>
      <w:numFmt w:val="decimal"/>
      <w:pStyle w:val="ListParagraph"/>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2"/>
  </w:num>
  <w:num w:numId="2" w16cid:durableId="434331319">
    <w:abstractNumId w:val="22"/>
  </w:num>
  <w:num w:numId="3" w16cid:durableId="700204405">
    <w:abstractNumId w:val="30"/>
  </w:num>
  <w:num w:numId="4" w16cid:durableId="1443763581">
    <w:abstractNumId w:val="34"/>
  </w:num>
  <w:num w:numId="5" w16cid:durableId="1888641000">
    <w:abstractNumId w:val="12"/>
  </w:num>
  <w:num w:numId="6" w16cid:durableId="771897392">
    <w:abstractNumId w:val="8"/>
  </w:num>
  <w:num w:numId="7" w16cid:durableId="401686284">
    <w:abstractNumId w:val="6"/>
  </w:num>
  <w:num w:numId="8" w16cid:durableId="905720563">
    <w:abstractNumId w:val="33"/>
  </w:num>
  <w:num w:numId="9" w16cid:durableId="76749609">
    <w:abstractNumId w:val="3"/>
  </w:num>
  <w:num w:numId="10" w16cid:durableId="1172405981">
    <w:abstractNumId w:val="24"/>
  </w:num>
  <w:num w:numId="11" w16cid:durableId="1312253715">
    <w:abstractNumId w:val="29"/>
  </w:num>
  <w:num w:numId="12" w16cid:durableId="10184379">
    <w:abstractNumId w:val="18"/>
  </w:num>
  <w:num w:numId="13" w16cid:durableId="529227091">
    <w:abstractNumId w:val="26"/>
  </w:num>
  <w:num w:numId="14" w16cid:durableId="2083213294">
    <w:abstractNumId w:val="31"/>
  </w:num>
  <w:num w:numId="15" w16cid:durableId="103304739">
    <w:abstractNumId w:val="0"/>
  </w:num>
  <w:num w:numId="16" w16cid:durableId="1268391741">
    <w:abstractNumId w:val="23"/>
  </w:num>
  <w:num w:numId="17" w16cid:durableId="1737705955">
    <w:abstractNumId w:val="23"/>
  </w:num>
  <w:num w:numId="18" w16cid:durableId="2065447608">
    <w:abstractNumId w:val="11"/>
  </w:num>
  <w:num w:numId="19" w16cid:durableId="240335003">
    <w:abstractNumId w:val="19"/>
  </w:num>
  <w:num w:numId="20" w16cid:durableId="1699697877">
    <w:abstractNumId w:val="35"/>
  </w:num>
  <w:num w:numId="21" w16cid:durableId="1433433638">
    <w:abstractNumId w:val="16"/>
  </w:num>
  <w:num w:numId="22" w16cid:durableId="1235362085">
    <w:abstractNumId w:val="5"/>
  </w:num>
  <w:num w:numId="23" w16cid:durableId="1143349798">
    <w:abstractNumId w:val="17"/>
  </w:num>
  <w:num w:numId="24" w16cid:durableId="638923867">
    <w:abstractNumId w:val="38"/>
  </w:num>
  <w:num w:numId="25" w16cid:durableId="1407266254">
    <w:abstractNumId w:val="1"/>
  </w:num>
  <w:num w:numId="26" w16cid:durableId="1634946696">
    <w:abstractNumId w:val="7"/>
  </w:num>
  <w:num w:numId="27" w16cid:durableId="1395852139">
    <w:abstractNumId w:val="28"/>
  </w:num>
  <w:num w:numId="28" w16cid:durableId="1694070323">
    <w:abstractNumId w:val="15"/>
  </w:num>
  <w:num w:numId="29" w16cid:durableId="722409651">
    <w:abstractNumId w:val="10"/>
  </w:num>
  <w:num w:numId="30" w16cid:durableId="1882018023">
    <w:abstractNumId w:val="21"/>
  </w:num>
  <w:num w:numId="31" w16cid:durableId="1653749281">
    <w:abstractNumId w:val="36"/>
  </w:num>
  <w:num w:numId="32" w16cid:durableId="1057171494">
    <w:abstractNumId w:val="37"/>
  </w:num>
  <w:num w:numId="33" w16cid:durableId="1563904577">
    <w:abstractNumId w:val="27"/>
  </w:num>
  <w:num w:numId="34" w16cid:durableId="1325668127">
    <w:abstractNumId w:val="4"/>
  </w:num>
  <w:num w:numId="35" w16cid:durableId="1633827708">
    <w:abstractNumId w:val="20"/>
  </w:num>
  <w:num w:numId="36" w16cid:durableId="722096734">
    <w:abstractNumId w:val="2"/>
  </w:num>
  <w:num w:numId="37" w16cid:durableId="50353854">
    <w:abstractNumId w:val="13"/>
  </w:num>
  <w:num w:numId="38" w16cid:durableId="1740320400">
    <w:abstractNumId w:val="25"/>
  </w:num>
  <w:num w:numId="39" w16cid:durableId="1583250809">
    <w:abstractNumId w:val="14"/>
  </w:num>
  <w:num w:numId="40" w16cid:durableId="2027363711">
    <w:abstractNumId w:val="9"/>
  </w:num>
  <w:num w:numId="41" w16cid:durableId="203491476">
    <w:abstractNumId w:val="9"/>
  </w:num>
  <w:num w:numId="42" w16cid:durableId="2108693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E8"/>
    <w:rsid w:val="00004C37"/>
    <w:rsid w:val="000066B3"/>
    <w:rsid w:val="00043DC1"/>
    <w:rsid w:val="00066D87"/>
    <w:rsid w:val="00083973"/>
    <w:rsid w:val="000D79B3"/>
    <w:rsid w:val="000E3EDE"/>
    <w:rsid w:val="00107E82"/>
    <w:rsid w:val="001A21B6"/>
    <w:rsid w:val="001B1CBA"/>
    <w:rsid w:val="001C33B1"/>
    <w:rsid w:val="001D2AF7"/>
    <w:rsid w:val="00207743"/>
    <w:rsid w:val="00213167"/>
    <w:rsid w:val="002512F9"/>
    <w:rsid w:val="00267405"/>
    <w:rsid w:val="002C0B5A"/>
    <w:rsid w:val="002C697B"/>
    <w:rsid w:val="003145FA"/>
    <w:rsid w:val="003623B3"/>
    <w:rsid w:val="00367A41"/>
    <w:rsid w:val="00393C92"/>
    <w:rsid w:val="003A1A41"/>
    <w:rsid w:val="003A3E09"/>
    <w:rsid w:val="00417566"/>
    <w:rsid w:val="004D523C"/>
    <w:rsid w:val="004F6B85"/>
    <w:rsid w:val="00514205"/>
    <w:rsid w:val="005A1C17"/>
    <w:rsid w:val="005A20B8"/>
    <w:rsid w:val="005A2ABA"/>
    <w:rsid w:val="005D180A"/>
    <w:rsid w:val="005E7B69"/>
    <w:rsid w:val="00613EA9"/>
    <w:rsid w:val="0061775F"/>
    <w:rsid w:val="00696C0D"/>
    <w:rsid w:val="006B108B"/>
    <w:rsid w:val="006C6A0D"/>
    <w:rsid w:val="006F0329"/>
    <w:rsid w:val="00700807"/>
    <w:rsid w:val="00712E58"/>
    <w:rsid w:val="00714F48"/>
    <w:rsid w:val="007407AC"/>
    <w:rsid w:val="00755D72"/>
    <w:rsid w:val="007656CA"/>
    <w:rsid w:val="00792796"/>
    <w:rsid w:val="00796B64"/>
    <w:rsid w:val="007E6779"/>
    <w:rsid w:val="00820B4C"/>
    <w:rsid w:val="0083239D"/>
    <w:rsid w:val="008529D2"/>
    <w:rsid w:val="0088105E"/>
    <w:rsid w:val="00917DCA"/>
    <w:rsid w:val="00926DE3"/>
    <w:rsid w:val="009C7C72"/>
    <w:rsid w:val="009F4477"/>
    <w:rsid w:val="00A47096"/>
    <w:rsid w:val="00A66BFE"/>
    <w:rsid w:val="00A74A63"/>
    <w:rsid w:val="00AA2EC5"/>
    <w:rsid w:val="00AB2D44"/>
    <w:rsid w:val="00AB4C73"/>
    <w:rsid w:val="00AD27C0"/>
    <w:rsid w:val="00AE6F47"/>
    <w:rsid w:val="00B91E47"/>
    <w:rsid w:val="00BA7598"/>
    <w:rsid w:val="00BC6B21"/>
    <w:rsid w:val="00BE0509"/>
    <w:rsid w:val="00C04D8A"/>
    <w:rsid w:val="00C65884"/>
    <w:rsid w:val="00C87E57"/>
    <w:rsid w:val="00CC2433"/>
    <w:rsid w:val="00CF6143"/>
    <w:rsid w:val="00D14843"/>
    <w:rsid w:val="00DD2888"/>
    <w:rsid w:val="00DD5C37"/>
    <w:rsid w:val="00DF35D9"/>
    <w:rsid w:val="00E4239A"/>
    <w:rsid w:val="00E445B2"/>
    <w:rsid w:val="00E66CEB"/>
    <w:rsid w:val="00E85339"/>
    <w:rsid w:val="00EB027A"/>
    <w:rsid w:val="00EC1CBA"/>
    <w:rsid w:val="00EE7801"/>
    <w:rsid w:val="00F11A19"/>
    <w:rsid w:val="00F16554"/>
    <w:rsid w:val="00F30DE8"/>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E201"/>
  <w15:chartTrackingRefBased/>
  <w15:docId w15:val="{143EC23E-11D7-4641-981E-A55405E2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se note"/>
    <w:qFormat/>
    <w:rsid w:val="00A74A63"/>
    <w:pPr>
      <w:tabs>
        <w:tab w:val="left" w:pos="1440"/>
      </w:tab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A74A63"/>
    <w:pPr>
      <w:numPr>
        <w:numId w:val="42"/>
      </w:numPr>
      <w:spacing w:after="100" w:afterAutospacing="1"/>
    </w:pPr>
    <w:rPr>
      <w:rFonts w:eastAsia="Times New Roman"/>
    </w:rPr>
  </w:style>
  <w:style w:type="paragraph" w:styleId="FootnoteText">
    <w:name w:val="footnote text"/>
    <w:basedOn w:val="Normal"/>
    <w:link w:val="FootnoteTextChar"/>
    <w:autoRedefine/>
    <w:uiPriority w:val="99"/>
    <w:qFormat/>
    <w:rsid w:val="00A74A63"/>
    <w:rPr>
      <w:rFonts w:eastAsia="Times New Roman"/>
      <w:sz w:val="20"/>
    </w:rPr>
  </w:style>
  <w:style w:type="character" w:customStyle="1" w:styleId="FootnoteTextChar">
    <w:name w:val="Footnote Text Char"/>
    <w:basedOn w:val="DefaultParagraphFont"/>
    <w:link w:val="FootnoteText"/>
    <w:uiPriority w:val="99"/>
    <w:rsid w:val="00A74A63"/>
    <w:rPr>
      <w:rFonts w:eastAsia="Times New Roman" w:cstheme="minorBidi"/>
      <w:sz w:val="20"/>
      <w:szCs w:val="22"/>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A74A63"/>
    <w:rPr>
      <w:rFonts w:eastAsia="Times New Roman"/>
      <w:szCs w:val="24"/>
    </w:rPr>
  </w:style>
  <w:style w:type="paragraph" w:customStyle="1" w:styleId="Style1">
    <w:name w:val="Style1"/>
    <w:basedOn w:val="ListParagraph"/>
    <w:link w:val="Style1Char"/>
    <w:qFormat/>
    <w:rsid w:val="00A74A63"/>
    <w:pPr>
      <w:ind w:left="0" w:firstLine="1440"/>
    </w:pPr>
  </w:style>
  <w:style w:type="character" w:customStyle="1" w:styleId="Style1Char">
    <w:name w:val="Style1 Char"/>
    <w:basedOn w:val="ListParagraphChar"/>
    <w:link w:val="Style1"/>
    <w:rsid w:val="00A74A63"/>
    <w:rPr>
      <w:rFonts w:eastAsia="Times New Roman"/>
      <w:szCs w:val="24"/>
    </w:rPr>
  </w:style>
  <w:style w:type="character" w:styleId="FootnoteReference">
    <w:name w:val="footnote reference"/>
    <w:aliases w:val="o,fr"/>
    <w:uiPriority w:val="99"/>
    <w:unhideWhenUsed/>
    <w:rsid w:val="00F30DE8"/>
    <w:rPr>
      <w:vertAlign w:val="superscript"/>
    </w:rPr>
  </w:style>
  <w:style w:type="character" w:styleId="Hyperlink">
    <w:name w:val="Hyperlink"/>
    <w:basedOn w:val="DefaultParagraphFont"/>
    <w:uiPriority w:val="99"/>
    <w:unhideWhenUsed/>
    <w:rsid w:val="00F30DE8"/>
    <w:rPr>
      <w:color w:val="0000FF" w:themeColor="hyperlink"/>
      <w:u w:val="single"/>
    </w:rPr>
  </w:style>
  <w:style w:type="character" w:styleId="UnresolvedMention">
    <w:name w:val="Unresolved Mention"/>
    <w:basedOn w:val="DefaultParagraphFont"/>
    <w:uiPriority w:val="99"/>
    <w:semiHidden/>
    <w:unhideWhenUsed/>
    <w:rsid w:val="00F30DE8"/>
    <w:rPr>
      <w:color w:val="605E5C"/>
      <w:shd w:val="clear" w:color="auto" w:fill="E1DFDD"/>
    </w:rPr>
  </w:style>
  <w:style w:type="paragraph" w:styleId="Header">
    <w:name w:val="header"/>
    <w:basedOn w:val="Normal"/>
    <w:link w:val="HeaderChar"/>
    <w:uiPriority w:val="99"/>
    <w:unhideWhenUsed/>
    <w:rsid w:val="00AB2D4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AB2D44"/>
  </w:style>
  <w:style w:type="paragraph" w:styleId="Footer">
    <w:name w:val="footer"/>
    <w:basedOn w:val="Normal"/>
    <w:link w:val="FooterChar"/>
    <w:uiPriority w:val="99"/>
    <w:unhideWhenUsed/>
    <w:rsid w:val="00AB2D4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AB2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3" Type="http://schemas.openxmlformats.org/officeDocument/2006/relationships/settings" Target="settings.xml"/><Relationship Id="rId7" Type="http://schemas.openxmlformats.org/officeDocument/2006/relationships/hyperlink" Target="https://www.pacourts.us/assets/opinions/SUPREME/out/J-77-A-L-2021m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3963</Characters>
  <Application>Microsoft Office Word</Application>
  <DocSecurity>4</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Foster, Laythan</cp:lastModifiedBy>
  <cp:revision>2</cp:revision>
  <dcterms:created xsi:type="dcterms:W3CDTF">2023-12-06T19:56:00Z</dcterms:created>
  <dcterms:modified xsi:type="dcterms:W3CDTF">2023-12-06T19:56:00Z</dcterms:modified>
</cp:coreProperties>
</file>