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67B53" w14:textId="77777777" w:rsidR="002173DD" w:rsidRPr="003B2ED9" w:rsidRDefault="002173DD" w:rsidP="002173DD">
      <w:pPr>
        <w:tabs>
          <w:tab w:val="center" w:pos="4680"/>
        </w:tabs>
        <w:jc w:val="center"/>
        <w:rPr>
          <w:b/>
          <w:sz w:val="24"/>
          <w:szCs w:val="24"/>
        </w:rPr>
      </w:pPr>
      <w:r w:rsidRPr="003B2ED9">
        <w:rPr>
          <w:b/>
          <w:sz w:val="24"/>
          <w:szCs w:val="24"/>
        </w:rPr>
        <w:t>BEFORE THE</w:t>
      </w:r>
    </w:p>
    <w:p w14:paraId="0B361518" w14:textId="77777777" w:rsidR="002173DD" w:rsidRPr="003B2ED9" w:rsidRDefault="002173DD" w:rsidP="002173DD">
      <w:pPr>
        <w:tabs>
          <w:tab w:val="center" w:pos="4680"/>
        </w:tabs>
        <w:jc w:val="center"/>
        <w:rPr>
          <w:b/>
          <w:sz w:val="24"/>
          <w:szCs w:val="24"/>
        </w:rPr>
      </w:pPr>
      <w:r w:rsidRPr="003B2ED9">
        <w:rPr>
          <w:b/>
          <w:sz w:val="24"/>
          <w:szCs w:val="24"/>
        </w:rPr>
        <w:t>PENNSYLVANIA PUBLIC UTILITY COMMISSION</w:t>
      </w:r>
    </w:p>
    <w:p w14:paraId="34D3E973" w14:textId="77777777" w:rsidR="002173DD" w:rsidRPr="003B2ED9" w:rsidRDefault="002173DD" w:rsidP="002173DD">
      <w:pPr>
        <w:tabs>
          <w:tab w:val="center" w:pos="4680"/>
        </w:tabs>
        <w:jc w:val="both"/>
        <w:rPr>
          <w:sz w:val="24"/>
          <w:szCs w:val="24"/>
        </w:rPr>
      </w:pPr>
    </w:p>
    <w:p w14:paraId="40AFAF4D" w14:textId="77777777" w:rsidR="002173DD" w:rsidRPr="003B2ED9" w:rsidRDefault="002173DD" w:rsidP="002173DD">
      <w:pPr>
        <w:jc w:val="both"/>
        <w:rPr>
          <w:sz w:val="24"/>
          <w:szCs w:val="24"/>
        </w:rPr>
      </w:pPr>
    </w:p>
    <w:p w14:paraId="2EE5049A" w14:textId="77777777" w:rsidR="002173DD" w:rsidRPr="003B2ED9" w:rsidRDefault="002173DD" w:rsidP="002173DD">
      <w:pPr>
        <w:jc w:val="both"/>
        <w:rPr>
          <w:sz w:val="24"/>
          <w:szCs w:val="24"/>
        </w:rPr>
      </w:pPr>
    </w:p>
    <w:p w14:paraId="22EE4371" w14:textId="142DD5AF" w:rsidR="002173DD" w:rsidRPr="003B2ED9" w:rsidRDefault="004161EA" w:rsidP="002173DD">
      <w:pPr>
        <w:jc w:val="both"/>
        <w:rPr>
          <w:sz w:val="24"/>
          <w:szCs w:val="24"/>
        </w:rPr>
      </w:pPr>
      <w:r w:rsidRPr="003B2ED9">
        <w:rPr>
          <w:sz w:val="24"/>
          <w:szCs w:val="24"/>
        </w:rPr>
        <w:t>Victor Ruffin</w:t>
      </w:r>
      <w:r w:rsidRPr="003B2ED9">
        <w:rPr>
          <w:sz w:val="24"/>
          <w:szCs w:val="24"/>
        </w:rPr>
        <w:tab/>
      </w:r>
      <w:r w:rsidR="002173DD" w:rsidRPr="003B2ED9">
        <w:rPr>
          <w:sz w:val="24"/>
          <w:szCs w:val="24"/>
        </w:rPr>
        <w:tab/>
      </w:r>
      <w:r w:rsidR="002173DD" w:rsidRPr="003B2ED9">
        <w:rPr>
          <w:sz w:val="24"/>
          <w:szCs w:val="24"/>
        </w:rPr>
        <w:tab/>
      </w:r>
      <w:r w:rsidR="002173DD" w:rsidRPr="003B2ED9">
        <w:rPr>
          <w:sz w:val="24"/>
          <w:szCs w:val="24"/>
        </w:rPr>
        <w:tab/>
      </w:r>
      <w:r w:rsidR="002173DD" w:rsidRPr="003B2ED9">
        <w:rPr>
          <w:sz w:val="24"/>
          <w:szCs w:val="24"/>
        </w:rPr>
        <w:tab/>
      </w:r>
      <w:r w:rsidR="002173DD" w:rsidRPr="003B2ED9">
        <w:rPr>
          <w:sz w:val="24"/>
          <w:szCs w:val="24"/>
        </w:rPr>
        <w:tab/>
        <w:t>:</w:t>
      </w:r>
    </w:p>
    <w:p w14:paraId="299E0212" w14:textId="77777777" w:rsidR="002173DD" w:rsidRPr="003B2ED9" w:rsidRDefault="002173DD" w:rsidP="002173DD">
      <w:pPr>
        <w:ind w:left="720" w:firstLine="4320"/>
        <w:jc w:val="both"/>
        <w:rPr>
          <w:sz w:val="24"/>
          <w:szCs w:val="24"/>
        </w:rPr>
      </w:pPr>
      <w:r w:rsidRPr="003B2ED9">
        <w:rPr>
          <w:sz w:val="24"/>
          <w:szCs w:val="24"/>
        </w:rPr>
        <w:t>:</w:t>
      </w:r>
    </w:p>
    <w:p w14:paraId="2DC232F9" w14:textId="2DAD8997" w:rsidR="002173DD" w:rsidRPr="003B2ED9" w:rsidRDefault="002173DD" w:rsidP="002173DD">
      <w:pPr>
        <w:ind w:firstLine="720"/>
        <w:jc w:val="both"/>
        <w:rPr>
          <w:sz w:val="24"/>
          <w:szCs w:val="24"/>
        </w:rPr>
      </w:pPr>
      <w:r w:rsidRPr="003B2ED9">
        <w:rPr>
          <w:sz w:val="24"/>
          <w:szCs w:val="24"/>
        </w:rPr>
        <w:t>v.</w:t>
      </w:r>
      <w:r w:rsidRPr="003B2ED9">
        <w:rPr>
          <w:sz w:val="24"/>
          <w:szCs w:val="24"/>
        </w:rPr>
        <w:tab/>
      </w:r>
      <w:r w:rsidRPr="003B2ED9">
        <w:rPr>
          <w:sz w:val="24"/>
          <w:szCs w:val="24"/>
        </w:rPr>
        <w:tab/>
      </w:r>
      <w:r w:rsidRPr="003B2ED9">
        <w:rPr>
          <w:sz w:val="24"/>
          <w:szCs w:val="24"/>
        </w:rPr>
        <w:tab/>
      </w:r>
      <w:r w:rsidRPr="003B2ED9">
        <w:rPr>
          <w:sz w:val="24"/>
          <w:szCs w:val="24"/>
        </w:rPr>
        <w:tab/>
      </w:r>
      <w:r w:rsidRPr="003B2ED9">
        <w:rPr>
          <w:sz w:val="24"/>
          <w:szCs w:val="24"/>
        </w:rPr>
        <w:tab/>
      </w:r>
      <w:r w:rsidRPr="003B2ED9">
        <w:rPr>
          <w:sz w:val="24"/>
          <w:szCs w:val="24"/>
        </w:rPr>
        <w:tab/>
        <w:t>:</w:t>
      </w:r>
      <w:r w:rsidRPr="003B2ED9">
        <w:rPr>
          <w:sz w:val="24"/>
          <w:szCs w:val="24"/>
        </w:rPr>
        <w:tab/>
      </w:r>
      <w:r w:rsidRPr="003B2ED9">
        <w:rPr>
          <w:sz w:val="24"/>
          <w:szCs w:val="24"/>
        </w:rPr>
        <w:tab/>
        <w:t>C-</w:t>
      </w:r>
      <w:r w:rsidR="004161EA" w:rsidRPr="003B2ED9">
        <w:rPr>
          <w:sz w:val="24"/>
          <w:szCs w:val="24"/>
        </w:rPr>
        <w:t>2023-3042219</w:t>
      </w:r>
    </w:p>
    <w:p w14:paraId="0E2A4A69" w14:textId="77777777" w:rsidR="002173DD" w:rsidRPr="003B2ED9" w:rsidRDefault="002173DD" w:rsidP="002173DD">
      <w:pPr>
        <w:ind w:left="720" w:firstLine="4320"/>
        <w:jc w:val="both"/>
        <w:rPr>
          <w:sz w:val="24"/>
          <w:szCs w:val="24"/>
        </w:rPr>
      </w:pPr>
      <w:r w:rsidRPr="003B2ED9">
        <w:rPr>
          <w:sz w:val="24"/>
          <w:szCs w:val="24"/>
        </w:rPr>
        <w:t>:</w:t>
      </w:r>
    </w:p>
    <w:p w14:paraId="07754A5B" w14:textId="0FC6A53A" w:rsidR="002173DD" w:rsidRPr="003B2ED9" w:rsidRDefault="004161EA" w:rsidP="002173DD">
      <w:pPr>
        <w:jc w:val="both"/>
        <w:rPr>
          <w:sz w:val="24"/>
          <w:szCs w:val="24"/>
        </w:rPr>
      </w:pPr>
      <w:r w:rsidRPr="003B2ED9">
        <w:rPr>
          <w:sz w:val="24"/>
          <w:szCs w:val="24"/>
        </w:rPr>
        <w:t>Philadelphia Gas Works</w:t>
      </w:r>
      <w:r w:rsidR="002173DD" w:rsidRPr="003B2ED9">
        <w:rPr>
          <w:sz w:val="24"/>
          <w:szCs w:val="24"/>
        </w:rPr>
        <w:tab/>
      </w:r>
      <w:r w:rsidR="002173DD" w:rsidRPr="003B2ED9">
        <w:rPr>
          <w:sz w:val="24"/>
          <w:szCs w:val="24"/>
        </w:rPr>
        <w:tab/>
      </w:r>
      <w:r w:rsidR="002173DD" w:rsidRPr="003B2ED9">
        <w:rPr>
          <w:sz w:val="24"/>
          <w:szCs w:val="24"/>
        </w:rPr>
        <w:tab/>
      </w:r>
      <w:r w:rsidR="002173DD" w:rsidRPr="003B2ED9">
        <w:rPr>
          <w:sz w:val="24"/>
          <w:szCs w:val="24"/>
        </w:rPr>
        <w:tab/>
        <w:t>:</w:t>
      </w:r>
    </w:p>
    <w:p w14:paraId="39B23EFB" w14:textId="77777777" w:rsidR="002173DD" w:rsidRPr="003B2ED9" w:rsidRDefault="002173DD" w:rsidP="002173DD">
      <w:pPr>
        <w:jc w:val="both"/>
        <w:rPr>
          <w:sz w:val="24"/>
          <w:szCs w:val="24"/>
        </w:rPr>
      </w:pPr>
    </w:p>
    <w:p w14:paraId="0626E653" w14:textId="77777777" w:rsidR="002173DD" w:rsidRPr="003B2ED9" w:rsidRDefault="002173DD" w:rsidP="002173DD">
      <w:pPr>
        <w:jc w:val="both"/>
        <w:rPr>
          <w:sz w:val="24"/>
          <w:szCs w:val="24"/>
        </w:rPr>
      </w:pPr>
    </w:p>
    <w:p w14:paraId="1D5EA80A" w14:textId="77777777" w:rsidR="002173DD" w:rsidRPr="003B2ED9" w:rsidRDefault="002173DD" w:rsidP="002173DD">
      <w:pPr>
        <w:jc w:val="both"/>
        <w:rPr>
          <w:sz w:val="24"/>
          <w:szCs w:val="24"/>
        </w:rPr>
      </w:pPr>
    </w:p>
    <w:p w14:paraId="53614FB7" w14:textId="77777777" w:rsidR="002173DD" w:rsidRPr="003B2ED9" w:rsidRDefault="002173DD" w:rsidP="002173DD">
      <w:pPr>
        <w:pStyle w:val="Heading1"/>
        <w:jc w:val="center"/>
        <w:rPr>
          <w:b/>
          <w:szCs w:val="24"/>
        </w:rPr>
      </w:pPr>
      <w:bookmarkStart w:id="0" w:name="_Hlk54619669"/>
      <w:r w:rsidRPr="003B2ED9">
        <w:rPr>
          <w:b/>
          <w:szCs w:val="24"/>
        </w:rPr>
        <w:t xml:space="preserve">INTERIM ORDER </w:t>
      </w:r>
    </w:p>
    <w:p w14:paraId="573BEF47" w14:textId="77777777" w:rsidR="002173DD" w:rsidRPr="003B2ED9" w:rsidRDefault="002173DD" w:rsidP="002173DD">
      <w:pPr>
        <w:pStyle w:val="Heading1"/>
        <w:jc w:val="center"/>
        <w:rPr>
          <w:b/>
          <w:szCs w:val="24"/>
          <w:u w:val="single"/>
        </w:rPr>
      </w:pPr>
      <w:r w:rsidRPr="003B2ED9">
        <w:rPr>
          <w:b/>
          <w:szCs w:val="24"/>
          <w:u w:val="single"/>
        </w:rPr>
        <w:t>GRANTING PRELIMINARY OBJECTION</w:t>
      </w:r>
      <w:bookmarkEnd w:id="0"/>
      <w:r w:rsidRPr="003B2ED9">
        <w:rPr>
          <w:b/>
          <w:szCs w:val="24"/>
          <w:u w:val="single"/>
        </w:rPr>
        <w:t xml:space="preserve"> IN PART</w:t>
      </w:r>
    </w:p>
    <w:p w14:paraId="315761CB" w14:textId="77777777" w:rsidR="002173DD" w:rsidRPr="003B2ED9" w:rsidRDefault="002173DD" w:rsidP="002173DD">
      <w:pPr>
        <w:widowControl w:val="0"/>
        <w:autoSpaceDE w:val="0"/>
        <w:autoSpaceDN w:val="0"/>
        <w:adjustRightInd w:val="0"/>
        <w:spacing w:line="360" w:lineRule="auto"/>
        <w:ind w:firstLine="720"/>
        <w:rPr>
          <w:color w:val="000000"/>
          <w:w w:val="107"/>
          <w:sz w:val="24"/>
          <w:szCs w:val="24"/>
        </w:rPr>
      </w:pPr>
    </w:p>
    <w:p w14:paraId="004F6AE9" w14:textId="7653E139" w:rsidR="002173DD" w:rsidRPr="003B2ED9" w:rsidRDefault="002173DD" w:rsidP="002173DD">
      <w:pPr>
        <w:widowControl w:val="0"/>
        <w:autoSpaceDE w:val="0"/>
        <w:autoSpaceDN w:val="0"/>
        <w:adjustRightInd w:val="0"/>
        <w:spacing w:line="360" w:lineRule="auto"/>
        <w:ind w:firstLine="1440"/>
        <w:rPr>
          <w:color w:val="000000"/>
          <w:w w:val="107"/>
          <w:sz w:val="24"/>
          <w:szCs w:val="24"/>
        </w:rPr>
      </w:pPr>
      <w:r w:rsidRPr="003B2ED9">
        <w:rPr>
          <w:color w:val="000000"/>
          <w:w w:val="107"/>
          <w:sz w:val="24"/>
          <w:szCs w:val="24"/>
        </w:rPr>
        <w:t xml:space="preserve">On </w:t>
      </w:r>
      <w:r w:rsidR="004161EA" w:rsidRPr="003B2ED9">
        <w:rPr>
          <w:color w:val="000000"/>
          <w:w w:val="107"/>
          <w:sz w:val="24"/>
          <w:szCs w:val="24"/>
        </w:rPr>
        <w:t>July 26, 2023</w:t>
      </w:r>
      <w:r w:rsidRPr="003B2ED9">
        <w:rPr>
          <w:color w:val="000000"/>
          <w:w w:val="107"/>
          <w:sz w:val="24"/>
          <w:szCs w:val="24"/>
        </w:rPr>
        <w:t xml:space="preserve">, </w:t>
      </w:r>
      <w:r w:rsidR="004161EA" w:rsidRPr="003B2ED9">
        <w:rPr>
          <w:color w:val="000000"/>
          <w:w w:val="107"/>
          <w:sz w:val="24"/>
          <w:szCs w:val="24"/>
        </w:rPr>
        <w:t>Victor Ruffin</w:t>
      </w:r>
      <w:r w:rsidRPr="003B2ED9">
        <w:rPr>
          <w:color w:val="000000"/>
          <w:w w:val="107"/>
          <w:sz w:val="24"/>
          <w:szCs w:val="24"/>
        </w:rPr>
        <w:t xml:space="preserve"> (Complainant) </w:t>
      </w:r>
      <w:r w:rsidRPr="003B2ED9">
        <w:rPr>
          <w:color w:val="000000"/>
          <w:w w:val="108"/>
          <w:sz w:val="24"/>
          <w:szCs w:val="24"/>
        </w:rPr>
        <w:t xml:space="preserve">filed a Formal Complaint, using the Commission’s Formal Complaint form, against </w:t>
      </w:r>
      <w:r w:rsidR="004161EA" w:rsidRPr="003B2ED9">
        <w:rPr>
          <w:color w:val="000000"/>
          <w:w w:val="108"/>
          <w:sz w:val="24"/>
          <w:szCs w:val="24"/>
        </w:rPr>
        <w:t>Philadelphia Gas Works</w:t>
      </w:r>
      <w:r w:rsidRPr="003B2ED9">
        <w:rPr>
          <w:color w:val="000000"/>
          <w:w w:val="108"/>
          <w:sz w:val="24"/>
          <w:szCs w:val="24"/>
        </w:rPr>
        <w:t xml:space="preserve"> (Respondent,</w:t>
      </w:r>
      <w:r w:rsidR="004161EA" w:rsidRPr="003B2ED9">
        <w:rPr>
          <w:color w:val="000000"/>
          <w:w w:val="108"/>
          <w:sz w:val="24"/>
          <w:szCs w:val="24"/>
        </w:rPr>
        <w:t xml:space="preserve"> or</w:t>
      </w:r>
      <w:r w:rsidRPr="003B2ED9">
        <w:rPr>
          <w:color w:val="000000"/>
          <w:w w:val="108"/>
          <w:sz w:val="24"/>
          <w:szCs w:val="24"/>
        </w:rPr>
        <w:t xml:space="preserve"> </w:t>
      </w:r>
      <w:r w:rsidRPr="003B2ED9">
        <w:rPr>
          <w:color w:val="000000"/>
          <w:w w:val="107"/>
          <w:sz w:val="24"/>
          <w:szCs w:val="24"/>
        </w:rPr>
        <w:t xml:space="preserve">Company), alleging the Respondent failed to fully reimburse him for damages that he sustained at his property after a lightning strike caused an electric surge at his property.  The Complainant requested to be reimbursed for the cost of additional items that were damaged by the electric surge.  The Complainant also indicates that it took PECO a year to respond to his requests to be reimbursed for items that were damaged at his property.    </w:t>
      </w:r>
    </w:p>
    <w:p w14:paraId="01C52F09" w14:textId="77777777" w:rsidR="002173DD" w:rsidRPr="003B2ED9" w:rsidRDefault="002173DD" w:rsidP="002173DD">
      <w:pPr>
        <w:widowControl w:val="0"/>
        <w:autoSpaceDE w:val="0"/>
        <w:autoSpaceDN w:val="0"/>
        <w:adjustRightInd w:val="0"/>
        <w:spacing w:line="360" w:lineRule="auto"/>
        <w:rPr>
          <w:color w:val="000000"/>
          <w:w w:val="107"/>
          <w:sz w:val="24"/>
          <w:szCs w:val="24"/>
        </w:rPr>
      </w:pPr>
    </w:p>
    <w:p w14:paraId="04AA1D34" w14:textId="337496AE" w:rsidR="002173DD" w:rsidRPr="003B2ED9" w:rsidRDefault="002173DD" w:rsidP="002173DD">
      <w:pPr>
        <w:widowControl w:val="0"/>
        <w:autoSpaceDE w:val="0"/>
        <w:autoSpaceDN w:val="0"/>
        <w:adjustRightInd w:val="0"/>
        <w:spacing w:line="360" w:lineRule="auto"/>
        <w:rPr>
          <w:color w:val="000000"/>
          <w:w w:val="108"/>
          <w:sz w:val="24"/>
          <w:szCs w:val="24"/>
        </w:rPr>
      </w:pPr>
      <w:r w:rsidRPr="003B2ED9">
        <w:rPr>
          <w:color w:val="000000"/>
          <w:w w:val="107"/>
          <w:sz w:val="24"/>
          <w:szCs w:val="24"/>
        </w:rPr>
        <w:tab/>
      </w:r>
      <w:r w:rsidRPr="003B2ED9">
        <w:rPr>
          <w:color w:val="000000"/>
          <w:w w:val="107"/>
          <w:sz w:val="24"/>
          <w:szCs w:val="24"/>
        </w:rPr>
        <w:tab/>
        <w:t xml:space="preserve">On </w:t>
      </w:r>
      <w:r w:rsidR="004161EA" w:rsidRPr="003B2ED9">
        <w:rPr>
          <w:color w:val="000000"/>
          <w:w w:val="107"/>
          <w:sz w:val="24"/>
          <w:szCs w:val="24"/>
        </w:rPr>
        <w:t>September 6, 2023</w:t>
      </w:r>
      <w:r w:rsidR="004161EA" w:rsidRPr="003B2ED9">
        <w:rPr>
          <w:rStyle w:val="FootnoteReference"/>
          <w:color w:val="000000"/>
          <w:w w:val="107"/>
          <w:sz w:val="24"/>
          <w:szCs w:val="24"/>
          <w:vertAlign w:val="superscript"/>
        </w:rPr>
        <w:footnoteReference w:id="1"/>
      </w:r>
      <w:r w:rsidRPr="003B2ED9">
        <w:rPr>
          <w:color w:val="000000"/>
          <w:w w:val="107"/>
          <w:sz w:val="24"/>
          <w:szCs w:val="24"/>
        </w:rPr>
        <w:t>, the Company filed an Answer</w:t>
      </w:r>
      <w:r w:rsidR="004161EA" w:rsidRPr="003B2ED9">
        <w:rPr>
          <w:color w:val="000000"/>
          <w:w w:val="107"/>
          <w:sz w:val="24"/>
          <w:szCs w:val="24"/>
        </w:rPr>
        <w:t xml:space="preserve"> and New Matter</w:t>
      </w:r>
      <w:r w:rsidRPr="003B2ED9">
        <w:rPr>
          <w:color w:val="000000"/>
          <w:w w:val="107"/>
          <w:sz w:val="24"/>
          <w:szCs w:val="24"/>
        </w:rPr>
        <w:t xml:space="preserve"> to the Formal Complaint, as well as a Preliminary Objection </w:t>
      </w:r>
      <w:r w:rsidRPr="003B2ED9">
        <w:rPr>
          <w:color w:val="000000"/>
          <w:w w:val="108"/>
          <w:sz w:val="24"/>
          <w:szCs w:val="24"/>
        </w:rPr>
        <w:t xml:space="preserve">pursuant to 52 Pa.Code § 5.101.  In its Answer, the Company </w:t>
      </w:r>
      <w:r w:rsidRPr="003B2ED9">
        <w:rPr>
          <w:color w:val="000000"/>
          <w:w w:val="107"/>
          <w:sz w:val="24"/>
          <w:szCs w:val="24"/>
        </w:rPr>
        <w:t>denies it improperly denied Complainant’s claim for additional reimbursement.  Additionally, the Company avers the Commission lacks the authority to award monetary damages.</w:t>
      </w:r>
    </w:p>
    <w:p w14:paraId="0D2F06D5" w14:textId="77777777" w:rsidR="002173DD" w:rsidRPr="003B2ED9" w:rsidRDefault="002173DD" w:rsidP="002173DD">
      <w:pPr>
        <w:widowControl w:val="0"/>
        <w:autoSpaceDE w:val="0"/>
        <w:autoSpaceDN w:val="0"/>
        <w:adjustRightInd w:val="0"/>
        <w:spacing w:line="360" w:lineRule="auto"/>
        <w:rPr>
          <w:color w:val="000000"/>
          <w:w w:val="108"/>
          <w:sz w:val="24"/>
          <w:szCs w:val="24"/>
        </w:rPr>
      </w:pPr>
    </w:p>
    <w:p w14:paraId="6025E0BF" w14:textId="3C6EF696" w:rsidR="002173DD" w:rsidRPr="003B2ED9" w:rsidRDefault="002173DD" w:rsidP="002173DD">
      <w:pPr>
        <w:widowControl w:val="0"/>
        <w:autoSpaceDE w:val="0"/>
        <w:autoSpaceDN w:val="0"/>
        <w:adjustRightInd w:val="0"/>
        <w:spacing w:line="360" w:lineRule="auto"/>
        <w:rPr>
          <w:color w:val="000000"/>
          <w:w w:val="107"/>
          <w:sz w:val="24"/>
          <w:szCs w:val="24"/>
        </w:rPr>
      </w:pPr>
      <w:r w:rsidRPr="003B2ED9">
        <w:rPr>
          <w:color w:val="000000"/>
          <w:w w:val="108"/>
          <w:sz w:val="24"/>
          <w:szCs w:val="24"/>
        </w:rPr>
        <w:tab/>
      </w:r>
      <w:r w:rsidRPr="003B2ED9">
        <w:rPr>
          <w:color w:val="000000"/>
          <w:w w:val="108"/>
          <w:sz w:val="24"/>
          <w:szCs w:val="24"/>
        </w:rPr>
        <w:tab/>
        <w:t>In its Preliminary Objection</w:t>
      </w:r>
      <w:r w:rsidR="004161EA" w:rsidRPr="003B2ED9">
        <w:rPr>
          <w:rStyle w:val="FootnoteReference"/>
          <w:color w:val="000000"/>
          <w:w w:val="108"/>
          <w:sz w:val="24"/>
          <w:szCs w:val="24"/>
          <w:vertAlign w:val="superscript"/>
        </w:rPr>
        <w:footnoteReference w:id="2"/>
      </w:r>
      <w:r w:rsidRPr="003B2ED9">
        <w:rPr>
          <w:color w:val="000000"/>
          <w:w w:val="108"/>
          <w:sz w:val="24"/>
          <w:szCs w:val="24"/>
        </w:rPr>
        <w:t xml:space="preserve">, the Company argues </w:t>
      </w:r>
      <w:r w:rsidRPr="003B2ED9">
        <w:rPr>
          <w:color w:val="000000"/>
          <w:w w:val="107"/>
          <w:sz w:val="24"/>
          <w:szCs w:val="24"/>
        </w:rPr>
        <w:t xml:space="preserve">the </w:t>
      </w:r>
      <w:r w:rsidR="004161EA" w:rsidRPr="003B2ED9">
        <w:rPr>
          <w:color w:val="000000"/>
          <w:w w:val="107"/>
          <w:sz w:val="24"/>
          <w:szCs w:val="24"/>
        </w:rPr>
        <w:t xml:space="preserve">Formal Complaint is </w:t>
      </w:r>
      <w:r w:rsidR="004161EA" w:rsidRPr="003B2ED9">
        <w:rPr>
          <w:color w:val="000000"/>
          <w:w w:val="107"/>
          <w:sz w:val="24"/>
          <w:szCs w:val="24"/>
        </w:rPr>
        <w:lastRenderedPageBreak/>
        <w:t xml:space="preserve">barred by </w:t>
      </w:r>
      <w:r w:rsidR="004161EA" w:rsidRPr="003B2ED9">
        <w:rPr>
          <w:i/>
          <w:iCs/>
          <w:color w:val="000000"/>
          <w:w w:val="107"/>
          <w:sz w:val="24"/>
          <w:szCs w:val="24"/>
        </w:rPr>
        <w:t>res judicata</w:t>
      </w:r>
      <w:r w:rsidRPr="003B2ED9">
        <w:rPr>
          <w:color w:val="000000"/>
          <w:w w:val="107"/>
          <w:sz w:val="24"/>
          <w:szCs w:val="24"/>
        </w:rPr>
        <w:t xml:space="preserve">. </w:t>
      </w:r>
      <w:r w:rsidR="004161EA" w:rsidRPr="003B2ED9">
        <w:rPr>
          <w:color w:val="000000"/>
          <w:w w:val="107"/>
          <w:sz w:val="24"/>
          <w:szCs w:val="24"/>
        </w:rPr>
        <w:t xml:space="preserve"> Specifically, the Company contends that the issues raised by the Formal Complaint have previously been adjudicated by another Administrative Law Judge and the decision has become final.  </w:t>
      </w:r>
    </w:p>
    <w:p w14:paraId="282BECE5" w14:textId="77777777" w:rsidR="002173DD" w:rsidRPr="003B2ED9" w:rsidRDefault="002173DD" w:rsidP="002173DD">
      <w:pPr>
        <w:widowControl w:val="0"/>
        <w:autoSpaceDE w:val="0"/>
        <w:autoSpaceDN w:val="0"/>
        <w:adjustRightInd w:val="0"/>
        <w:spacing w:line="360" w:lineRule="auto"/>
        <w:rPr>
          <w:color w:val="000000"/>
          <w:w w:val="107"/>
          <w:sz w:val="24"/>
          <w:szCs w:val="24"/>
        </w:rPr>
      </w:pPr>
    </w:p>
    <w:p w14:paraId="382BE5C2" w14:textId="14018242" w:rsidR="002173DD" w:rsidRPr="003B2ED9" w:rsidRDefault="002173DD" w:rsidP="002173DD">
      <w:pPr>
        <w:widowControl w:val="0"/>
        <w:autoSpaceDE w:val="0"/>
        <w:autoSpaceDN w:val="0"/>
        <w:adjustRightInd w:val="0"/>
        <w:spacing w:line="360" w:lineRule="auto"/>
        <w:rPr>
          <w:color w:val="000000"/>
          <w:w w:val="107"/>
          <w:sz w:val="24"/>
          <w:szCs w:val="24"/>
        </w:rPr>
      </w:pPr>
      <w:r w:rsidRPr="003B2ED9">
        <w:rPr>
          <w:color w:val="000000"/>
          <w:w w:val="107"/>
          <w:sz w:val="24"/>
          <w:szCs w:val="24"/>
        </w:rPr>
        <w:tab/>
      </w:r>
      <w:r w:rsidRPr="003B2ED9">
        <w:rPr>
          <w:color w:val="000000"/>
          <w:w w:val="107"/>
          <w:sz w:val="24"/>
          <w:szCs w:val="24"/>
        </w:rPr>
        <w:tab/>
      </w:r>
      <w:r w:rsidRPr="003B2ED9">
        <w:rPr>
          <w:color w:val="000000"/>
          <w:w w:val="108"/>
          <w:sz w:val="24"/>
          <w:szCs w:val="24"/>
        </w:rPr>
        <w:t xml:space="preserve">The Preliminary Objection contained a </w:t>
      </w:r>
      <w:r w:rsidRPr="003B2ED9">
        <w:rPr>
          <w:color w:val="000000"/>
          <w:w w:val="107"/>
          <w:sz w:val="24"/>
          <w:szCs w:val="24"/>
        </w:rPr>
        <w:t xml:space="preserve">Notice to Plead directing the Complainant to file a response within ten days of service.  The Complainant did not file any response to the </w:t>
      </w:r>
      <w:r w:rsidR="004161EA" w:rsidRPr="003B2ED9">
        <w:rPr>
          <w:color w:val="000000"/>
          <w:w w:val="107"/>
          <w:sz w:val="24"/>
          <w:szCs w:val="24"/>
        </w:rPr>
        <w:t xml:space="preserve">New Matter or the </w:t>
      </w:r>
      <w:r w:rsidRPr="003B2ED9">
        <w:rPr>
          <w:color w:val="000000"/>
          <w:w w:val="107"/>
          <w:sz w:val="24"/>
          <w:szCs w:val="24"/>
        </w:rPr>
        <w:t>Preliminary Objection.</w:t>
      </w:r>
    </w:p>
    <w:p w14:paraId="071A11C8" w14:textId="77777777" w:rsidR="002173DD" w:rsidRPr="003B2ED9" w:rsidRDefault="002173DD" w:rsidP="002173DD">
      <w:pPr>
        <w:widowControl w:val="0"/>
        <w:autoSpaceDE w:val="0"/>
        <w:autoSpaceDN w:val="0"/>
        <w:adjustRightInd w:val="0"/>
        <w:spacing w:line="360" w:lineRule="auto"/>
        <w:rPr>
          <w:color w:val="000000"/>
          <w:w w:val="107"/>
          <w:sz w:val="24"/>
          <w:szCs w:val="24"/>
        </w:rPr>
      </w:pPr>
    </w:p>
    <w:p w14:paraId="0E28D204" w14:textId="34020EA7" w:rsidR="002173DD" w:rsidRPr="003B2ED9" w:rsidRDefault="002173DD" w:rsidP="002173DD">
      <w:pPr>
        <w:widowControl w:val="0"/>
        <w:autoSpaceDE w:val="0"/>
        <w:autoSpaceDN w:val="0"/>
        <w:adjustRightInd w:val="0"/>
        <w:spacing w:line="360" w:lineRule="auto"/>
        <w:rPr>
          <w:color w:val="000000"/>
          <w:w w:val="107"/>
          <w:sz w:val="24"/>
          <w:szCs w:val="24"/>
        </w:rPr>
      </w:pPr>
      <w:r w:rsidRPr="003B2ED9">
        <w:rPr>
          <w:color w:val="000000"/>
          <w:w w:val="107"/>
          <w:sz w:val="24"/>
          <w:szCs w:val="24"/>
        </w:rPr>
        <w:tab/>
      </w:r>
      <w:r w:rsidRPr="003B2ED9">
        <w:rPr>
          <w:color w:val="000000"/>
          <w:w w:val="107"/>
          <w:sz w:val="24"/>
          <w:szCs w:val="24"/>
        </w:rPr>
        <w:tab/>
        <w:t xml:space="preserve">On </w:t>
      </w:r>
      <w:r w:rsidR="004161EA" w:rsidRPr="003B2ED9">
        <w:rPr>
          <w:color w:val="000000"/>
          <w:w w:val="107"/>
          <w:sz w:val="24"/>
          <w:szCs w:val="24"/>
        </w:rPr>
        <w:t>November 8, 2023</w:t>
      </w:r>
      <w:r w:rsidRPr="003B2ED9">
        <w:rPr>
          <w:color w:val="000000"/>
          <w:w w:val="107"/>
          <w:sz w:val="24"/>
          <w:szCs w:val="24"/>
        </w:rPr>
        <w:t xml:space="preserve">, the Commission issued a Motion Judge Assignment </w:t>
      </w:r>
      <w:proofErr w:type="gramStart"/>
      <w:r w:rsidRPr="003B2ED9">
        <w:rPr>
          <w:color w:val="000000"/>
          <w:w w:val="107"/>
          <w:sz w:val="24"/>
          <w:szCs w:val="24"/>
        </w:rPr>
        <w:t>Notice</w:t>
      </w:r>
      <w:proofErr w:type="gramEnd"/>
      <w:r w:rsidRPr="003B2ED9">
        <w:rPr>
          <w:color w:val="000000"/>
          <w:w w:val="107"/>
          <w:sz w:val="24"/>
          <w:szCs w:val="24"/>
        </w:rPr>
        <w:t xml:space="preserve"> and the matter was assigned to me.</w:t>
      </w:r>
    </w:p>
    <w:p w14:paraId="4F0DAB4F" w14:textId="77777777" w:rsidR="002173DD" w:rsidRPr="003B2ED9" w:rsidRDefault="002173DD" w:rsidP="002173DD">
      <w:pPr>
        <w:widowControl w:val="0"/>
        <w:autoSpaceDE w:val="0"/>
        <w:autoSpaceDN w:val="0"/>
        <w:adjustRightInd w:val="0"/>
        <w:spacing w:line="360" w:lineRule="auto"/>
        <w:rPr>
          <w:color w:val="000000"/>
          <w:w w:val="107"/>
          <w:sz w:val="24"/>
          <w:szCs w:val="24"/>
        </w:rPr>
      </w:pPr>
    </w:p>
    <w:p w14:paraId="5A71D6F4" w14:textId="77777777" w:rsidR="002173DD" w:rsidRPr="003B2ED9" w:rsidRDefault="002173DD" w:rsidP="002173DD">
      <w:pPr>
        <w:widowControl w:val="0"/>
        <w:autoSpaceDE w:val="0"/>
        <w:autoSpaceDN w:val="0"/>
        <w:adjustRightInd w:val="0"/>
        <w:spacing w:line="360" w:lineRule="auto"/>
        <w:rPr>
          <w:color w:val="000000"/>
          <w:w w:val="108"/>
          <w:sz w:val="24"/>
          <w:szCs w:val="24"/>
        </w:rPr>
      </w:pPr>
      <w:r w:rsidRPr="003B2ED9">
        <w:rPr>
          <w:color w:val="000000"/>
          <w:w w:val="107"/>
          <w:sz w:val="24"/>
          <w:szCs w:val="24"/>
        </w:rPr>
        <w:tab/>
      </w:r>
      <w:r w:rsidRPr="003B2ED9">
        <w:rPr>
          <w:color w:val="000000"/>
          <w:w w:val="107"/>
          <w:sz w:val="24"/>
          <w:szCs w:val="24"/>
        </w:rPr>
        <w:tab/>
        <w:t>This matter is now ripe for a ruling on the Preliminary Objections.</w:t>
      </w:r>
    </w:p>
    <w:p w14:paraId="5C504600" w14:textId="77777777" w:rsidR="002173DD" w:rsidRPr="003B2ED9" w:rsidRDefault="002173DD" w:rsidP="002173DD">
      <w:pPr>
        <w:widowControl w:val="0"/>
        <w:autoSpaceDE w:val="0"/>
        <w:autoSpaceDN w:val="0"/>
        <w:adjustRightInd w:val="0"/>
        <w:spacing w:line="360" w:lineRule="auto"/>
        <w:rPr>
          <w:color w:val="000000"/>
          <w:w w:val="107"/>
          <w:sz w:val="24"/>
          <w:szCs w:val="24"/>
        </w:rPr>
      </w:pPr>
      <w:r w:rsidRPr="003B2ED9">
        <w:rPr>
          <w:color w:val="000000"/>
          <w:w w:val="107"/>
          <w:sz w:val="24"/>
          <w:szCs w:val="24"/>
        </w:rPr>
        <w:tab/>
      </w:r>
      <w:r w:rsidRPr="003B2ED9">
        <w:rPr>
          <w:color w:val="000000"/>
          <w:w w:val="107"/>
          <w:sz w:val="24"/>
          <w:szCs w:val="24"/>
        </w:rPr>
        <w:tab/>
      </w:r>
    </w:p>
    <w:p w14:paraId="0E9A5568" w14:textId="77777777" w:rsidR="002173DD" w:rsidRPr="003B2ED9" w:rsidRDefault="002173DD" w:rsidP="002173DD">
      <w:pPr>
        <w:spacing w:line="360" w:lineRule="auto"/>
        <w:jc w:val="center"/>
        <w:rPr>
          <w:sz w:val="24"/>
          <w:szCs w:val="24"/>
          <w:u w:val="single"/>
        </w:rPr>
      </w:pPr>
      <w:r w:rsidRPr="003B2ED9">
        <w:rPr>
          <w:sz w:val="24"/>
          <w:szCs w:val="24"/>
          <w:u w:val="single"/>
        </w:rPr>
        <w:t>DISCUSSION</w:t>
      </w:r>
    </w:p>
    <w:p w14:paraId="51CB1D5E" w14:textId="77777777" w:rsidR="002173DD" w:rsidRPr="003B2ED9" w:rsidRDefault="002173DD" w:rsidP="002173DD">
      <w:pPr>
        <w:spacing w:line="360" w:lineRule="auto"/>
        <w:rPr>
          <w:sz w:val="24"/>
          <w:szCs w:val="24"/>
        </w:rPr>
      </w:pPr>
    </w:p>
    <w:p w14:paraId="78328DE4" w14:textId="77777777" w:rsidR="002173DD" w:rsidRPr="003B2ED9" w:rsidRDefault="002173DD" w:rsidP="002173DD">
      <w:pPr>
        <w:widowControl w:val="0"/>
        <w:autoSpaceDE w:val="0"/>
        <w:autoSpaceDN w:val="0"/>
        <w:adjustRightInd w:val="0"/>
        <w:spacing w:line="360" w:lineRule="auto"/>
        <w:ind w:firstLine="1440"/>
        <w:rPr>
          <w:color w:val="000000"/>
          <w:sz w:val="24"/>
          <w:szCs w:val="24"/>
        </w:rPr>
      </w:pPr>
      <w:r w:rsidRPr="003B2ED9">
        <w:rPr>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3B2ED9">
        <w:rPr>
          <w:i/>
          <w:color w:val="000000"/>
          <w:sz w:val="24"/>
          <w:szCs w:val="24"/>
        </w:rPr>
        <w:t>Equitable Small Transportation Intervenors v. Equitable Gas Company</w:t>
      </w:r>
      <w:r w:rsidRPr="003B2ED9">
        <w:rPr>
          <w:i/>
          <w:iCs/>
          <w:color w:val="000000"/>
          <w:sz w:val="24"/>
          <w:szCs w:val="24"/>
        </w:rPr>
        <w:t xml:space="preserve">, </w:t>
      </w:r>
      <w:r w:rsidRPr="003B2ED9">
        <w:rPr>
          <w:color w:val="000000"/>
          <w:sz w:val="24"/>
          <w:szCs w:val="24"/>
        </w:rPr>
        <w:t>1994 Pa PUC LEXIS 69, Docket No. C</w:t>
      </w:r>
      <w:r w:rsidRPr="003B2ED9">
        <w:rPr>
          <w:color w:val="000000"/>
          <w:sz w:val="24"/>
          <w:szCs w:val="24"/>
        </w:rPr>
        <w:noBreakHyphen/>
        <w:t>00935435 (July 18, 1994).  The Commission’s regulation at 52 Pa.Code § 5.101(a) limit preliminary objections to the following grounds:</w:t>
      </w:r>
    </w:p>
    <w:p w14:paraId="467A4F80" w14:textId="77777777" w:rsidR="002173DD" w:rsidRPr="003B2ED9" w:rsidRDefault="002173DD" w:rsidP="002173DD">
      <w:pPr>
        <w:widowControl w:val="0"/>
        <w:autoSpaceDE w:val="0"/>
        <w:autoSpaceDN w:val="0"/>
        <w:adjustRightInd w:val="0"/>
        <w:spacing w:line="360" w:lineRule="auto"/>
        <w:ind w:firstLine="1440"/>
        <w:rPr>
          <w:color w:val="000000"/>
          <w:sz w:val="24"/>
          <w:szCs w:val="24"/>
        </w:rPr>
      </w:pPr>
    </w:p>
    <w:p w14:paraId="5D48BC16" w14:textId="77777777" w:rsidR="002173DD" w:rsidRPr="003B2ED9" w:rsidRDefault="002173DD" w:rsidP="002173DD">
      <w:pPr>
        <w:widowControl w:val="0"/>
        <w:tabs>
          <w:tab w:val="left" w:pos="2196"/>
          <w:tab w:val="left" w:pos="2909"/>
        </w:tabs>
        <w:autoSpaceDE w:val="0"/>
        <w:autoSpaceDN w:val="0"/>
        <w:adjustRightInd w:val="0"/>
        <w:ind w:left="2160" w:right="1440" w:hanging="720"/>
        <w:rPr>
          <w:color w:val="000000"/>
          <w:sz w:val="24"/>
          <w:szCs w:val="24"/>
        </w:rPr>
      </w:pPr>
      <w:r w:rsidRPr="003B2ED9">
        <w:rPr>
          <w:color w:val="000000"/>
          <w:sz w:val="24"/>
          <w:szCs w:val="24"/>
        </w:rPr>
        <w:t>(1)</w:t>
      </w:r>
      <w:r w:rsidRPr="003B2ED9">
        <w:rPr>
          <w:color w:val="000000"/>
          <w:sz w:val="24"/>
          <w:szCs w:val="24"/>
        </w:rPr>
        <w:tab/>
        <w:t>Lack of Commission jurisdiction or improper service of the pleading initiating the proceeding.</w:t>
      </w:r>
    </w:p>
    <w:p w14:paraId="4A6488FC" w14:textId="77777777" w:rsidR="002173DD" w:rsidRPr="003B2ED9" w:rsidRDefault="002173DD" w:rsidP="002173DD">
      <w:pPr>
        <w:widowControl w:val="0"/>
        <w:autoSpaceDE w:val="0"/>
        <w:autoSpaceDN w:val="0"/>
        <w:adjustRightInd w:val="0"/>
        <w:ind w:left="1440" w:right="1440"/>
        <w:rPr>
          <w:color w:val="000000"/>
          <w:sz w:val="24"/>
          <w:szCs w:val="24"/>
        </w:rPr>
      </w:pPr>
    </w:p>
    <w:p w14:paraId="0DE80218" w14:textId="77777777" w:rsidR="002173DD" w:rsidRPr="003B2ED9" w:rsidRDefault="002173DD" w:rsidP="002173DD">
      <w:pPr>
        <w:widowControl w:val="0"/>
        <w:tabs>
          <w:tab w:val="left" w:pos="2203"/>
          <w:tab w:val="left" w:pos="2909"/>
        </w:tabs>
        <w:autoSpaceDE w:val="0"/>
        <w:autoSpaceDN w:val="0"/>
        <w:adjustRightInd w:val="0"/>
        <w:ind w:left="2160" w:right="1440" w:hanging="720"/>
        <w:rPr>
          <w:color w:val="000000"/>
          <w:sz w:val="24"/>
          <w:szCs w:val="24"/>
        </w:rPr>
      </w:pPr>
      <w:r w:rsidRPr="003B2ED9">
        <w:rPr>
          <w:color w:val="000000"/>
          <w:sz w:val="24"/>
          <w:szCs w:val="24"/>
        </w:rPr>
        <w:t>(2)</w:t>
      </w:r>
      <w:r w:rsidRPr="003B2ED9">
        <w:rPr>
          <w:color w:val="000000"/>
          <w:sz w:val="24"/>
          <w:szCs w:val="24"/>
        </w:rPr>
        <w:tab/>
        <w:t>Failure of a pleading to conform to this chapter or the inclusion of scandalous or impertinent matter.</w:t>
      </w:r>
    </w:p>
    <w:p w14:paraId="18A4FE54" w14:textId="77777777" w:rsidR="002173DD" w:rsidRPr="003B2ED9" w:rsidRDefault="002173DD" w:rsidP="002173DD">
      <w:pPr>
        <w:widowControl w:val="0"/>
        <w:tabs>
          <w:tab w:val="left" w:pos="2203"/>
          <w:tab w:val="left" w:pos="2909"/>
        </w:tabs>
        <w:autoSpaceDE w:val="0"/>
        <w:autoSpaceDN w:val="0"/>
        <w:adjustRightInd w:val="0"/>
        <w:ind w:left="1440" w:right="1440"/>
        <w:rPr>
          <w:color w:val="000000"/>
          <w:sz w:val="24"/>
          <w:szCs w:val="24"/>
        </w:rPr>
      </w:pPr>
    </w:p>
    <w:p w14:paraId="0CBDAB6B" w14:textId="77777777" w:rsidR="002173DD" w:rsidRPr="003B2ED9" w:rsidRDefault="002173DD" w:rsidP="002173DD">
      <w:pPr>
        <w:widowControl w:val="0"/>
        <w:tabs>
          <w:tab w:val="left" w:pos="2203"/>
          <w:tab w:val="left" w:pos="2909"/>
        </w:tabs>
        <w:autoSpaceDE w:val="0"/>
        <w:autoSpaceDN w:val="0"/>
        <w:adjustRightInd w:val="0"/>
        <w:ind w:left="2160" w:right="1440" w:hanging="720"/>
        <w:rPr>
          <w:color w:val="000000"/>
          <w:sz w:val="24"/>
          <w:szCs w:val="24"/>
        </w:rPr>
      </w:pPr>
      <w:r w:rsidRPr="003B2ED9">
        <w:rPr>
          <w:color w:val="000000"/>
          <w:sz w:val="24"/>
          <w:szCs w:val="24"/>
        </w:rPr>
        <w:t>(3)</w:t>
      </w:r>
      <w:r w:rsidRPr="003B2ED9">
        <w:rPr>
          <w:color w:val="000000"/>
          <w:sz w:val="24"/>
          <w:szCs w:val="24"/>
        </w:rPr>
        <w:tab/>
        <w:t>Insufficient specificity of a pleading.</w:t>
      </w:r>
    </w:p>
    <w:p w14:paraId="6365E59C" w14:textId="77777777" w:rsidR="002173DD" w:rsidRPr="003B2ED9" w:rsidRDefault="002173DD" w:rsidP="002173DD">
      <w:pPr>
        <w:widowControl w:val="0"/>
        <w:tabs>
          <w:tab w:val="left" w:pos="2203"/>
          <w:tab w:val="left" w:pos="2909"/>
        </w:tabs>
        <w:autoSpaceDE w:val="0"/>
        <w:autoSpaceDN w:val="0"/>
        <w:adjustRightInd w:val="0"/>
        <w:ind w:left="1440" w:right="1440"/>
        <w:rPr>
          <w:color w:val="000000"/>
          <w:sz w:val="24"/>
          <w:szCs w:val="24"/>
        </w:rPr>
      </w:pPr>
    </w:p>
    <w:p w14:paraId="57268549" w14:textId="77777777" w:rsidR="002173DD" w:rsidRPr="003B2ED9" w:rsidRDefault="002173DD" w:rsidP="002173DD">
      <w:pPr>
        <w:widowControl w:val="0"/>
        <w:tabs>
          <w:tab w:val="left" w:pos="2203"/>
          <w:tab w:val="left" w:pos="2909"/>
        </w:tabs>
        <w:autoSpaceDE w:val="0"/>
        <w:autoSpaceDN w:val="0"/>
        <w:adjustRightInd w:val="0"/>
        <w:ind w:left="2160" w:right="1440" w:hanging="720"/>
        <w:rPr>
          <w:color w:val="000000"/>
          <w:sz w:val="24"/>
          <w:szCs w:val="24"/>
        </w:rPr>
      </w:pPr>
      <w:r w:rsidRPr="003B2ED9">
        <w:rPr>
          <w:color w:val="000000"/>
          <w:sz w:val="24"/>
          <w:szCs w:val="24"/>
        </w:rPr>
        <w:t>(4)</w:t>
      </w:r>
      <w:r w:rsidRPr="003B2ED9">
        <w:rPr>
          <w:color w:val="000000"/>
          <w:sz w:val="24"/>
          <w:szCs w:val="24"/>
        </w:rPr>
        <w:tab/>
        <w:t>Legal insufficiency of a pleading.</w:t>
      </w:r>
    </w:p>
    <w:p w14:paraId="7BD425C5" w14:textId="77777777" w:rsidR="002173DD" w:rsidRPr="003B2ED9" w:rsidRDefault="002173DD" w:rsidP="002173DD">
      <w:pPr>
        <w:widowControl w:val="0"/>
        <w:tabs>
          <w:tab w:val="left" w:pos="2203"/>
          <w:tab w:val="left" w:pos="2909"/>
        </w:tabs>
        <w:autoSpaceDE w:val="0"/>
        <w:autoSpaceDN w:val="0"/>
        <w:adjustRightInd w:val="0"/>
        <w:ind w:left="1440" w:right="1440"/>
        <w:rPr>
          <w:color w:val="000000"/>
          <w:sz w:val="24"/>
          <w:szCs w:val="24"/>
        </w:rPr>
      </w:pPr>
    </w:p>
    <w:p w14:paraId="14B9F81F" w14:textId="77777777" w:rsidR="002173DD" w:rsidRPr="003B2ED9" w:rsidRDefault="002173DD" w:rsidP="002173DD">
      <w:pPr>
        <w:widowControl w:val="0"/>
        <w:tabs>
          <w:tab w:val="left" w:pos="2203"/>
          <w:tab w:val="left" w:pos="2909"/>
        </w:tabs>
        <w:autoSpaceDE w:val="0"/>
        <w:autoSpaceDN w:val="0"/>
        <w:adjustRightInd w:val="0"/>
        <w:ind w:left="2160" w:right="1440" w:hanging="720"/>
        <w:rPr>
          <w:color w:val="000000"/>
          <w:sz w:val="24"/>
          <w:szCs w:val="24"/>
        </w:rPr>
      </w:pPr>
      <w:r w:rsidRPr="003B2ED9">
        <w:rPr>
          <w:color w:val="000000"/>
          <w:sz w:val="24"/>
          <w:szCs w:val="24"/>
        </w:rPr>
        <w:t>(5)</w:t>
      </w:r>
      <w:r w:rsidRPr="003B2ED9">
        <w:rPr>
          <w:color w:val="000000"/>
          <w:sz w:val="24"/>
          <w:szCs w:val="24"/>
        </w:rPr>
        <w:tab/>
        <w:t>Lack of capacity to sue, nonjoinder of a necessary party or misjoinder of a cause of action.</w:t>
      </w:r>
    </w:p>
    <w:p w14:paraId="3D7072FC" w14:textId="77777777" w:rsidR="002173DD" w:rsidRPr="003B2ED9" w:rsidRDefault="002173DD" w:rsidP="002173DD">
      <w:pPr>
        <w:widowControl w:val="0"/>
        <w:tabs>
          <w:tab w:val="left" w:pos="2203"/>
          <w:tab w:val="left" w:pos="2909"/>
        </w:tabs>
        <w:autoSpaceDE w:val="0"/>
        <w:autoSpaceDN w:val="0"/>
        <w:adjustRightInd w:val="0"/>
        <w:ind w:left="2160" w:right="1440" w:hanging="720"/>
        <w:rPr>
          <w:color w:val="000000"/>
          <w:sz w:val="24"/>
          <w:szCs w:val="24"/>
        </w:rPr>
      </w:pPr>
    </w:p>
    <w:p w14:paraId="1DF81074" w14:textId="77777777" w:rsidR="002173DD" w:rsidRPr="003B2ED9" w:rsidRDefault="002173DD" w:rsidP="002173DD">
      <w:pPr>
        <w:widowControl w:val="0"/>
        <w:tabs>
          <w:tab w:val="left" w:pos="2203"/>
          <w:tab w:val="left" w:pos="2909"/>
        </w:tabs>
        <w:autoSpaceDE w:val="0"/>
        <w:autoSpaceDN w:val="0"/>
        <w:adjustRightInd w:val="0"/>
        <w:ind w:left="2160" w:right="1440" w:hanging="720"/>
        <w:rPr>
          <w:color w:val="000000"/>
          <w:sz w:val="24"/>
          <w:szCs w:val="24"/>
        </w:rPr>
      </w:pPr>
      <w:r w:rsidRPr="003B2ED9">
        <w:rPr>
          <w:color w:val="000000"/>
          <w:sz w:val="24"/>
          <w:szCs w:val="24"/>
        </w:rPr>
        <w:lastRenderedPageBreak/>
        <w:t>(6)</w:t>
      </w:r>
      <w:r w:rsidRPr="003B2ED9">
        <w:rPr>
          <w:color w:val="000000"/>
          <w:sz w:val="24"/>
          <w:szCs w:val="24"/>
        </w:rPr>
        <w:tab/>
        <w:t>Pendency of a prior proceeding or agreement for alternative dispute resolution.</w:t>
      </w:r>
    </w:p>
    <w:p w14:paraId="509C02FD" w14:textId="77777777" w:rsidR="002173DD" w:rsidRPr="003B2ED9" w:rsidRDefault="002173DD" w:rsidP="002173DD">
      <w:pPr>
        <w:widowControl w:val="0"/>
        <w:tabs>
          <w:tab w:val="left" w:pos="2203"/>
          <w:tab w:val="left" w:pos="2909"/>
        </w:tabs>
        <w:autoSpaceDE w:val="0"/>
        <w:autoSpaceDN w:val="0"/>
        <w:adjustRightInd w:val="0"/>
        <w:ind w:left="2160" w:right="1440" w:hanging="720"/>
        <w:rPr>
          <w:color w:val="000000"/>
          <w:sz w:val="24"/>
          <w:szCs w:val="24"/>
        </w:rPr>
      </w:pPr>
      <w:r w:rsidRPr="003B2ED9">
        <w:rPr>
          <w:color w:val="000000"/>
          <w:sz w:val="24"/>
          <w:szCs w:val="24"/>
        </w:rPr>
        <w:t>(7)</w:t>
      </w:r>
      <w:r w:rsidRPr="003B2ED9">
        <w:rPr>
          <w:color w:val="000000"/>
          <w:sz w:val="24"/>
          <w:szCs w:val="24"/>
        </w:rPr>
        <w:tab/>
        <w:t>Standing of a party to participate in the proceeding.</w:t>
      </w:r>
    </w:p>
    <w:p w14:paraId="0C2B7D61" w14:textId="77777777" w:rsidR="002173DD" w:rsidRPr="003B2ED9" w:rsidRDefault="002173DD" w:rsidP="002173DD">
      <w:pPr>
        <w:tabs>
          <w:tab w:val="left" w:pos="-720"/>
        </w:tabs>
        <w:suppressAutoHyphens/>
        <w:autoSpaceDE w:val="0"/>
        <w:autoSpaceDN w:val="0"/>
        <w:spacing w:line="360" w:lineRule="auto"/>
        <w:ind w:firstLine="1440"/>
        <w:rPr>
          <w:sz w:val="24"/>
          <w:szCs w:val="24"/>
        </w:rPr>
      </w:pPr>
    </w:p>
    <w:p w14:paraId="7B75A111" w14:textId="77777777" w:rsidR="002173DD" w:rsidRPr="003B2ED9" w:rsidRDefault="002173DD" w:rsidP="002173DD">
      <w:pPr>
        <w:tabs>
          <w:tab w:val="left" w:pos="-720"/>
        </w:tabs>
        <w:suppressAutoHyphens/>
        <w:autoSpaceDE w:val="0"/>
        <w:autoSpaceDN w:val="0"/>
        <w:spacing w:line="360" w:lineRule="auto"/>
        <w:ind w:firstLine="1440"/>
        <w:rPr>
          <w:sz w:val="24"/>
          <w:szCs w:val="24"/>
        </w:rPr>
      </w:pPr>
      <w:r w:rsidRPr="003B2ED9">
        <w:rPr>
          <w:sz w:val="24"/>
          <w:szCs w:val="24"/>
        </w:rPr>
        <w:t xml:space="preserve">For purposes of disposing of the preliminary objections, the Commission must accept as true all well-pleaded material facts of the nonmoving party, as well as every reasonable inference deducible from those facts.  </w:t>
      </w:r>
      <w:r w:rsidRPr="003B2ED9">
        <w:rPr>
          <w:i/>
          <w:iCs/>
          <w:sz w:val="24"/>
          <w:szCs w:val="24"/>
        </w:rPr>
        <w:t>County of Allegheny v. Commonwealth of Pennsylvania</w:t>
      </w:r>
      <w:r w:rsidRPr="003B2ED9">
        <w:rPr>
          <w:sz w:val="24"/>
          <w:szCs w:val="24"/>
        </w:rPr>
        <w:t xml:space="preserve">, 490 A. 2d 402 (Pa. 1985); </w:t>
      </w:r>
      <w:r w:rsidRPr="003B2ED9">
        <w:rPr>
          <w:i/>
          <w:iCs/>
          <w:sz w:val="24"/>
          <w:szCs w:val="24"/>
        </w:rPr>
        <w:t>Commonwealth of Pennsylvania v. Bell Telephone Co. of Pa.,</w:t>
      </w:r>
      <w:r w:rsidRPr="003B2ED9">
        <w:rPr>
          <w:sz w:val="24"/>
          <w:szCs w:val="24"/>
        </w:rPr>
        <w:t xml:space="preserve"> 551 A.2d 602 (Pa.Cmwlth. 1988).  The moving party may not rely on its own factual assertions.  </w:t>
      </w:r>
      <w:r w:rsidRPr="003B2ED9">
        <w:rPr>
          <w:i/>
          <w:iCs/>
          <w:sz w:val="24"/>
          <w:szCs w:val="24"/>
        </w:rPr>
        <w:t>Id.</w:t>
      </w:r>
      <w:r w:rsidRPr="003B2ED9">
        <w:rPr>
          <w:sz w:val="24"/>
          <w:szCs w:val="24"/>
        </w:rPr>
        <w:t xml:space="preserve">  </w:t>
      </w:r>
    </w:p>
    <w:p w14:paraId="6AB0F72B" w14:textId="77777777" w:rsidR="002173DD" w:rsidRPr="003B2ED9" w:rsidRDefault="002173DD" w:rsidP="002173DD">
      <w:pPr>
        <w:tabs>
          <w:tab w:val="left" w:pos="-720"/>
        </w:tabs>
        <w:suppressAutoHyphens/>
        <w:autoSpaceDE w:val="0"/>
        <w:autoSpaceDN w:val="0"/>
        <w:spacing w:line="360" w:lineRule="auto"/>
        <w:ind w:firstLine="1440"/>
        <w:rPr>
          <w:sz w:val="24"/>
          <w:szCs w:val="24"/>
        </w:rPr>
      </w:pPr>
    </w:p>
    <w:p w14:paraId="22071F57" w14:textId="77777777" w:rsidR="002173DD" w:rsidRPr="003B2ED9" w:rsidRDefault="002173DD" w:rsidP="002173DD">
      <w:pPr>
        <w:tabs>
          <w:tab w:val="left" w:pos="-720"/>
        </w:tabs>
        <w:suppressAutoHyphens/>
        <w:autoSpaceDE w:val="0"/>
        <w:autoSpaceDN w:val="0"/>
        <w:spacing w:line="360" w:lineRule="auto"/>
        <w:ind w:firstLine="1440"/>
        <w:rPr>
          <w:sz w:val="24"/>
          <w:szCs w:val="24"/>
        </w:rPr>
      </w:pPr>
      <w:r w:rsidRPr="003B2ED9">
        <w:rPr>
          <w:sz w:val="24"/>
          <w:szCs w:val="24"/>
        </w:rPr>
        <w:t xml:space="preserve">The Commission must view the Complaint in the light most favorable to Complainant and should dismiss the Complaint only if it appears that Complainant would not be entitled to relief under any circumstances as a matter of law.  </w:t>
      </w:r>
      <w:r w:rsidRPr="003B2ED9">
        <w:rPr>
          <w:i/>
          <w:iCs/>
          <w:sz w:val="24"/>
          <w:szCs w:val="24"/>
        </w:rPr>
        <w:t>Equitable Small Transportation Intervenors v. Equitable Gas Company,</w:t>
      </w:r>
      <w:r w:rsidRPr="003B2ED9">
        <w:rPr>
          <w:sz w:val="24"/>
          <w:szCs w:val="24"/>
        </w:rPr>
        <w:t xml:space="preserve"> 1994 Pa. PUC LEXIS 69, Docket No. C-00935435 (July 18, 1994); </w:t>
      </w:r>
      <w:r w:rsidRPr="003B2ED9">
        <w:rPr>
          <w:i/>
          <w:sz w:val="24"/>
          <w:szCs w:val="24"/>
        </w:rPr>
        <w:t>see also</w:t>
      </w:r>
      <w:r w:rsidRPr="003B2ED9">
        <w:rPr>
          <w:i/>
          <w:iCs/>
          <w:sz w:val="24"/>
          <w:szCs w:val="24"/>
        </w:rPr>
        <w:t>, Interstate Traveler Services, Inc. v. Commonwealth, Department of Environmental Resources,</w:t>
      </w:r>
      <w:r w:rsidRPr="003B2ED9">
        <w:rPr>
          <w:sz w:val="24"/>
          <w:szCs w:val="24"/>
        </w:rPr>
        <w:t xml:space="preserve"> 486 Pa. 536, 406 A.2d 1020 (1979).  </w:t>
      </w:r>
    </w:p>
    <w:p w14:paraId="064A039B" w14:textId="77777777" w:rsidR="002173DD" w:rsidRPr="003B2ED9" w:rsidRDefault="002173DD" w:rsidP="002173DD">
      <w:pPr>
        <w:spacing w:line="360" w:lineRule="auto"/>
        <w:rPr>
          <w:sz w:val="24"/>
          <w:szCs w:val="24"/>
        </w:rPr>
      </w:pPr>
      <w:r w:rsidRPr="003B2ED9">
        <w:rPr>
          <w:sz w:val="24"/>
          <w:szCs w:val="24"/>
        </w:rPr>
        <w:t xml:space="preserve"> </w:t>
      </w:r>
    </w:p>
    <w:p w14:paraId="60791139" w14:textId="2D50521B" w:rsidR="002173DD" w:rsidRPr="003B2ED9" w:rsidRDefault="002173DD" w:rsidP="002173DD">
      <w:pPr>
        <w:widowControl w:val="0"/>
        <w:autoSpaceDE w:val="0"/>
        <w:autoSpaceDN w:val="0"/>
        <w:adjustRightInd w:val="0"/>
        <w:spacing w:line="360" w:lineRule="auto"/>
        <w:ind w:firstLine="1440"/>
        <w:rPr>
          <w:color w:val="000000"/>
          <w:w w:val="107"/>
          <w:sz w:val="24"/>
          <w:szCs w:val="24"/>
        </w:rPr>
      </w:pPr>
      <w:r w:rsidRPr="003B2ED9">
        <w:rPr>
          <w:color w:val="000000"/>
          <w:w w:val="107"/>
          <w:sz w:val="24"/>
          <w:szCs w:val="24"/>
        </w:rPr>
        <w:t xml:space="preserve">The Company argues the Commission must strike </w:t>
      </w:r>
      <w:r w:rsidR="005679D8" w:rsidRPr="003B2ED9">
        <w:rPr>
          <w:color w:val="000000"/>
          <w:w w:val="107"/>
          <w:sz w:val="24"/>
          <w:szCs w:val="24"/>
        </w:rPr>
        <w:t xml:space="preserve">the Complainant’s allegations </w:t>
      </w:r>
      <w:r w:rsidR="005679D8" w:rsidRPr="003B2ED9">
        <w:rPr>
          <w:sz w:val="24"/>
          <w:szCs w:val="24"/>
        </w:rPr>
        <w:t xml:space="preserve">related to the charges from January 24, </w:t>
      </w:r>
      <w:proofErr w:type="gramStart"/>
      <w:r w:rsidR="005679D8" w:rsidRPr="003B2ED9">
        <w:rPr>
          <w:sz w:val="24"/>
          <w:szCs w:val="24"/>
        </w:rPr>
        <w:t>2007</w:t>
      </w:r>
      <w:proofErr w:type="gramEnd"/>
      <w:r w:rsidR="005679D8" w:rsidRPr="003B2ED9">
        <w:rPr>
          <w:sz w:val="24"/>
          <w:szCs w:val="24"/>
        </w:rPr>
        <w:t xml:space="preserve"> to June 4, 2014 due to unauthorized usage because the matter has been previously adjudicated by the Commission</w:t>
      </w:r>
      <w:r w:rsidRPr="003B2ED9">
        <w:rPr>
          <w:color w:val="000000"/>
          <w:w w:val="107"/>
          <w:sz w:val="24"/>
          <w:szCs w:val="24"/>
        </w:rPr>
        <w:t>.</w:t>
      </w:r>
    </w:p>
    <w:p w14:paraId="1F968F3A" w14:textId="77777777" w:rsidR="002173DD" w:rsidRPr="003B2ED9" w:rsidRDefault="002173DD" w:rsidP="002173DD">
      <w:pPr>
        <w:spacing w:line="360" w:lineRule="auto"/>
        <w:rPr>
          <w:sz w:val="24"/>
          <w:szCs w:val="24"/>
        </w:rPr>
      </w:pPr>
    </w:p>
    <w:p w14:paraId="0DD42718" w14:textId="0AF44D4F" w:rsidR="005679D8" w:rsidRPr="003B2ED9" w:rsidRDefault="002173DD" w:rsidP="005679D8">
      <w:pPr>
        <w:spacing w:line="360" w:lineRule="auto"/>
        <w:rPr>
          <w:sz w:val="24"/>
          <w:szCs w:val="24"/>
        </w:rPr>
      </w:pPr>
      <w:r w:rsidRPr="003B2ED9">
        <w:rPr>
          <w:sz w:val="24"/>
          <w:szCs w:val="24"/>
        </w:rPr>
        <w:tab/>
      </w:r>
      <w:r w:rsidRPr="003B2ED9">
        <w:rPr>
          <w:sz w:val="24"/>
          <w:szCs w:val="24"/>
        </w:rPr>
        <w:tab/>
      </w:r>
      <w:r w:rsidR="005679D8" w:rsidRPr="003B2ED9">
        <w:rPr>
          <w:sz w:val="24"/>
          <w:szCs w:val="24"/>
        </w:rPr>
        <w:t xml:space="preserve">It is well settled that a party is precluded from re-litigating a prior final order of the Commission. </w:t>
      </w:r>
      <w:r w:rsidR="003B2ED9">
        <w:rPr>
          <w:sz w:val="24"/>
          <w:szCs w:val="24"/>
        </w:rPr>
        <w:t xml:space="preserve"> </w:t>
      </w:r>
      <w:r w:rsidR="005679D8" w:rsidRPr="003B2ED9">
        <w:rPr>
          <w:sz w:val="24"/>
          <w:szCs w:val="24"/>
        </w:rPr>
        <w:t xml:space="preserve">66 </w:t>
      </w:r>
      <w:proofErr w:type="spellStart"/>
      <w:r w:rsidR="005679D8" w:rsidRPr="003B2ED9">
        <w:rPr>
          <w:sz w:val="24"/>
          <w:szCs w:val="24"/>
        </w:rPr>
        <w:t>Pa.C.S</w:t>
      </w:r>
      <w:proofErr w:type="spellEnd"/>
      <w:r w:rsidR="005679D8" w:rsidRPr="003B2ED9">
        <w:rPr>
          <w:sz w:val="24"/>
          <w:szCs w:val="24"/>
        </w:rPr>
        <w:t xml:space="preserve">. § 316 expressly establishes the finality of Commission action and states in relevant part: </w:t>
      </w:r>
    </w:p>
    <w:p w14:paraId="704C6ED8" w14:textId="77777777" w:rsidR="005679D8" w:rsidRPr="003B2ED9" w:rsidRDefault="005679D8" w:rsidP="005679D8">
      <w:pPr>
        <w:spacing w:line="360" w:lineRule="auto"/>
        <w:rPr>
          <w:sz w:val="24"/>
          <w:szCs w:val="24"/>
        </w:rPr>
      </w:pPr>
    </w:p>
    <w:p w14:paraId="35D2A7BF" w14:textId="6083A559" w:rsidR="005679D8" w:rsidRPr="003B2ED9" w:rsidRDefault="005679D8" w:rsidP="005679D8">
      <w:pPr>
        <w:ind w:left="1440" w:right="1440"/>
        <w:rPr>
          <w:sz w:val="24"/>
          <w:szCs w:val="24"/>
        </w:rPr>
      </w:pPr>
      <w:r w:rsidRPr="003B2ED9">
        <w:rPr>
          <w:sz w:val="24"/>
          <w:szCs w:val="24"/>
        </w:rPr>
        <w:t>Whenever the Commission shall make any rule, regulation, finding, determination or order, the same shall be prima facie evidence of the facts found and shall remain conclusive upon all parties affected thereby, unless set aside, annulled or modified on judicial review.</w:t>
      </w:r>
    </w:p>
    <w:p w14:paraId="01429CF4" w14:textId="77777777" w:rsidR="005679D8" w:rsidRPr="003B2ED9" w:rsidRDefault="005679D8" w:rsidP="005679D8">
      <w:pPr>
        <w:spacing w:line="360" w:lineRule="auto"/>
        <w:rPr>
          <w:sz w:val="24"/>
          <w:szCs w:val="24"/>
        </w:rPr>
      </w:pPr>
    </w:p>
    <w:p w14:paraId="36A0B8FD" w14:textId="33F7C825" w:rsidR="005679D8" w:rsidRPr="003B2ED9" w:rsidRDefault="005679D8" w:rsidP="005679D8">
      <w:pPr>
        <w:spacing w:line="360" w:lineRule="auto"/>
        <w:rPr>
          <w:sz w:val="24"/>
          <w:szCs w:val="24"/>
        </w:rPr>
      </w:pPr>
      <w:r w:rsidRPr="003B2ED9">
        <w:rPr>
          <w:sz w:val="24"/>
          <w:szCs w:val="24"/>
        </w:rPr>
        <w:t xml:space="preserve">The Commission’s findings of fact in prior complaints “are conclusive on the parties.” </w:t>
      </w:r>
      <w:r w:rsidRPr="003B2ED9">
        <w:rPr>
          <w:i/>
          <w:iCs/>
          <w:sz w:val="24"/>
          <w:szCs w:val="24"/>
        </w:rPr>
        <w:t>Warren v. Equitable Gas Co.</w:t>
      </w:r>
      <w:r w:rsidRPr="003B2ED9">
        <w:rPr>
          <w:sz w:val="24"/>
          <w:szCs w:val="24"/>
        </w:rPr>
        <w:t xml:space="preserve">, Docket No. C-2014-2426795 (Order entered September 15, 2014). </w:t>
      </w:r>
      <w:r w:rsidR="003B2ED9">
        <w:rPr>
          <w:sz w:val="24"/>
          <w:szCs w:val="24"/>
        </w:rPr>
        <w:t xml:space="preserve"> </w:t>
      </w:r>
      <w:r w:rsidRPr="003B2ED9">
        <w:rPr>
          <w:sz w:val="24"/>
          <w:szCs w:val="24"/>
        </w:rPr>
        <w:t xml:space="preserve">Further, the legal doctrines of both </w:t>
      </w:r>
      <w:r w:rsidRPr="003B2ED9">
        <w:rPr>
          <w:i/>
          <w:iCs/>
          <w:sz w:val="24"/>
          <w:szCs w:val="24"/>
        </w:rPr>
        <w:t>res judicata</w:t>
      </w:r>
      <w:r w:rsidRPr="003B2ED9">
        <w:rPr>
          <w:sz w:val="24"/>
          <w:szCs w:val="24"/>
        </w:rPr>
        <w:t xml:space="preserve"> and collateral estoppel apply to preclude collateral attack </w:t>
      </w:r>
      <w:r w:rsidRPr="003B2ED9">
        <w:rPr>
          <w:sz w:val="24"/>
          <w:szCs w:val="24"/>
        </w:rPr>
        <w:lastRenderedPageBreak/>
        <w:t>of final orders rendered in proceedings brought before the Commission.</w:t>
      </w:r>
      <w:r w:rsidR="003B2ED9">
        <w:rPr>
          <w:sz w:val="24"/>
          <w:szCs w:val="24"/>
        </w:rPr>
        <w:t xml:space="preserve"> </w:t>
      </w:r>
      <w:r w:rsidRPr="003B2ED9">
        <w:rPr>
          <w:sz w:val="24"/>
          <w:szCs w:val="24"/>
        </w:rPr>
        <w:t xml:space="preserve"> </w:t>
      </w:r>
      <w:r w:rsidRPr="003B2ED9">
        <w:rPr>
          <w:i/>
          <w:iCs/>
          <w:sz w:val="24"/>
          <w:szCs w:val="24"/>
        </w:rPr>
        <w:t>O’Toole v. Bell Telephone Company of Pennsylvania, Inc.</w:t>
      </w:r>
      <w:r w:rsidRPr="003B2ED9">
        <w:rPr>
          <w:sz w:val="24"/>
          <w:szCs w:val="24"/>
        </w:rPr>
        <w:t xml:space="preserve">, 77 Pa. PUC 98 (1992).  The doctrine of </w:t>
      </w:r>
      <w:r w:rsidRPr="003B2ED9">
        <w:rPr>
          <w:i/>
          <w:iCs/>
          <w:sz w:val="24"/>
          <w:szCs w:val="24"/>
        </w:rPr>
        <w:t>res judicata</w:t>
      </w:r>
      <w:r w:rsidRPr="003B2ED9">
        <w:rPr>
          <w:sz w:val="24"/>
          <w:szCs w:val="24"/>
        </w:rPr>
        <w:t xml:space="preserve"> reflects the refusal of the law to tolerate a multiplicity of litigation. </w:t>
      </w:r>
      <w:r w:rsidR="003B2ED9">
        <w:rPr>
          <w:sz w:val="24"/>
          <w:szCs w:val="24"/>
        </w:rPr>
        <w:t xml:space="preserve"> </w:t>
      </w:r>
      <w:r w:rsidRPr="003B2ED9">
        <w:rPr>
          <w:sz w:val="24"/>
          <w:szCs w:val="24"/>
        </w:rPr>
        <w:t xml:space="preserve">It holds that “an existing final judgment rendered upon the merits, without fraud or collusion, by a court of competent jurisdiction, is conclusive of causes of action and of facts or issues thereby litigated, as to the parties and their privies, in all other actions in the same or any other judicial tribunal of concurrent jurisdiction.” </w:t>
      </w:r>
      <w:r w:rsidR="003B2ED9">
        <w:rPr>
          <w:sz w:val="24"/>
          <w:szCs w:val="24"/>
        </w:rPr>
        <w:t xml:space="preserve"> </w:t>
      </w:r>
      <w:r w:rsidRPr="003B2ED9">
        <w:rPr>
          <w:sz w:val="24"/>
          <w:szCs w:val="24"/>
        </w:rPr>
        <w:t xml:space="preserve">46 Am.Jur.2d, Judgments § 394 at 558–559. </w:t>
      </w:r>
      <w:r w:rsidR="003B2ED9">
        <w:rPr>
          <w:sz w:val="24"/>
          <w:szCs w:val="24"/>
        </w:rPr>
        <w:t xml:space="preserve"> </w:t>
      </w:r>
      <w:r w:rsidRPr="003B2ED9">
        <w:rPr>
          <w:sz w:val="24"/>
          <w:szCs w:val="24"/>
        </w:rPr>
        <w:t xml:space="preserve">“‘The original cause is “barred” by a judgment for the defendant and “merged” in one for the plaintiff. [The doctrine] forbid[s] </w:t>
      </w:r>
      <w:proofErr w:type="spellStart"/>
      <w:r w:rsidRPr="003B2ED9">
        <w:rPr>
          <w:sz w:val="24"/>
          <w:szCs w:val="24"/>
        </w:rPr>
        <w:t>relitigation</w:t>
      </w:r>
      <w:proofErr w:type="spellEnd"/>
      <w:r w:rsidRPr="003B2ED9">
        <w:rPr>
          <w:sz w:val="24"/>
          <w:szCs w:val="24"/>
        </w:rPr>
        <w:t xml:space="preserve"> of matters </w:t>
      </w:r>
      <w:proofErr w:type="gramStart"/>
      <w:r w:rsidRPr="003B2ED9">
        <w:rPr>
          <w:sz w:val="24"/>
          <w:szCs w:val="24"/>
        </w:rPr>
        <w:t>actually decided,</w:t>
      </w:r>
      <w:proofErr w:type="gramEnd"/>
      <w:r w:rsidRPr="003B2ED9">
        <w:rPr>
          <w:sz w:val="24"/>
          <w:szCs w:val="24"/>
        </w:rPr>
        <w:t xml:space="preserve"> on the ground that there is no assurance the second decision will be more correct than the first.  Moreover, a party is commonly forbidden to raise issues that could have been litigated in the first suit but were not, because of the desirability of settling the entire controversy in a single proceeding.’” </w:t>
      </w:r>
      <w:r w:rsidRPr="003B2ED9">
        <w:rPr>
          <w:i/>
          <w:iCs/>
          <w:sz w:val="24"/>
          <w:szCs w:val="24"/>
        </w:rPr>
        <w:t>In re Estate of R.L.L.</w:t>
      </w:r>
      <w:r w:rsidRPr="003B2ED9">
        <w:rPr>
          <w:sz w:val="24"/>
          <w:szCs w:val="24"/>
        </w:rPr>
        <w:t xml:space="preserve">, 487 Pa. 223, 228 n. 7, 409 A.2d 321, 323 n. 7 (1979), quoting Cramton, Currie and Kay, Cases on Conflicts of Laws 2d Ed. ABC, p. 655 (1975).  For the doctrine to apply, four conditions must be met: (1) identity of issues, (2) identity of causes of action, (3) identity of persons and parties to the action, and (4) identity of the quality or capacity legal status of the parties suing or sued. </w:t>
      </w:r>
      <w:r w:rsidRPr="003B2ED9">
        <w:rPr>
          <w:i/>
          <w:iCs/>
          <w:sz w:val="24"/>
          <w:szCs w:val="24"/>
        </w:rPr>
        <w:t>See</w:t>
      </w:r>
      <w:r w:rsidRPr="003B2ED9">
        <w:rPr>
          <w:sz w:val="24"/>
          <w:szCs w:val="24"/>
        </w:rPr>
        <w:t xml:space="preserve"> </w:t>
      </w:r>
      <w:r w:rsidRPr="003B2ED9">
        <w:rPr>
          <w:i/>
          <w:iCs/>
          <w:sz w:val="24"/>
          <w:szCs w:val="24"/>
        </w:rPr>
        <w:t xml:space="preserve">Day v. </w:t>
      </w:r>
      <w:proofErr w:type="spellStart"/>
      <w:r w:rsidRPr="003B2ED9">
        <w:rPr>
          <w:i/>
          <w:iCs/>
          <w:sz w:val="24"/>
          <w:szCs w:val="24"/>
        </w:rPr>
        <w:t>Volkswagonwerk</w:t>
      </w:r>
      <w:proofErr w:type="spellEnd"/>
      <w:r w:rsidRPr="003B2ED9">
        <w:rPr>
          <w:sz w:val="24"/>
          <w:szCs w:val="24"/>
        </w:rPr>
        <w:t xml:space="preserve">, 464 A.2d 1313 (Pa. Super. 1983). </w:t>
      </w:r>
    </w:p>
    <w:p w14:paraId="58A37149" w14:textId="77777777" w:rsidR="005679D8" w:rsidRPr="003B2ED9" w:rsidRDefault="005679D8" w:rsidP="005679D8">
      <w:pPr>
        <w:spacing w:line="360" w:lineRule="auto"/>
        <w:rPr>
          <w:sz w:val="24"/>
          <w:szCs w:val="24"/>
        </w:rPr>
      </w:pPr>
    </w:p>
    <w:p w14:paraId="48DC214C" w14:textId="4208E714" w:rsidR="002173DD" w:rsidRPr="003B2ED9" w:rsidRDefault="005679D8" w:rsidP="005679D8">
      <w:pPr>
        <w:spacing w:line="360" w:lineRule="auto"/>
        <w:ind w:firstLine="1440"/>
        <w:rPr>
          <w:sz w:val="24"/>
          <w:szCs w:val="24"/>
        </w:rPr>
      </w:pPr>
      <w:r w:rsidRPr="003B2ED9">
        <w:rPr>
          <w:sz w:val="24"/>
          <w:szCs w:val="24"/>
        </w:rPr>
        <w:t xml:space="preserve">In the instant case, all four necessary conditions are met: (1) the issue raised is a bill for the unauthorized usage a the Service Address, (2) PGW holding the Complainant responsible for the outstanding balance for unauthorized usage at the Service Address, (3) the parties are PGW and Victor Ruffin, and (4) PGW is still the entity to which the balance is owed and Victor Ruffin is still the individual being held responsible for the balance. Like Section 316 of the Code, the doctrine of </w:t>
      </w:r>
      <w:r w:rsidRPr="003B2ED9">
        <w:rPr>
          <w:i/>
          <w:iCs/>
          <w:sz w:val="24"/>
          <w:szCs w:val="24"/>
        </w:rPr>
        <w:t>res judicata</w:t>
      </w:r>
      <w:r w:rsidRPr="003B2ED9">
        <w:rPr>
          <w:sz w:val="24"/>
          <w:szCs w:val="24"/>
        </w:rPr>
        <w:t xml:space="preserve"> is designed to promote certainty, finality and judicial economy. </w:t>
      </w:r>
      <w:r w:rsidRPr="003B2ED9">
        <w:rPr>
          <w:i/>
          <w:iCs/>
          <w:sz w:val="24"/>
          <w:szCs w:val="24"/>
        </w:rPr>
        <w:t xml:space="preserve">Albert </w:t>
      </w:r>
      <w:proofErr w:type="spellStart"/>
      <w:r w:rsidRPr="003B2ED9">
        <w:rPr>
          <w:i/>
          <w:iCs/>
          <w:sz w:val="24"/>
          <w:szCs w:val="24"/>
        </w:rPr>
        <w:t>Buoncristiano</w:t>
      </w:r>
      <w:proofErr w:type="spellEnd"/>
      <w:r w:rsidRPr="003B2ED9">
        <w:rPr>
          <w:i/>
          <w:iCs/>
          <w:sz w:val="24"/>
          <w:szCs w:val="24"/>
        </w:rPr>
        <w:t xml:space="preserve"> v. Philadelphia Gas Works</w:t>
      </w:r>
      <w:r w:rsidRPr="003B2ED9">
        <w:rPr>
          <w:sz w:val="24"/>
          <w:szCs w:val="24"/>
        </w:rPr>
        <w:t xml:space="preserve">, Docket No. C-2015-2466853 (Order entered April 29, 2016). </w:t>
      </w:r>
      <w:r w:rsidR="003B2ED9">
        <w:rPr>
          <w:sz w:val="24"/>
          <w:szCs w:val="24"/>
        </w:rPr>
        <w:t xml:space="preserve"> </w:t>
      </w:r>
      <w:r w:rsidRPr="003B2ED9">
        <w:rPr>
          <w:sz w:val="24"/>
          <w:szCs w:val="24"/>
        </w:rPr>
        <w:t xml:space="preserve">They reflect the refusal of the law to tolerate the re-litigation of a matter decided by a court or agency of competent jurisdiction to curtail the waste of resources of both the agency and the parties by re-litigating issues that already have been adjudicated. </w:t>
      </w:r>
      <w:r w:rsidR="003B2ED9">
        <w:rPr>
          <w:sz w:val="24"/>
          <w:szCs w:val="24"/>
        </w:rPr>
        <w:t xml:space="preserve"> </w:t>
      </w:r>
      <w:r w:rsidRPr="003B2ED9">
        <w:rPr>
          <w:i/>
          <w:iCs/>
          <w:sz w:val="24"/>
          <w:szCs w:val="24"/>
        </w:rPr>
        <w:t>Canon v. Verizon Pennsylvania Inc.</w:t>
      </w:r>
      <w:r w:rsidRPr="003B2ED9">
        <w:rPr>
          <w:sz w:val="24"/>
          <w:szCs w:val="24"/>
        </w:rPr>
        <w:t>, Docket No. C-2013-2353818 (Order entered March 6, 2014).</w:t>
      </w:r>
    </w:p>
    <w:p w14:paraId="000A77B4" w14:textId="77777777" w:rsidR="005679D8" w:rsidRPr="003B2ED9" w:rsidRDefault="005679D8" w:rsidP="005679D8">
      <w:pPr>
        <w:spacing w:line="360" w:lineRule="auto"/>
        <w:ind w:firstLine="1440"/>
        <w:rPr>
          <w:sz w:val="24"/>
          <w:szCs w:val="24"/>
        </w:rPr>
      </w:pPr>
    </w:p>
    <w:p w14:paraId="3FF63D4C" w14:textId="40D63F44" w:rsidR="002173DD" w:rsidRPr="003B2ED9" w:rsidRDefault="002173DD" w:rsidP="002173DD">
      <w:pPr>
        <w:spacing w:line="360" w:lineRule="auto"/>
        <w:rPr>
          <w:sz w:val="24"/>
          <w:szCs w:val="24"/>
        </w:rPr>
      </w:pPr>
      <w:r w:rsidRPr="003B2ED9">
        <w:rPr>
          <w:sz w:val="24"/>
          <w:szCs w:val="24"/>
        </w:rPr>
        <w:lastRenderedPageBreak/>
        <w:tab/>
      </w:r>
      <w:r w:rsidRPr="003B2ED9">
        <w:rPr>
          <w:sz w:val="24"/>
          <w:szCs w:val="24"/>
        </w:rPr>
        <w:tab/>
        <w:t>In this proceeding, Complainant explicitly requests</w:t>
      </w:r>
      <w:r w:rsidRPr="003B2ED9">
        <w:rPr>
          <w:color w:val="000000"/>
          <w:w w:val="108"/>
          <w:sz w:val="24"/>
          <w:szCs w:val="24"/>
        </w:rPr>
        <w:t xml:space="preserve"> the Commission order</w:t>
      </w:r>
      <w:r w:rsidR="0057073A" w:rsidRPr="003B2ED9">
        <w:rPr>
          <w:color w:val="000000"/>
          <w:w w:val="108"/>
          <w:sz w:val="24"/>
          <w:szCs w:val="24"/>
        </w:rPr>
        <w:t xml:space="preserve"> the Company to lower the balance that is due</w:t>
      </w:r>
      <w:r w:rsidR="00986832" w:rsidRPr="003B2ED9">
        <w:rPr>
          <w:color w:val="000000"/>
          <w:w w:val="108"/>
          <w:sz w:val="24"/>
          <w:szCs w:val="24"/>
        </w:rPr>
        <w:t xml:space="preserve"> related to unauthorized usage</w:t>
      </w:r>
      <w:r w:rsidRPr="003B2ED9">
        <w:rPr>
          <w:color w:val="000000"/>
          <w:w w:val="108"/>
          <w:sz w:val="24"/>
          <w:szCs w:val="24"/>
        </w:rPr>
        <w:t>.</w:t>
      </w:r>
      <w:r w:rsidRPr="003B2ED9">
        <w:rPr>
          <w:sz w:val="24"/>
          <w:szCs w:val="24"/>
        </w:rPr>
        <w:t xml:space="preserve">  </w:t>
      </w:r>
      <w:r w:rsidR="00986832" w:rsidRPr="003B2ED9">
        <w:rPr>
          <w:sz w:val="24"/>
          <w:szCs w:val="24"/>
        </w:rPr>
        <w:t xml:space="preserve">However, the Commission </w:t>
      </w:r>
      <w:r w:rsidR="002206BC" w:rsidRPr="003B2ED9">
        <w:rPr>
          <w:sz w:val="24"/>
          <w:szCs w:val="24"/>
        </w:rPr>
        <w:t>filed its Opinion and Order in the matter of Victor Ruffin v Philadelphia Gas Works</w:t>
      </w:r>
      <w:r w:rsidR="00B02465" w:rsidRPr="003B2ED9">
        <w:rPr>
          <w:sz w:val="24"/>
          <w:szCs w:val="24"/>
        </w:rPr>
        <w:t xml:space="preserve"> at Docket No. F-2018-</w:t>
      </w:r>
      <w:r w:rsidR="00E648E2" w:rsidRPr="003B2ED9">
        <w:rPr>
          <w:sz w:val="24"/>
          <w:szCs w:val="24"/>
        </w:rPr>
        <w:t xml:space="preserve">2646481 on December 6, </w:t>
      </w:r>
      <w:proofErr w:type="gramStart"/>
      <w:r w:rsidR="00E648E2" w:rsidRPr="003B2ED9">
        <w:rPr>
          <w:sz w:val="24"/>
          <w:szCs w:val="24"/>
        </w:rPr>
        <w:t>2018</w:t>
      </w:r>
      <w:proofErr w:type="gramEnd"/>
      <w:r w:rsidR="00E648E2" w:rsidRPr="003B2ED9">
        <w:rPr>
          <w:sz w:val="24"/>
          <w:szCs w:val="24"/>
        </w:rPr>
        <w:t xml:space="preserve"> which found that the Complainant was responsible for </w:t>
      </w:r>
      <w:r w:rsidR="00FA75CD" w:rsidRPr="003B2ED9">
        <w:rPr>
          <w:sz w:val="24"/>
          <w:szCs w:val="24"/>
        </w:rPr>
        <w:t>the unauthorized charges from</w:t>
      </w:r>
      <w:r w:rsidR="00D029C0" w:rsidRPr="003B2ED9">
        <w:rPr>
          <w:sz w:val="24"/>
          <w:szCs w:val="24"/>
        </w:rPr>
        <w:t xml:space="preserve"> January 24, 2007 to June 4, 2014 and directed PGW to issue a final bill related to these charges.  </w:t>
      </w:r>
      <w:r w:rsidR="007A4E9E" w:rsidRPr="003B2ED9">
        <w:rPr>
          <w:sz w:val="24"/>
          <w:szCs w:val="24"/>
        </w:rPr>
        <w:t>The Company issued the final bill on December 10, 2018.</w:t>
      </w:r>
      <w:r w:rsidR="00FA75CD" w:rsidRPr="003B2ED9">
        <w:rPr>
          <w:sz w:val="24"/>
          <w:szCs w:val="24"/>
        </w:rPr>
        <w:t xml:space="preserve"> </w:t>
      </w:r>
      <w:r w:rsidR="00DE5692" w:rsidRPr="003B2ED9">
        <w:rPr>
          <w:sz w:val="24"/>
          <w:szCs w:val="24"/>
        </w:rPr>
        <w:t xml:space="preserve"> At this point the matter has been ligated and </w:t>
      </w:r>
      <w:r w:rsidR="00C81849" w:rsidRPr="003B2ED9">
        <w:rPr>
          <w:sz w:val="24"/>
          <w:szCs w:val="24"/>
        </w:rPr>
        <w:t>this issue cannot be relitigated and this portion of the Complaint is dismissed</w:t>
      </w:r>
      <w:r w:rsidRPr="003B2ED9">
        <w:rPr>
          <w:sz w:val="24"/>
          <w:szCs w:val="24"/>
        </w:rPr>
        <w:t xml:space="preserve">.  </w:t>
      </w:r>
    </w:p>
    <w:p w14:paraId="649A5A88" w14:textId="77777777" w:rsidR="002173DD" w:rsidRPr="003B2ED9" w:rsidRDefault="002173DD" w:rsidP="002173DD">
      <w:pPr>
        <w:tabs>
          <w:tab w:val="left" w:pos="-720"/>
        </w:tabs>
        <w:suppressAutoHyphens/>
        <w:autoSpaceDE w:val="0"/>
        <w:autoSpaceDN w:val="0"/>
        <w:spacing w:line="360" w:lineRule="auto"/>
        <w:ind w:firstLine="1440"/>
        <w:rPr>
          <w:sz w:val="24"/>
          <w:szCs w:val="24"/>
        </w:rPr>
      </w:pPr>
    </w:p>
    <w:p w14:paraId="10901004" w14:textId="105B5884" w:rsidR="002173DD" w:rsidRPr="003B2ED9" w:rsidRDefault="0057073A" w:rsidP="002173DD">
      <w:pPr>
        <w:spacing w:line="360" w:lineRule="auto"/>
        <w:ind w:firstLine="1440"/>
        <w:rPr>
          <w:rFonts w:eastAsiaTheme="minorHAnsi"/>
          <w:sz w:val="24"/>
          <w:szCs w:val="24"/>
        </w:rPr>
      </w:pPr>
      <w:r w:rsidRPr="003B2ED9">
        <w:rPr>
          <w:snapToGrid w:val="0"/>
          <w:spacing w:val="-3"/>
          <w:sz w:val="24"/>
          <w:szCs w:val="24"/>
        </w:rPr>
        <w:t>However, t</w:t>
      </w:r>
      <w:r w:rsidR="002173DD" w:rsidRPr="003B2ED9">
        <w:rPr>
          <w:snapToGrid w:val="0"/>
          <w:spacing w:val="-3"/>
          <w:sz w:val="24"/>
          <w:szCs w:val="24"/>
        </w:rPr>
        <w:t xml:space="preserve">he Public Utility Code at 66 </w:t>
      </w:r>
      <w:proofErr w:type="spellStart"/>
      <w:r w:rsidR="002173DD" w:rsidRPr="003B2ED9">
        <w:rPr>
          <w:snapToGrid w:val="0"/>
          <w:spacing w:val="-3"/>
          <w:sz w:val="24"/>
          <w:szCs w:val="24"/>
        </w:rPr>
        <w:t>Pa.C.S</w:t>
      </w:r>
      <w:proofErr w:type="spellEnd"/>
      <w:r w:rsidR="002173DD" w:rsidRPr="003B2ED9">
        <w:rPr>
          <w:snapToGrid w:val="0"/>
          <w:spacing w:val="-3"/>
          <w:sz w:val="24"/>
          <w:szCs w:val="24"/>
        </w:rPr>
        <w:t xml:space="preserve">. § 1501 requires public utilities to provide reasonable and adequate, not perfect service.  </w:t>
      </w:r>
      <w:r w:rsidR="002173DD" w:rsidRPr="003B2ED9">
        <w:rPr>
          <w:sz w:val="24"/>
          <w:szCs w:val="24"/>
        </w:rPr>
        <w:t xml:space="preserve">The statute at 66 </w:t>
      </w:r>
      <w:proofErr w:type="spellStart"/>
      <w:r w:rsidR="002173DD" w:rsidRPr="003B2ED9">
        <w:rPr>
          <w:sz w:val="24"/>
          <w:szCs w:val="24"/>
        </w:rPr>
        <w:t>Pa.C.S</w:t>
      </w:r>
      <w:proofErr w:type="spellEnd"/>
      <w:r w:rsidR="002173DD" w:rsidRPr="003B2ED9">
        <w:rPr>
          <w:sz w:val="24"/>
          <w:szCs w:val="24"/>
        </w:rPr>
        <w:t>. § 1501, provides, in relevant part:</w:t>
      </w:r>
    </w:p>
    <w:p w14:paraId="01C31F8E" w14:textId="77777777" w:rsidR="002173DD" w:rsidRPr="003B2ED9" w:rsidRDefault="002173DD" w:rsidP="002173DD">
      <w:pPr>
        <w:ind w:firstLine="1440"/>
        <w:rPr>
          <w:rFonts w:eastAsia="Calibri"/>
          <w:sz w:val="24"/>
          <w:szCs w:val="24"/>
        </w:rPr>
      </w:pPr>
    </w:p>
    <w:p w14:paraId="359E439B" w14:textId="77777777" w:rsidR="002173DD" w:rsidRPr="003B2ED9" w:rsidRDefault="002173DD" w:rsidP="002173DD">
      <w:pPr>
        <w:ind w:left="1440" w:right="1440"/>
        <w:rPr>
          <w:sz w:val="24"/>
          <w:szCs w:val="24"/>
        </w:rPr>
      </w:pPr>
      <w:r w:rsidRPr="003B2ED9">
        <w:rPr>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w:t>
      </w:r>
    </w:p>
    <w:p w14:paraId="139473EB" w14:textId="77777777" w:rsidR="002173DD" w:rsidRPr="003B2ED9" w:rsidRDefault="002173DD" w:rsidP="002173DD">
      <w:pPr>
        <w:ind w:left="1440" w:right="1440"/>
        <w:rPr>
          <w:sz w:val="24"/>
          <w:szCs w:val="24"/>
        </w:rPr>
      </w:pPr>
    </w:p>
    <w:p w14:paraId="412FCA59" w14:textId="77777777" w:rsidR="002173DD" w:rsidRPr="003B2ED9" w:rsidRDefault="002173DD" w:rsidP="002173DD">
      <w:pPr>
        <w:spacing w:line="360" w:lineRule="auto"/>
        <w:ind w:firstLine="1440"/>
        <w:rPr>
          <w:sz w:val="24"/>
          <w:szCs w:val="24"/>
        </w:rPr>
      </w:pPr>
      <w:r w:rsidRPr="003B2ED9">
        <w:rPr>
          <w:sz w:val="24"/>
          <w:szCs w:val="24"/>
        </w:rPr>
        <w:t>Interpreting this provision in</w:t>
      </w:r>
      <w:r w:rsidRPr="003B2ED9">
        <w:rPr>
          <w:i/>
          <w:sz w:val="24"/>
          <w:szCs w:val="24"/>
        </w:rPr>
        <w:t xml:space="preserve"> West Penn Power Co. v. Pa. Pub. Util. Comm’n</w:t>
      </w:r>
      <w:r w:rsidRPr="003B2ED9">
        <w:rPr>
          <w:sz w:val="24"/>
          <w:szCs w:val="24"/>
        </w:rPr>
        <w:t>, 478 A.2d 947 (</w:t>
      </w:r>
      <w:r w:rsidRPr="003B2ED9">
        <w:rPr>
          <w:spacing w:val="-3"/>
          <w:sz w:val="24"/>
          <w:szCs w:val="24"/>
        </w:rPr>
        <w:t xml:space="preserve">Pa. </w:t>
      </w:r>
      <w:proofErr w:type="spellStart"/>
      <w:r w:rsidRPr="003B2ED9">
        <w:rPr>
          <w:spacing w:val="-3"/>
          <w:sz w:val="24"/>
          <w:szCs w:val="24"/>
        </w:rPr>
        <w:t>Cmwlth</w:t>
      </w:r>
      <w:proofErr w:type="spellEnd"/>
      <w:r w:rsidRPr="003B2ED9">
        <w:rPr>
          <w:spacing w:val="-3"/>
          <w:sz w:val="24"/>
          <w:szCs w:val="24"/>
        </w:rPr>
        <w:t>.</w:t>
      </w:r>
      <w:r w:rsidRPr="003B2ED9">
        <w:rPr>
          <w:sz w:val="24"/>
          <w:szCs w:val="24"/>
        </w:rPr>
        <w:t xml:space="preserve"> 1984), the Commonwealth Court stated:</w:t>
      </w:r>
    </w:p>
    <w:p w14:paraId="61729936" w14:textId="77777777" w:rsidR="002173DD" w:rsidRPr="003B2ED9" w:rsidRDefault="002173DD" w:rsidP="002173DD">
      <w:pPr>
        <w:ind w:firstLine="1440"/>
        <w:rPr>
          <w:sz w:val="24"/>
          <w:szCs w:val="24"/>
        </w:rPr>
      </w:pPr>
    </w:p>
    <w:p w14:paraId="046CA781" w14:textId="77777777" w:rsidR="002173DD" w:rsidRPr="003B2ED9" w:rsidRDefault="002173DD" w:rsidP="002173DD">
      <w:pPr>
        <w:ind w:left="1440" w:right="1440"/>
        <w:rPr>
          <w:sz w:val="24"/>
          <w:szCs w:val="24"/>
        </w:rPr>
      </w:pPr>
      <w:r w:rsidRPr="003B2ED9">
        <w:rPr>
          <w:sz w:val="24"/>
          <w:szCs w:val="24"/>
        </w:rPr>
        <w:t xml:space="preserve">We hold that </w:t>
      </w:r>
      <w:proofErr w:type="gramStart"/>
      <w:r w:rsidRPr="003B2ED9">
        <w:rPr>
          <w:sz w:val="24"/>
          <w:szCs w:val="24"/>
        </w:rPr>
        <w:t>in order for</w:t>
      </w:r>
      <w:proofErr w:type="gramEnd"/>
      <w:r w:rsidRPr="003B2ED9">
        <w:rPr>
          <w:sz w:val="24"/>
          <w:szCs w:val="24"/>
        </w:rPr>
        <w:t xml:space="preserve"> the PUC to sustain a complaint brought under this section, the utility must be in violation of its duty under this section.  Without such a violation by the utility, the PUC does not have the authority, when acting on a customer’s complaint, to require any action by the utility.  (footnote omitted).  </w:t>
      </w:r>
    </w:p>
    <w:p w14:paraId="5762AF24" w14:textId="77777777" w:rsidR="002173DD" w:rsidRPr="003B2ED9" w:rsidRDefault="002173DD" w:rsidP="002173DD">
      <w:pPr>
        <w:ind w:left="1440" w:right="1440"/>
        <w:rPr>
          <w:sz w:val="24"/>
          <w:szCs w:val="24"/>
        </w:rPr>
      </w:pPr>
    </w:p>
    <w:p w14:paraId="7FE5E984" w14:textId="77777777" w:rsidR="002173DD" w:rsidRPr="003B2ED9" w:rsidRDefault="002173DD" w:rsidP="002173DD">
      <w:pPr>
        <w:rPr>
          <w:sz w:val="24"/>
          <w:szCs w:val="24"/>
        </w:rPr>
      </w:pPr>
      <w:r w:rsidRPr="003B2ED9">
        <w:rPr>
          <w:sz w:val="24"/>
          <w:szCs w:val="24"/>
        </w:rPr>
        <w:t>478 A.2d at 949.</w:t>
      </w:r>
    </w:p>
    <w:p w14:paraId="323C6D4E" w14:textId="77777777" w:rsidR="002173DD" w:rsidRPr="003B2ED9" w:rsidRDefault="002173DD" w:rsidP="002173DD">
      <w:pPr>
        <w:rPr>
          <w:sz w:val="24"/>
          <w:szCs w:val="24"/>
        </w:rPr>
      </w:pPr>
    </w:p>
    <w:p w14:paraId="533A2905" w14:textId="76CDEDB6" w:rsidR="002173DD" w:rsidRPr="003B2ED9" w:rsidRDefault="002173DD" w:rsidP="002173DD">
      <w:pPr>
        <w:spacing w:line="360" w:lineRule="auto"/>
        <w:ind w:firstLine="1440"/>
        <w:rPr>
          <w:sz w:val="24"/>
          <w:szCs w:val="24"/>
        </w:rPr>
      </w:pPr>
      <w:r w:rsidRPr="003B2ED9">
        <w:rPr>
          <w:sz w:val="24"/>
          <w:szCs w:val="24"/>
        </w:rPr>
        <w:t>The statutory definition of “service” is to be broadly construed.</w:t>
      </w:r>
      <w:r w:rsidRPr="003B2ED9">
        <w:rPr>
          <w:sz w:val="24"/>
          <w:szCs w:val="24"/>
          <w:vertAlign w:val="superscript"/>
        </w:rPr>
        <w:footnoteReference w:id="3"/>
      </w:r>
      <w:r w:rsidRPr="003B2ED9">
        <w:rPr>
          <w:sz w:val="24"/>
          <w:szCs w:val="24"/>
        </w:rPr>
        <w:t xml:space="preserve">  </w:t>
      </w:r>
      <w:r w:rsidRPr="003B2ED9">
        <w:rPr>
          <w:i/>
          <w:sz w:val="24"/>
          <w:szCs w:val="24"/>
        </w:rPr>
        <w:t xml:space="preserve">Country Place Waste Treatment Co., Inc. v. Pa. Publ. Util. Comm’n, </w:t>
      </w:r>
      <w:r w:rsidRPr="003B2ED9">
        <w:rPr>
          <w:sz w:val="24"/>
          <w:szCs w:val="24"/>
        </w:rPr>
        <w:t xml:space="preserve">654 A.2d 72 (Pa. </w:t>
      </w:r>
      <w:proofErr w:type="spellStart"/>
      <w:r w:rsidRPr="003B2ED9">
        <w:rPr>
          <w:sz w:val="24"/>
          <w:szCs w:val="24"/>
        </w:rPr>
        <w:t>Cmwlth</w:t>
      </w:r>
      <w:proofErr w:type="spellEnd"/>
      <w:r w:rsidRPr="003B2ED9">
        <w:rPr>
          <w:sz w:val="24"/>
          <w:szCs w:val="24"/>
        </w:rPr>
        <w:t xml:space="preserve">. 1995).  </w:t>
      </w:r>
    </w:p>
    <w:p w14:paraId="79447CEE" w14:textId="77777777" w:rsidR="002173DD" w:rsidRPr="003B2ED9" w:rsidRDefault="002173DD" w:rsidP="002173DD">
      <w:pPr>
        <w:spacing w:line="360" w:lineRule="auto"/>
        <w:ind w:firstLine="1440"/>
        <w:rPr>
          <w:sz w:val="24"/>
          <w:szCs w:val="24"/>
        </w:rPr>
      </w:pPr>
    </w:p>
    <w:p w14:paraId="3016A017" w14:textId="71661086" w:rsidR="002173DD" w:rsidRPr="003B2ED9" w:rsidRDefault="00C81849" w:rsidP="002173DD">
      <w:pPr>
        <w:spacing w:line="360" w:lineRule="auto"/>
        <w:ind w:firstLine="1440"/>
        <w:rPr>
          <w:sz w:val="24"/>
          <w:szCs w:val="24"/>
        </w:rPr>
      </w:pPr>
      <w:r w:rsidRPr="003B2ED9">
        <w:rPr>
          <w:sz w:val="24"/>
          <w:szCs w:val="24"/>
        </w:rPr>
        <w:t xml:space="preserve">It is unclear as to why the Complainant filed a new Formal Complaint at this time.  </w:t>
      </w:r>
      <w:r w:rsidR="00377847" w:rsidRPr="003B2ED9">
        <w:rPr>
          <w:sz w:val="24"/>
          <w:szCs w:val="24"/>
        </w:rPr>
        <w:t xml:space="preserve">It is unclear from the Complaint form as to whether the Complainant has put in a new application for service at the Service Address or if another issue arose.   </w:t>
      </w:r>
    </w:p>
    <w:p w14:paraId="6F085E68" w14:textId="77777777" w:rsidR="002173DD" w:rsidRPr="003B2ED9" w:rsidRDefault="002173DD" w:rsidP="002173DD">
      <w:pPr>
        <w:pStyle w:val="FootnoteText"/>
        <w:spacing w:line="360" w:lineRule="auto"/>
        <w:rPr>
          <w:sz w:val="24"/>
          <w:szCs w:val="24"/>
        </w:rPr>
      </w:pPr>
    </w:p>
    <w:p w14:paraId="1208089F" w14:textId="2AC7116F" w:rsidR="002173DD" w:rsidRPr="003B2ED9" w:rsidRDefault="002173DD" w:rsidP="002173DD">
      <w:pPr>
        <w:spacing w:line="360" w:lineRule="auto"/>
        <w:ind w:firstLine="1440"/>
        <w:rPr>
          <w:sz w:val="24"/>
          <w:szCs w:val="24"/>
        </w:rPr>
      </w:pPr>
      <w:r w:rsidRPr="003B2ED9">
        <w:rPr>
          <w:sz w:val="24"/>
          <w:szCs w:val="24"/>
        </w:rPr>
        <w:t xml:space="preserve">The Commission has expressed the concern that, in general, complainants may find it difficult to navigate through pre-hearing motions and should be given the chance to orally describe their basic issue and supporting facts.  On this vein, it would be inappropriate to grant the Company’s </w:t>
      </w:r>
      <w:r w:rsidR="00E15C6A" w:rsidRPr="003B2ED9">
        <w:rPr>
          <w:sz w:val="24"/>
          <w:szCs w:val="24"/>
        </w:rPr>
        <w:t>request that the Complaint be fully dismissed</w:t>
      </w:r>
      <w:r w:rsidRPr="003B2ED9">
        <w:rPr>
          <w:sz w:val="24"/>
          <w:szCs w:val="24"/>
        </w:rPr>
        <w:t>.</w:t>
      </w:r>
    </w:p>
    <w:p w14:paraId="593F718F" w14:textId="77777777" w:rsidR="002173DD" w:rsidRPr="003B2ED9" w:rsidRDefault="002173DD" w:rsidP="002173DD">
      <w:pPr>
        <w:spacing w:line="360" w:lineRule="auto"/>
        <w:ind w:firstLine="1440"/>
        <w:rPr>
          <w:sz w:val="24"/>
          <w:szCs w:val="24"/>
        </w:rPr>
      </w:pPr>
    </w:p>
    <w:p w14:paraId="71F464D2" w14:textId="347D1DDC" w:rsidR="002173DD" w:rsidRPr="003B2ED9" w:rsidRDefault="002173DD" w:rsidP="002173DD">
      <w:pPr>
        <w:spacing w:line="360" w:lineRule="auto"/>
        <w:ind w:firstLine="1440"/>
        <w:rPr>
          <w:sz w:val="24"/>
          <w:szCs w:val="24"/>
        </w:rPr>
      </w:pPr>
      <w:r w:rsidRPr="003B2ED9">
        <w:rPr>
          <w:sz w:val="24"/>
          <w:szCs w:val="24"/>
        </w:rPr>
        <w:t>On the other hand, the Respondent must have an opportunity to understand and respond in a meaningful way to a formal complaint.  The Commission’s rules of procedure permit the Commission to direct a more specific pleading.</w:t>
      </w:r>
      <w:r w:rsidRPr="003B2ED9">
        <w:rPr>
          <w:rStyle w:val="FootnoteReference"/>
          <w:sz w:val="24"/>
          <w:szCs w:val="24"/>
          <w:vertAlign w:val="superscript"/>
        </w:rPr>
        <w:footnoteReference w:id="4"/>
      </w:r>
      <w:r w:rsidRPr="003B2ED9">
        <w:rPr>
          <w:sz w:val="24"/>
          <w:szCs w:val="24"/>
        </w:rPr>
        <w:t xml:space="preserve">  Therefore, the Complainant is directed to file an amendment to his Complaint which includes </w:t>
      </w:r>
      <w:r w:rsidR="005679D8" w:rsidRPr="003B2ED9">
        <w:rPr>
          <w:sz w:val="24"/>
          <w:szCs w:val="24"/>
        </w:rPr>
        <w:t>new or additional allegation (such as whether the Complainant has made a new application for service, etc.)</w:t>
      </w:r>
      <w:r w:rsidRPr="003B2ED9">
        <w:rPr>
          <w:sz w:val="24"/>
          <w:szCs w:val="24"/>
        </w:rPr>
        <w:t xml:space="preserve"> and states with specificity what he would like the Commission to do to resolve his dispute.  </w:t>
      </w:r>
      <w:proofErr w:type="gramStart"/>
      <w:r w:rsidRPr="003B2ED9">
        <w:rPr>
          <w:sz w:val="24"/>
          <w:szCs w:val="24"/>
        </w:rPr>
        <w:t>In the event that</w:t>
      </w:r>
      <w:proofErr w:type="gramEnd"/>
      <w:r w:rsidRPr="003B2ED9">
        <w:rPr>
          <w:sz w:val="24"/>
          <w:szCs w:val="24"/>
        </w:rPr>
        <w:t xml:space="preserve"> the Complainant fails to comply with this order, the Respondent may file an appropriate motion to seek dismissal of the Complaint.</w:t>
      </w:r>
    </w:p>
    <w:p w14:paraId="2C044E67" w14:textId="77777777" w:rsidR="002173DD" w:rsidRPr="003B2ED9" w:rsidRDefault="002173DD" w:rsidP="002173DD">
      <w:pPr>
        <w:tabs>
          <w:tab w:val="left" w:pos="-720"/>
        </w:tabs>
        <w:suppressAutoHyphens/>
        <w:autoSpaceDE w:val="0"/>
        <w:autoSpaceDN w:val="0"/>
        <w:spacing w:line="360" w:lineRule="auto"/>
        <w:ind w:firstLine="1440"/>
        <w:rPr>
          <w:rFonts w:eastAsia="Calibri"/>
          <w:sz w:val="24"/>
          <w:szCs w:val="24"/>
        </w:rPr>
      </w:pPr>
    </w:p>
    <w:p w14:paraId="7FDFCB71" w14:textId="77777777" w:rsidR="002173DD" w:rsidRPr="003B2ED9" w:rsidRDefault="002173DD" w:rsidP="002173DD">
      <w:pPr>
        <w:spacing w:line="360" w:lineRule="auto"/>
        <w:jc w:val="center"/>
        <w:rPr>
          <w:sz w:val="24"/>
          <w:szCs w:val="24"/>
          <w:u w:val="single"/>
        </w:rPr>
      </w:pPr>
    </w:p>
    <w:p w14:paraId="478CB778" w14:textId="77777777" w:rsidR="002173DD" w:rsidRPr="003B2ED9" w:rsidRDefault="002173DD" w:rsidP="002173DD">
      <w:pPr>
        <w:spacing w:line="360" w:lineRule="auto"/>
        <w:jc w:val="center"/>
        <w:rPr>
          <w:sz w:val="24"/>
          <w:szCs w:val="24"/>
          <w:u w:val="single"/>
        </w:rPr>
      </w:pPr>
      <w:r w:rsidRPr="003B2ED9">
        <w:rPr>
          <w:sz w:val="24"/>
          <w:szCs w:val="24"/>
          <w:u w:val="single"/>
        </w:rPr>
        <w:t>ORDER</w:t>
      </w:r>
    </w:p>
    <w:p w14:paraId="7C675586" w14:textId="77777777" w:rsidR="002173DD" w:rsidRPr="003B2ED9" w:rsidRDefault="002173DD" w:rsidP="002173DD">
      <w:pPr>
        <w:spacing w:line="360" w:lineRule="auto"/>
        <w:jc w:val="center"/>
        <w:rPr>
          <w:sz w:val="24"/>
          <w:szCs w:val="24"/>
        </w:rPr>
      </w:pPr>
    </w:p>
    <w:p w14:paraId="2348FB34" w14:textId="77777777" w:rsidR="002173DD" w:rsidRPr="003B2ED9" w:rsidRDefault="002173DD" w:rsidP="002173DD">
      <w:pPr>
        <w:spacing w:line="360" w:lineRule="auto"/>
        <w:rPr>
          <w:sz w:val="24"/>
          <w:szCs w:val="24"/>
        </w:rPr>
      </w:pPr>
    </w:p>
    <w:p w14:paraId="41D9C7BE" w14:textId="77777777" w:rsidR="002173DD" w:rsidRPr="003B2ED9" w:rsidRDefault="002173DD" w:rsidP="002173DD">
      <w:pPr>
        <w:spacing w:line="360" w:lineRule="auto"/>
        <w:rPr>
          <w:sz w:val="24"/>
          <w:szCs w:val="24"/>
        </w:rPr>
      </w:pPr>
      <w:r w:rsidRPr="003B2ED9">
        <w:rPr>
          <w:sz w:val="24"/>
          <w:szCs w:val="24"/>
        </w:rPr>
        <w:tab/>
      </w:r>
      <w:r w:rsidRPr="003B2ED9">
        <w:rPr>
          <w:sz w:val="24"/>
          <w:szCs w:val="24"/>
        </w:rPr>
        <w:tab/>
        <w:t>THEREFORE,</w:t>
      </w:r>
    </w:p>
    <w:p w14:paraId="5AD0934C" w14:textId="77777777" w:rsidR="002173DD" w:rsidRPr="003B2ED9" w:rsidRDefault="002173DD" w:rsidP="002173DD">
      <w:pPr>
        <w:spacing w:line="360" w:lineRule="auto"/>
        <w:rPr>
          <w:sz w:val="24"/>
          <w:szCs w:val="24"/>
        </w:rPr>
      </w:pPr>
    </w:p>
    <w:p w14:paraId="0EAFAB32" w14:textId="77777777" w:rsidR="002173DD" w:rsidRPr="003B2ED9" w:rsidRDefault="002173DD" w:rsidP="002173DD">
      <w:pPr>
        <w:spacing w:line="360" w:lineRule="auto"/>
        <w:rPr>
          <w:sz w:val="24"/>
          <w:szCs w:val="24"/>
        </w:rPr>
      </w:pPr>
      <w:r w:rsidRPr="003B2ED9">
        <w:rPr>
          <w:sz w:val="24"/>
          <w:szCs w:val="24"/>
        </w:rPr>
        <w:tab/>
      </w:r>
      <w:r w:rsidRPr="003B2ED9">
        <w:rPr>
          <w:sz w:val="24"/>
          <w:szCs w:val="24"/>
        </w:rPr>
        <w:tab/>
        <w:t>IT IS ORDERED:</w:t>
      </w:r>
    </w:p>
    <w:p w14:paraId="044755D0" w14:textId="77777777" w:rsidR="002173DD" w:rsidRPr="003B2ED9" w:rsidRDefault="002173DD" w:rsidP="002173DD">
      <w:pPr>
        <w:spacing w:line="360" w:lineRule="auto"/>
        <w:rPr>
          <w:sz w:val="24"/>
          <w:szCs w:val="24"/>
        </w:rPr>
      </w:pPr>
    </w:p>
    <w:p w14:paraId="715844E4" w14:textId="77777777" w:rsidR="00FD631A" w:rsidRPr="003B2ED9" w:rsidRDefault="002173DD" w:rsidP="00FD631A">
      <w:pPr>
        <w:pStyle w:val="ListParagraph"/>
        <w:numPr>
          <w:ilvl w:val="0"/>
          <w:numId w:val="1"/>
        </w:numPr>
        <w:spacing w:line="360" w:lineRule="auto"/>
        <w:ind w:left="0" w:firstLine="1440"/>
        <w:rPr>
          <w:sz w:val="24"/>
          <w:szCs w:val="24"/>
        </w:rPr>
      </w:pPr>
      <w:r w:rsidRPr="003B2ED9">
        <w:rPr>
          <w:sz w:val="24"/>
          <w:szCs w:val="24"/>
        </w:rPr>
        <w:lastRenderedPageBreak/>
        <w:t xml:space="preserve">That the Preliminary Objection as filed by </w:t>
      </w:r>
      <w:r w:rsidR="00FD631A" w:rsidRPr="003B2ED9">
        <w:rPr>
          <w:sz w:val="24"/>
          <w:szCs w:val="24"/>
        </w:rPr>
        <w:t>Philadelphia Gas Works</w:t>
      </w:r>
      <w:r w:rsidRPr="003B2ED9">
        <w:rPr>
          <w:sz w:val="24"/>
          <w:szCs w:val="24"/>
        </w:rPr>
        <w:t xml:space="preserve"> is granted in part such that </w:t>
      </w:r>
      <w:r w:rsidR="00FD631A" w:rsidRPr="003B2ED9">
        <w:rPr>
          <w:sz w:val="24"/>
          <w:szCs w:val="24"/>
        </w:rPr>
        <w:t xml:space="preserve">Complainant’s allegations related to the charges from January 24, </w:t>
      </w:r>
      <w:proofErr w:type="gramStart"/>
      <w:r w:rsidR="00FD631A" w:rsidRPr="003B2ED9">
        <w:rPr>
          <w:sz w:val="24"/>
          <w:szCs w:val="24"/>
        </w:rPr>
        <w:t>2007</w:t>
      </w:r>
      <w:proofErr w:type="gramEnd"/>
      <w:r w:rsidR="00FD631A" w:rsidRPr="003B2ED9">
        <w:rPr>
          <w:sz w:val="24"/>
          <w:szCs w:val="24"/>
        </w:rPr>
        <w:t xml:space="preserve"> to June 4, 2014 due to unauthorized usage</w:t>
      </w:r>
      <w:r w:rsidRPr="003B2ED9">
        <w:rPr>
          <w:sz w:val="24"/>
          <w:szCs w:val="24"/>
        </w:rPr>
        <w:t xml:space="preserve"> and dismissed without a hearing.</w:t>
      </w:r>
    </w:p>
    <w:p w14:paraId="5EB83760" w14:textId="77777777" w:rsidR="00FD631A" w:rsidRPr="003B2ED9" w:rsidRDefault="00FD631A" w:rsidP="00FD631A">
      <w:pPr>
        <w:pStyle w:val="ListParagraph"/>
        <w:spacing w:line="360" w:lineRule="auto"/>
        <w:ind w:left="1440"/>
        <w:rPr>
          <w:sz w:val="24"/>
          <w:szCs w:val="24"/>
        </w:rPr>
      </w:pPr>
    </w:p>
    <w:p w14:paraId="7585B590" w14:textId="2203FAEC" w:rsidR="00FD631A" w:rsidRPr="003B2ED9" w:rsidRDefault="00FD631A" w:rsidP="00FD631A">
      <w:pPr>
        <w:pStyle w:val="ListParagraph"/>
        <w:numPr>
          <w:ilvl w:val="0"/>
          <w:numId w:val="1"/>
        </w:numPr>
        <w:spacing w:line="360" w:lineRule="auto"/>
        <w:ind w:left="0" w:firstLine="1440"/>
        <w:rPr>
          <w:sz w:val="24"/>
          <w:szCs w:val="24"/>
        </w:rPr>
      </w:pPr>
      <w:r w:rsidRPr="003B2ED9">
        <w:rPr>
          <w:sz w:val="24"/>
          <w:szCs w:val="24"/>
        </w:rPr>
        <w:t xml:space="preserve">That Victor Ruffin shall file and serve an Amended Complaint which sets forth additional facts, consistent with the instructions provided on the Commission’s formal complaint form, in support of the Complainant’s new or additional allegations against Philadelphia Gas Works </w:t>
      </w:r>
      <w:r w:rsidRPr="003B2ED9">
        <w:rPr>
          <w:b/>
          <w:bCs/>
          <w:sz w:val="24"/>
          <w:szCs w:val="24"/>
          <w:u w:val="single"/>
        </w:rPr>
        <w:t>on or before December 22, 2023</w:t>
      </w:r>
      <w:r w:rsidRPr="003B2ED9">
        <w:rPr>
          <w:sz w:val="24"/>
          <w:szCs w:val="24"/>
        </w:rPr>
        <w:t>.  A copy of the Amended Complaint shall be served on counsel for Philadelphia Gas Works as well as the undersigned Administrative Law Judge.</w:t>
      </w:r>
    </w:p>
    <w:p w14:paraId="25934B8D" w14:textId="77777777" w:rsidR="00FD631A" w:rsidRPr="003B2ED9" w:rsidRDefault="00FD631A" w:rsidP="00FD631A">
      <w:pPr>
        <w:spacing w:line="360" w:lineRule="auto"/>
        <w:ind w:firstLine="1440"/>
        <w:rPr>
          <w:sz w:val="24"/>
          <w:szCs w:val="24"/>
        </w:rPr>
      </w:pPr>
    </w:p>
    <w:p w14:paraId="1EC62BFA" w14:textId="389F6C74" w:rsidR="00FD631A" w:rsidRPr="003B2ED9" w:rsidRDefault="00FD631A" w:rsidP="00FD631A">
      <w:pPr>
        <w:spacing w:line="360" w:lineRule="auto"/>
        <w:ind w:firstLine="1440"/>
        <w:rPr>
          <w:sz w:val="24"/>
          <w:szCs w:val="24"/>
        </w:rPr>
      </w:pPr>
      <w:r w:rsidRPr="003B2ED9">
        <w:rPr>
          <w:sz w:val="24"/>
          <w:szCs w:val="24"/>
        </w:rPr>
        <w:t>3.</w:t>
      </w:r>
      <w:r w:rsidRPr="003B2ED9">
        <w:rPr>
          <w:sz w:val="24"/>
          <w:szCs w:val="24"/>
        </w:rPr>
        <w:tab/>
        <w:t>That upon timely filing and service of an Amended Complaint by Victor Ruffin, Philadelphia Gas Works shall timely file and serve a responsive pleading.</w:t>
      </w:r>
    </w:p>
    <w:p w14:paraId="5FD92D1F" w14:textId="77777777" w:rsidR="002173DD" w:rsidRPr="003B2ED9" w:rsidRDefault="002173DD" w:rsidP="002173DD">
      <w:pPr>
        <w:spacing w:line="360" w:lineRule="auto"/>
        <w:ind w:firstLine="1440"/>
        <w:rPr>
          <w:sz w:val="24"/>
          <w:szCs w:val="24"/>
        </w:rPr>
      </w:pPr>
    </w:p>
    <w:p w14:paraId="29A4F540" w14:textId="77777777" w:rsidR="002173DD" w:rsidRPr="003B2ED9" w:rsidRDefault="002173DD" w:rsidP="002173DD">
      <w:pPr>
        <w:spacing w:line="360" w:lineRule="auto"/>
        <w:rPr>
          <w:sz w:val="24"/>
          <w:szCs w:val="24"/>
        </w:rPr>
      </w:pPr>
    </w:p>
    <w:p w14:paraId="38615CCF" w14:textId="0973B19D" w:rsidR="002173DD" w:rsidRPr="003B2ED9" w:rsidRDefault="002173DD" w:rsidP="002173DD">
      <w:pPr>
        <w:widowControl w:val="0"/>
        <w:tabs>
          <w:tab w:val="left" w:pos="0"/>
        </w:tabs>
        <w:autoSpaceDE w:val="0"/>
        <w:autoSpaceDN w:val="0"/>
        <w:adjustRightInd w:val="0"/>
        <w:jc w:val="both"/>
        <w:rPr>
          <w:sz w:val="24"/>
          <w:szCs w:val="24"/>
          <w:u w:val="single"/>
        </w:rPr>
      </w:pPr>
      <w:bookmarkStart w:id="1" w:name="_Hlk10719696"/>
      <w:r w:rsidRPr="003B2ED9">
        <w:rPr>
          <w:sz w:val="24"/>
          <w:szCs w:val="24"/>
        </w:rPr>
        <w:t xml:space="preserve">Date:  </w:t>
      </w:r>
      <w:r w:rsidRPr="003B2ED9">
        <w:rPr>
          <w:sz w:val="24"/>
          <w:szCs w:val="24"/>
          <w:u w:val="single"/>
        </w:rPr>
        <w:t>December 8, 2023</w:t>
      </w:r>
      <w:r w:rsidRPr="003B2ED9">
        <w:rPr>
          <w:sz w:val="24"/>
          <w:szCs w:val="24"/>
          <w:u w:val="single"/>
        </w:rPr>
        <w:tab/>
      </w:r>
      <w:r w:rsidRPr="003B2ED9">
        <w:rPr>
          <w:sz w:val="24"/>
          <w:szCs w:val="24"/>
        </w:rPr>
        <w:tab/>
      </w:r>
      <w:r w:rsidRPr="003B2ED9">
        <w:rPr>
          <w:sz w:val="24"/>
          <w:szCs w:val="24"/>
        </w:rPr>
        <w:tab/>
      </w:r>
      <w:r w:rsidRPr="003B2ED9">
        <w:rPr>
          <w:sz w:val="24"/>
          <w:szCs w:val="24"/>
        </w:rPr>
        <w:tab/>
      </w:r>
      <w:r w:rsidRPr="003B2ED9">
        <w:rPr>
          <w:sz w:val="24"/>
          <w:szCs w:val="24"/>
        </w:rPr>
        <w:tab/>
      </w:r>
      <w:r w:rsidRPr="003B2ED9">
        <w:rPr>
          <w:sz w:val="24"/>
          <w:szCs w:val="24"/>
          <w:u w:val="single"/>
        </w:rPr>
        <w:tab/>
      </w:r>
      <w:r w:rsidRPr="003B2ED9">
        <w:rPr>
          <w:sz w:val="24"/>
          <w:szCs w:val="24"/>
          <w:u w:val="single"/>
        </w:rPr>
        <w:tab/>
        <w:t>/s/</w:t>
      </w:r>
      <w:r w:rsidRPr="003B2ED9">
        <w:rPr>
          <w:sz w:val="24"/>
          <w:szCs w:val="24"/>
          <w:u w:val="single"/>
        </w:rPr>
        <w:tab/>
      </w:r>
      <w:r w:rsidRPr="003B2ED9">
        <w:rPr>
          <w:sz w:val="24"/>
          <w:szCs w:val="24"/>
          <w:u w:val="single"/>
        </w:rPr>
        <w:tab/>
      </w:r>
      <w:r w:rsidRPr="003B2ED9">
        <w:rPr>
          <w:sz w:val="24"/>
          <w:szCs w:val="24"/>
          <w:u w:val="single"/>
        </w:rPr>
        <w:tab/>
      </w:r>
    </w:p>
    <w:p w14:paraId="0A3252C2" w14:textId="77777777" w:rsidR="002173DD" w:rsidRPr="003B2ED9" w:rsidRDefault="002173DD" w:rsidP="002173DD">
      <w:pPr>
        <w:widowControl w:val="0"/>
        <w:tabs>
          <w:tab w:val="left" w:pos="0"/>
        </w:tabs>
        <w:autoSpaceDE w:val="0"/>
        <w:autoSpaceDN w:val="0"/>
        <w:adjustRightInd w:val="0"/>
        <w:jc w:val="both"/>
        <w:rPr>
          <w:sz w:val="24"/>
          <w:szCs w:val="24"/>
        </w:rPr>
      </w:pPr>
      <w:r w:rsidRPr="003B2ED9">
        <w:rPr>
          <w:sz w:val="24"/>
          <w:szCs w:val="24"/>
        </w:rPr>
        <w:tab/>
      </w:r>
      <w:r w:rsidRPr="003B2ED9">
        <w:rPr>
          <w:sz w:val="24"/>
          <w:szCs w:val="24"/>
        </w:rPr>
        <w:tab/>
      </w:r>
      <w:r w:rsidRPr="003B2ED9">
        <w:rPr>
          <w:sz w:val="24"/>
          <w:szCs w:val="24"/>
        </w:rPr>
        <w:tab/>
      </w:r>
      <w:r w:rsidRPr="003B2ED9">
        <w:rPr>
          <w:sz w:val="24"/>
          <w:szCs w:val="24"/>
        </w:rPr>
        <w:tab/>
      </w:r>
      <w:r w:rsidRPr="003B2ED9">
        <w:rPr>
          <w:sz w:val="24"/>
          <w:szCs w:val="24"/>
        </w:rPr>
        <w:tab/>
      </w:r>
      <w:r w:rsidRPr="003B2ED9">
        <w:rPr>
          <w:sz w:val="24"/>
          <w:szCs w:val="24"/>
        </w:rPr>
        <w:tab/>
      </w:r>
      <w:r w:rsidRPr="003B2ED9">
        <w:rPr>
          <w:sz w:val="24"/>
          <w:szCs w:val="24"/>
        </w:rPr>
        <w:tab/>
      </w:r>
      <w:r w:rsidRPr="003B2ED9">
        <w:rPr>
          <w:sz w:val="24"/>
          <w:szCs w:val="24"/>
        </w:rPr>
        <w:tab/>
        <w:t>Marta Guhl</w:t>
      </w:r>
    </w:p>
    <w:p w14:paraId="479DA2FC" w14:textId="77777777" w:rsidR="002173DD" w:rsidRPr="003B2ED9" w:rsidRDefault="002173DD" w:rsidP="002173DD">
      <w:pPr>
        <w:widowControl w:val="0"/>
        <w:tabs>
          <w:tab w:val="left" w:pos="0"/>
        </w:tabs>
        <w:autoSpaceDE w:val="0"/>
        <w:autoSpaceDN w:val="0"/>
        <w:adjustRightInd w:val="0"/>
        <w:jc w:val="both"/>
        <w:rPr>
          <w:sz w:val="24"/>
          <w:szCs w:val="24"/>
        </w:rPr>
      </w:pPr>
      <w:r w:rsidRPr="003B2ED9">
        <w:rPr>
          <w:sz w:val="24"/>
          <w:szCs w:val="24"/>
        </w:rPr>
        <w:tab/>
      </w:r>
      <w:r w:rsidRPr="003B2ED9">
        <w:rPr>
          <w:sz w:val="24"/>
          <w:szCs w:val="24"/>
        </w:rPr>
        <w:tab/>
      </w:r>
      <w:r w:rsidRPr="003B2ED9">
        <w:rPr>
          <w:sz w:val="24"/>
          <w:szCs w:val="24"/>
        </w:rPr>
        <w:tab/>
      </w:r>
      <w:r w:rsidRPr="003B2ED9">
        <w:rPr>
          <w:sz w:val="24"/>
          <w:szCs w:val="24"/>
        </w:rPr>
        <w:tab/>
      </w:r>
      <w:r w:rsidRPr="003B2ED9">
        <w:rPr>
          <w:sz w:val="24"/>
          <w:szCs w:val="24"/>
        </w:rPr>
        <w:tab/>
      </w:r>
      <w:r w:rsidRPr="003B2ED9">
        <w:rPr>
          <w:sz w:val="24"/>
          <w:szCs w:val="24"/>
        </w:rPr>
        <w:tab/>
      </w:r>
      <w:r w:rsidRPr="003B2ED9">
        <w:rPr>
          <w:sz w:val="24"/>
          <w:szCs w:val="24"/>
        </w:rPr>
        <w:tab/>
      </w:r>
      <w:r w:rsidRPr="003B2ED9">
        <w:rPr>
          <w:sz w:val="24"/>
          <w:szCs w:val="24"/>
        </w:rPr>
        <w:tab/>
        <w:t>Administrative Law Judge</w:t>
      </w:r>
      <w:bookmarkEnd w:id="1"/>
    </w:p>
    <w:p w14:paraId="05827478" w14:textId="77777777" w:rsidR="002173DD" w:rsidRPr="003B2ED9" w:rsidRDefault="002173DD" w:rsidP="002173DD">
      <w:pPr>
        <w:rPr>
          <w:sz w:val="24"/>
          <w:szCs w:val="24"/>
        </w:rPr>
        <w:sectPr w:rsidR="002173DD" w:rsidRPr="003B2ED9" w:rsidSect="00015967">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cols w:space="720"/>
          <w:titlePg/>
          <w:docGrid w:linePitch="272"/>
        </w:sectPr>
      </w:pPr>
    </w:p>
    <w:p w14:paraId="14C9D3BC" w14:textId="77777777" w:rsidR="003B2ED9" w:rsidRPr="003B2ED9" w:rsidRDefault="003B2ED9" w:rsidP="003B2ED9">
      <w:pPr>
        <w:spacing w:after="160" w:line="259" w:lineRule="auto"/>
        <w:rPr>
          <w:rFonts w:eastAsia="Microsoft Sans Serif"/>
          <w:kern w:val="2"/>
          <w:sz w:val="24"/>
          <w:szCs w:val="24"/>
          <w14:ligatures w14:val="standardContextual"/>
        </w:rPr>
      </w:pPr>
      <w:r w:rsidRPr="003B2ED9">
        <w:rPr>
          <w:rFonts w:eastAsia="Microsoft Sans Serif"/>
          <w:b/>
          <w:kern w:val="2"/>
          <w:sz w:val="24"/>
          <w:szCs w:val="24"/>
          <w:u w:val="single"/>
          <w14:ligatures w14:val="standardContextual"/>
        </w:rPr>
        <w:lastRenderedPageBreak/>
        <w:t>C-2023-3042219 - VICTOR RUFFIN v. PHILADELPHIA GAS WORKS</w:t>
      </w:r>
      <w:r w:rsidRPr="003B2ED9">
        <w:rPr>
          <w:rFonts w:eastAsia="Microsoft Sans Serif"/>
          <w:b/>
          <w:kern w:val="2"/>
          <w:sz w:val="24"/>
          <w:szCs w:val="24"/>
          <w:u w:val="single"/>
          <w14:ligatures w14:val="standardContextual"/>
        </w:rPr>
        <w:cr/>
      </w:r>
      <w:r w:rsidRPr="003B2ED9">
        <w:rPr>
          <w:rFonts w:eastAsia="Microsoft Sans Serif"/>
          <w:b/>
          <w:kern w:val="2"/>
          <w:sz w:val="24"/>
          <w:szCs w:val="24"/>
          <w:u w:val="single"/>
          <w14:ligatures w14:val="standardContextual"/>
        </w:rPr>
        <w:cr/>
      </w:r>
      <w:r w:rsidRPr="003B2ED9">
        <w:rPr>
          <w:rFonts w:eastAsia="Microsoft Sans Serif"/>
          <w:kern w:val="2"/>
          <w:sz w:val="24"/>
          <w:szCs w:val="24"/>
          <w14:ligatures w14:val="standardContextual"/>
        </w:rPr>
        <w:t>VICTOR RUFFIN</w:t>
      </w:r>
      <w:r w:rsidRPr="003B2ED9">
        <w:rPr>
          <w:rFonts w:eastAsia="Microsoft Sans Serif"/>
          <w:kern w:val="2"/>
          <w:sz w:val="24"/>
          <w:szCs w:val="24"/>
          <w14:ligatures w14:val="standardContextual"/>
        </w:rPr>
        <w:cr/>
        <w:t>1332 E AIRDRIE STREET</w:t>
      </w:r>
      <w:r w:rsidRPr="003B2ED9">
        <w:rPr>
          <w:rFonts w:eastAsia="Microsoft Sans Serif"/>
          <w:kern w:val="2"/>
          <w:sz w:val="24"/>
          <w:szCs w:val="24"/>
          <w14:ligatures w14:val="standardContextual"/>
        </w:rPr>
        <w:cr/>
        <w:t>PHILADELPHIA PA  19124</w:t>
      </w:r>
      <w:r w:rsidRPr="003B2ED9">
        <w:rPr>
          <w:rFonts w:eastAsia="Microsoft Sans Serif"/>
          <w:kern w:val="2"/>
          <w:sz w:val="24"/>
          <w:szCs w:val="24"/>
          <w14:ligatures w14:val="standardContextual"/>
        </w:rPr>
        <w:cr/>
      </w:r>
      <w:r w:rsidRPr="003B2ED9">
        <w:rPr>
          <w:rFonts w:eastAsia="Microsoft Sans Serif"/>
          <w:b/>
          <w:bCs/>
          <w:kern w:val="2"/>
          <w:sz w:val="24"/>
          <w:szCs w:val="24"/>
          <w14:ligatures w14:val="standardContextual"/>
        </w:rPr>
        <w:t>215.882.4385</w:t>
      </w:r>
      <w:r w:rsidRPr="003B2ED9">
        <w:rPr>
          <w:rFonts w:eastAsia="Microsoft Sans Serif"/>
          <w:b/>
          <w:bCs/>
          <w:kern w:val="2"/>
          <w:sz w:val="24"/>
          <w:szCs w:val="24"/>
          <w14:ligatures w14:val="standardContextual"/>
        </w:rPr>
        <w:cr/>
      </w:r>
      <w:r w:rsidRPr="003B2ED9">
        <w:rPr>
          <w:rFonts w:eastAsia="Microsoft Sans Serif"/>
          <w:kern w:val="2"/>
          <w:sz w:val="24"/>
          <w:szCs w:val="24"/>
          <w14:ligatures w14:val="standardContextual"/>
        </w:rPr>
        <w:t xml:space="preserve">Served via first-class </w:t>
      </w:r>
      <w:proofErr w:type="gramStart"/>
      <w:r w:rsidRPr="003B2ED9">
        <w:rPr>
          <w:rFonts w:eastAsia="Microsoft Sans Serif"/>
          <w:kern w:val="2"/>
          <w:sz w:val="24"/>
          <w:szCs w:val="24"/>
          <w14:ligatures w14:val="standardContextual"/>
        </w:rPr>
        <w:t>mail</w:t>
      </w:r>
      <w:proofErr w:type="gramEnd"/>
      <w:r w:rsidRPr="003B2ED9">
        <w:rPr>
          <w:rFonts w:eastAsia="Microsoft Sans Serif"/>
          <w:kern w:val="2"/>
          <w:sz w:val="24"/>
          <w:szCs w:val="24"/>
          <w14:ligatures w14:val="standardContextual"/>
        </w:rPr>
        <w:t xml:space="preserve"> </w:t>
      </w:r>
    </w:p>
    <w:p w14:paraId="1DCC92FD" w14:textId="77777777" w:rsidR="003B2ED9" w:rsidRPr="003B2ED9" w:rsidRDefault="003B2ED9" w:rsidP="003B2ED9">
      <w:pPr>
        <w:spacing w:after="160" w:line="259" w:lineRule="auto"/>
        <w:rPr>
          <w:rFonts w:eastAsia="Microsoft Sans Serif"/>
          <w:kern w:val="2"/>
          <w:sz w:val="24"/>
          <w:szCs w:val="24"/>
          <w14:ligatures w14:val="standardContextual"/>
        </w:rPr>
      </w:pPr>
      <w:r w:rsidRPr="003B2ED9">
        <w:rPr>
          <w:rFonts w:eastAsia="Microsoft Sans Serif"/>
          <w:kern w:val="2"/>
          <w:sz w:val="24"/>
          <w:szCs w:val="24"/>
          <w14:ligatures w14:val="standardContextual"/>
        </w:rPr>
        <w:cr/>
        <w:t>GRACIELA CHRISTLIEB ESQUIRE</w:t>
      </w:r>
      <w:r w:rsidRPr="003B2ED9">
        <w:rPr>
          <w:rFonts w:eastAsia="Microsoft Sans Serif"/>
          <w:kern w:val="2"/>
          <w:sz w:val="24"/>
          <w:szCs w:val="24"/>
          <w14:ligatures w14:val="standardContextual"/>
        </w:rPr>
        <w:cr/>
        <w:t>PHILADELPHIA GAS WORKS</w:t>
      </w:r>
      <w:r w:rsidRPr="003B2ED9">
        <w:rPr>
          <w:rFonts w:eastAsia="Microsoft Sans Serif"/>
          <w:kern w:val="2"/>
          <w:sz w:val="24"/>
          <w:szCs w:val="24"/>
          <w14:ligatures w14:val="standardContextual"/>
        </w:rPr>
        <w:cr/>
        <w:t>800 WEST MONTGOMERY AVE</w:t>
      </w:r>
      <w:r w:rsidRPr="003B2ED9">
        <w:rPr>
          <w:rFonts w:eastAsia="Microsoft Sans Serif"/>
          <w:kern w:val="2"/>
          <w:sz w:val="24"/>
          <w:szCs w:val="24"/>
          <w14:ligatures w14:val="standardContextual"/>
        </w:rPr>
        <w:cr/>
        <w:t>PHILADELPHIA PA  19122</w:t>
      </w:r>
      <w:r w:rsidRPr="003B2ED9">
        <w:rPr>
          <w:rFonts w:eastAsia="Microsoft Sans Serif"/>
          <w:kern w:val="2"/>
          <w:sz w:val="24"/>
          <w:szCs w:val="24"/>
          <w14:ligatures w14:val="standardContextual"/>
        </w:rPr>
        <w:cr/>
      </w:r>
      <w:r w:rsidRPr="003B2ED9">
        <w:rPr>
          <w:rFonts w:eastAsia="Microsoft Sans Serif"/>
          <w:b/>
          <w:bCs/>
          <w:kern w:val="2"/>
          <w:sz w:val="24"/>
          <w:szCs w:val="24"/>
          <w14:ligatures w14:val="standardContextual"/>
        </w:rPr>
        <w:t>215.684.6164</w:t>
      </w:r>
      <w:r w:rsidRPr="003B2ED9">
        <w:rPr>
          <w:rFonts w:eastAsia="Microsoft Sans Serif"/>
          <w:kern w:val="2"/>
          <w:sz w:val="24"/>
          <w:szCs w:val="24"/>
          <w14:ligatures w14:val="standardContextual"/>
        </w:rPr>
        <w:cr/>
      </w:r>
      <w:hyperlink r:id="rId14" w:history="1">
        <w:r w:rsidRPr="003B2ED9">
          <w:rPr>
            <w:rFonts w:eastAsia="Microsoft Sans Serif"/>
            <w:color w:val="0563C1" w:themeColor="hyperlink"/>
            <w:kern w:val="2"/>
            <w:sz w:val="24"/>
            <w:szCs w:val="24"/>
            <w:u w:val="single"/>
            <w14:ligatures w14:val="standardContextual"/>
          </w:rPr>
          <w:t>Graciela.Christlieb@pgworks.com</w:t>
        </w:r>
      </w:hyperlink>
      <w:r w:rsidRPr="003B2ED9">
        <w:rPr>
          <w:rFonts w:eastAsia="Microsoft Sans Serif"/>
          <w:kern w:val="2"/>
          <w:sz w:val="24"/>
          <w:szCs w:val="24"/>
          <w14:ligatures w14:val="standardContextual"/>
        </w:rPr>
        <w:br/>
        <w:t>Accepts eService</w:t>
      </w:r>
      <w:r w:rsidRPr="003B2ED9">
        <w:rPr>
          <w:rFonts w:eastAsia="Microsoft Sans Serif"/>
          <w:kern w:val="2"/>
          <w:sz w:val="24"/>
          <w:szCs w:val="24"/>
          <w14:ligatures w14:val="standardContextual"/>
        </w:rPr>
        <w:br/>
      </w:r>
      <w:r w:rsidRPr="003B2ED9">
        <w:rPr>
          <w:rFonts w:eastAsia="Microsoft Sans Serif"/>
          <w:i/>
          <w:iCs/>
          <w:kern w:val="2"/>
          <w:sz w:val="24"/>
          <w:szCs w:val="24"/>
          <w14:ligatures w14:val="standardContextual"/>
        </w:rPr>
        <w:t>(Counsel for PGW)</w:t>
      </w:r>
      <w:r w:rsidRPr="003B2ED9">
        <w:rPr>
          <w:rFonts w:eastAsia="Microsoft Sans Serif"/>
          <w:i/>
          <w:iCs/>
          <w:kern w:val="2"/>
          <w:sz w:val="24"/>
          <w:szCs w:val="24"/>
          <w14:ligatures w14:val="standardContextual"/>
        </w:rPr>
        <w:cr/>
      </w:r>
    </w:p>
    <w:p w14:paraId="4C2FB685" w14:textId="77777777" w:rsidR="003B2ED9" w:rsidRPr="003B2ED9" w:rsidRDefault="003B2ED9" w:rsidP="003B2ED9">
      <w:pPr>
        <w:spacing w:after="160" w:line="259" w:lineRule="auto"/>
        <w:rPr>
          <w:rFonts w:eastAsiaTheme="minorEastAsia"/>
          <w:kern w:val="2"/>
          <w:sz w:val="24"/>
          <w:szCs w:val="24"/>
          <w14:ligatures w14:val="standardContextual"/>
        </w:rPr>
      </w:pPr>
    </w:p>
    <w:p w14:paraId="78BAC7AD" w14:textId="77777777" w:rsidR="002173DD" w:rsidRPr="003B2ED9" w:rsidRDefault="002173DD" w:rsidP="002173DD">
      <w:pPr>
        <w:rPr>
          <w:sz w:val="24"/>
          <w:szCs w:val="24"/>
        </w:rPr>
      </w:pPr>
    </w:p>
    <w:p w14:paraId="308B3EDF" w14:textId="77777777" w:rsidR="002173DD" w:rsidRPr="003B2ED9" w:rsidRDefault="002173DD" w:rsidP="002173DD">
      <w:pPr>
        <w:rPr>
          <w:sz w:val="24"/>
          <w:szCs w:val="24"/>
        </w:rPr>
      </w:pPr>
    </w:p>
    <w:p w14:paraId="4F01BD08" w14:textId="77777777" w:rsidR="004E65CC" w:rsidRPr="003B2ED9" w:rsidRDefault="004E65CC">
      <w:pPr>
        <w:rPr>
          <w:sz w:val="24"/>
          <w:szCs w:val="24"/>
        </w:rPr>
      </w:pPr>
    </w:p>
    <w:sectPr w:rsidR="004E65CC" w:rsidRPr="003B2ED9" w:rsidSect="0001596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46D9A" w14:textId="77777777" w:rsidR="00C328A3" w:rsidRDefault="00C328A3" w:rsidP="002173DD">
      <w:r>
        <w:separator/>
      </w:r>
    </w:p>
  </w:endnote>
  <w:endnote w:type="continuationSeparator" w:id="0">
    <w:p w14:paraId="618D7C61" w14:textId="77777777" w:rsidR="00C328A3" w:rsidRDefault="00C328A3" w:rsidP="00217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2F07" w14:textId="77777777" w:rsidR="00015967" w:rsidRDefault="00015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116691"/>
      <w:docPartObj>
        <w:docPartGallery w:val="Page Numbers (Bottom of Page)"/>
        <w:docPartUnique/>
      </w:docPartObj>
    </w:sdtPr>
    <w:sdtEndPr>
      <w:rPr>
        <w:noProof/>
      </w:rPr>
    </w:sdtEndPr>
    <w:sdtContent>
      <w:p w14:paraId="69FF4E0B" w14:textId="0DD74E9A" w:rsidR="00015967" w:rsidRDefault="000159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1EF947" w14:textId="77777777" w:rsidR="00015967" w:rsidRDefault="00015967" w:rsidP="0001596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85DC2" w14:textId="398A4C0C" w:rsidR="00015967" w:rsidRDefault="00015967" w:rsidP="000159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E1CE9" w14:textId="77777777" w:rsidR="00C328A3" w:rsidRDefault="00C328A3" w:rsidP="002173DD">
      <w:r>
        <w:separator/>
      </w:r>
    </w:p>
  </w:footnote>
  <w:footnote w:type="continuationSeparator" w:id="0">
    <w:p w14:paraId="4A08C132" w14:textId="77777777" w:rsidR="00C328A3" w:rsidRDefault="00C328A3" w:rsidP="002173DD">
      <w:r>
        <w:continuationSeparator/>
      </w:r>
    </w:p>
  </w:footnote>
  <w:footnote w:id="1">
    <w:p w14:paraId="0331D08B" w14:textId="77777777" w:rsidR="004161EA" w:rsidRDefault="004161EA" w:rsidP="004161EA">
      <w:pPr>
        <w:pStyle w:val="FootnoteText"/>
        <w:ind w:firstLine="720"/>
      </w:pPr>
      <w:r>
        <w:rPr>
          <w:rStyle w:val="FootnoteReference"/>
        </w:rPr>
        <w:footnoteRef/>
      </w:r>
      <w:r>
        <w:t xml:space="preserve"> </w:t>
      </w:r>
      <w:r>
        <w:tab/>
        <w:t xml:space="preserve">The Secretary’s Bureau served a copy of the Formal Complaint on the Respondent on August 15, 2023. </w:t>
      </w:r>
    </w:p>
    <w:p w14:paraId="2EFD7253" w14:textId="016462E0" w:rsidR="004161EA" w:rsidRDefault="004161EA" w:rsidP="004161EA">
      <w:pPr>
        <w:pStyle w:val="FootnoteText"/>
        <w:ind w:firstLine="720"/>
      </w:pPr>
      <w:r>
        <w:t xml:space="preserve"> </w:t>
      </w:r>
    </w:p>
  </w:footnote>
  <w:footnote w:id="2">
    <w:p w14:paraId="07F6BE79" w14:textId="53038267" w:rsidR="004161EA" w:rsidRDefault="004161EA" w:rsidP="004161EA">
      <w:pPr>
        <w:pStyle w:val="FootnoteText"/>
        <w:ind w:firstLine="720"/>
      </w:pPr>
      <w:r>
        <w:rPr>
          <w:rStyle w:val="FootnoteReference"/>
        </w:rPr>
        <w:footnoteRef/>
      </w:r>
      <w:r>
        <w:t xml:space="preserve"> </w:t>
      </w:r>
      <w:r>
        <w:tab/>
        <w:t xml:space="preserve">The Company also filed a Motion for Judgment on the Pleadings on October 5, 2023, which contained the same pleadings as the Preliminary Objection.  The Complainant did not </w:t>
      </w:r>
      <w:r w:rsidR="00FD631A">
        <w:t xml:space="preserve">file any response to the Motion.  </w:t>
      </w:r>
    </w:p>
  </w:footnote>
  <w:footnote w:id="3">
    <w:p w14:paraId="3429F513" w14:textId="77777777" w:rsidR="002173DD" w:rsidRDefault="002173DD" w:rsidP="00C81849">
      <w:pPr>
        <w:pStyle w:val="FootnoteText"/>
        <w:ind w:firstLine="720"/>
      </w:pPr>
      <w:r>
        <w:rPr>
          <w:rStyle w:val="FootnoteReference"/>
        </w:rPr>
        <w:footnoteRef/>
      </w:r>
      <w:r>
        <w:t xml:space="preserve"> </w:t>
      </w:r>
      <w:r>
        <w:tab/>
        <w:t xml:space="preserve">“Service.”  Used in its broadest and most inclusive sense, includes any and all acts done, rendered, or performed, and any and all things furnished or supplied, and any and all facilities used, furnished, or supplied by public utilities, or contract carriers by motor vehicle, in the performance of their duties under this part to their patrons, employees, other public utilities, and the public, as well as the interchange of facilities between two or more of them . . .  66 </w:t>
      </w:r>
      <w:proofErr w:type="spellStart"/>
      <w:r>
        <w:t>Pa.C.S</w:t>
      </w:r>
      <w:proofErr w:type="spellEnd"/>
      <w:r>
        <w:t xml:space="preserve">. § 102.  </w:t>
      </w:r>
    </w:p>
    <w:p w14:paraId="7EE1441F" w14:textId="77777777" w:rsidR="00FA75CD" w:rsidRDefault="00FA75CD" w:rsidP="002173DD">
      <w:pPr>
        <w:pStyle w:val="FootnoteText"/>
      </w:pPr>
    </w:p>
  </w:footnote>
  <w:footnote w:id="4">
    <w:p w14:paraId="47CCBF61" w14:textId="77777777" w:rsidR="002173DD" w:rsidRDefault="002173DD" w:rsidP="002173DD">
      <w:pPr>
        <w:pStyle w:val="FootnoteText"/>
        <w:ind w:firstLine="720"/>
        <w:rPr>
          <w:rFonts w:asciiTheme="minorHAnsi" w:hAnsiTheme="minorHAnsi" w:cstheme="minorBidi"/>
        </w:rPr>
      </w:pPr>
      <w:r>
        <w:rPr>
          <w:rStyle w:val="FootnoteReference"/>
        </w:rPr>
        <w:footnoteRef/>
      </w:r>
      <w:r>
        <w:t xml:space="preserve"> </w:t>
      </w:r>
      <w:r>
        <w:tab/>
        <w:t xml:space="preserve">52 Pa. Code § 5.93.  </w:t>
      </w:r>
      <w:r>
        <w:rPr>
          <w:i/>
          <w:iCs/>
        </w:rPr>
        <w:t>See also</w:t>
      </w:r>
      <w:r>
        <w:t xml:space="preserve"> 52 Pa. Code § 5.101(e).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2825" w14:textId="77777777" w:rsidR="00015967" w:rsidRDefault="00015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CC6" w14:textId="77777777" w:rsidR="00015967" w:rsidRDefault="00015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21DB4" w14:textId="77777777" w:rsidR="00015967" w:rsidRDefault="00015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92E82"/>
    <w:multiLevelType w:val="hybridMultilevel"/>
    <w:tmpl w:val="782CAC7E"/>
    <w:lvl w:ilvl="0" w:tplc="0E869160">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291865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3DD"/>
    <w:rsid w:val="00015967"/>
    <w:rsid w:val="0007196E"/>
    <w:rsid w:val="001F3794"/>
    <w:rsid w:val="002173DD"/>
    <w:rsid w:val="002206BC"/>
    <w:rsid w:val="00377847"/>
    <w:rsid w:val="003B2ED9"/>
    <w:rsid w:val="004161EA"/>
    <w:rsid w:val="004E65CC"/>
    <w:rsid w:val="005679D8"/>
    <w:rsid w:val="0057073A"/>
    <w:rsid w:val="007A4E9E"/>
    <w:rsid w:val="0085726A"/>
    <w:rsid w:val="00986832"/>
    <w:rsid w:val="00B02465"/>
    <w:rsid w:val="00B40CF8"/>
    <w:rsid w:val="00BD7CA9"/>
    <w:rsid w:val="00C328A3"/>
    <w:rsid w:val="00C55BD9"/>
    <w:rsid w:val="00C81849"/>
    <w:rsid w:val="00D029C0"/>
    <w:rsid w:val="00DE5692"/>
    <w:rsid w:val="00E15C6A"/>
    <w:rsid w:val="00E648E2"/>
    <w:rsid w:val="00FA75CD"/>
    <w:rsid w:val="00FD6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BCA6D"/>
  <w15:chartTrackingRefBased/>
  <w15:docId w15:val="{D9FD594C-8887-4B0E-8C89-97AC8635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3DD"/>
    <w:pPr>
      <w:spacing w:after="0" w:line="240" w:lineRule="auto"/>
    </w:pPr>
    <w:rPr>
      <w:rFonts w:ascii="Times New Roman" w:hAnsi="Times New Roman" w:cs="Times New Roman"/>
      <w:kern w:val="0"/>
      <w:sz w:val="20"/>
      <w:szCs w:val="20"/>
      <w14:ligatures w14:val="none"/>
    </w:rPr>
  </w:style>
  <w:style w:type="paragraph" w:styleId="Heading1">
    <w:name w:val="heading 1"/>
    <w:basedOn w:val="Normal"/>
    <w:next w:val="Normal"/>
    <w:link w:val="Heading1Char"/>
    <w:qFormat/>
    <w:rsid w:val="002173D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73DD"/>
    <w:rPr>
      <w:rFonts w:ascii="Times New Roman" w:hAnsi="Times New Roman" w:cs="Times New Roman"/>
      <w:kern w:val="0"/>
      <w:sz w:val="24"/>
      <w:szCs w:val="20"/>
      <w14:ligatures w14:val="none"/>
    </w:rPr>
  </w:style>
  <w:style w:type="paragraph" w:styleId="FootnoteText">
    <w:name w:val="footnote text"/>
    <w:aliases w:val="Car"/>
    <w:basedOn w:val="Normal"/>
    <w:link w:val="FootnoteTextChar"/>
    <w:semiHidden/>
    <w:unhideWhenUsed/>
    <w:qFormat/>
    <w:rsid w:val="002173DD"/>
  </w:style>
  <w:style w:type="character" w:customStyle="1" w:styleId="FootnoteTextChar">
    <w:name w:val="Footnote Text Char"/>
    <w:aliases w:val="Car Char"/>
    <w:basedOn w:val="DefaultParagraphFont"/>
    <w:link w:val="FootnoteText"/>
    <w:semiHidden/>
    <w:rsid w:val="002173DD"/>
    <w:rPr>
      <w:rFonts w:ascii="Times New Roman" w:hAnsi="Times New Roman" w:cs="Times New Roman"/>
      <w:kern w:val="0"/>
      <w:sz w:val="20"/>
      <w:szCs w:val="20"/>
      <w14:ligatures w14:val="none"/>
    </w:rPr>
  </w:style>
  <w:style w:type="paragraph" w:styleId="ListParagraph">
    <w:name w:val="List Paragraph"/>
    <w:basedOn w:val="Normal"/>
    <w:uiPriority w:val="34"/>
    <w:qFormat/>
    <w:rsid w:val="002173DD"/>
    <w:pPr>
      <w:ind w:left="720"/>
      <w:contextualSpacing/>
    </w:pPr>
  </w:style>
  <w:style w:type="character" w:styleId="FootnoteReference">
    <w:name w:val="footnote reference"/>
    <w:aliases w:val="o,fr"/>
    <w:basedOn w:val="DefaultParagraphFont"/>
    <w:uiPriority w:val="99"/>
    <w:semiHidden/>
    <w:unhideWhenUsed/>
    <w:rsid w:val="002173DD"/>
  </w:style>
  <w:style w:type="paragraph" w:styleId="Header">
    <w:name w:val="header"/>
    <w:basedOn w:val="Normal"/>
    <w:link w:val="HeaderChar"/>
    <w:uiPriority w:val="99"/>
    <w:unhideWhenUsed/>
    <w:rsid w:val="00015967"/>
    <w:pPr>
      <w:tabs>
        <w:tab w:val="center" w:pos="4680"/>
        <w:tab w:val="right" w:pos="9360"/>
      </w:tabs>
    </w:pPr>
  </w:style>
  <w:style w:type="character" w:customStyle="1" w:styleId="HeaderChar">
    <w:name w:val="Header Char"/>
    <w:basedOn w:val="DefaultParagraphFont"/>
    <w:link w:val="Header"/>
    <w:uiPriority w:val="99"/>
    <w:rsid w:val="00015967"/>
    <w:rPr>
      <w:rFonts w:ascii="Times New Roman" w:hAnsi="Times New Roman" w:cs="Times New Roman"/>
      <w:kern w:val="0"/>
      <w:sz w:val="20"/>
      <w:szCs w:val="20"/>
      <w14:ligatures w14:val="none"/>
    </w:rPr>
  </w:style>
  <w:style w:type="paragraph" w:styleId="Footer">
    <w:name w:val="footer"/>
    <w:basedOn w:val="Normal"/>
    <w:link w:val="FooterChar"/>
    <w:uiPriority w:val="99"/>
    <w:unhideWhenUsed/>
    <w:rsid w:val="00015967"/>
    <w:pPr>
      <w:tabs>
        <w:tab w:val="center" w:pos="4680"/>
        <w:tab w:val="right" w:pos="9360"/>
      </w:tabs>
    </w:pPr>
  </w:style>
  <w:style w:type="character" w:customStyle="1" w:styleId="FooterChar">
    <w:name w:val="Footer Char"/>
    <w:basedOn w:val="DefaultParagraphFont"/>
    <w:link w:val="Footer"/>
    <w:uiPriority w:val="99"/>
    <w:rsid w:val="00015967"/>
    <w:rPr>
      <w:rFonts w:ascii="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11471">
      <w:bodyDiv w:val="1"/>
      <w:marLeft w:val="0"/>
      <w:marRight w:val="0"/>
      <w:marTop w:val="0"/>
      <w:marBottom w:val="0"/>
      <w:divBdr>
        <w:top w:val="none" w:sz="0" w:space="0" w:color="auto"/>
        <w:left w:val="none" w:sz="0" w:space="0" w:color="auto"/>
        <w:bottom w:val="none" w:sz="0" w:space="0" w:color="auto"/>
        <w:right w:val="none" w:sz="0" w:space="0" w:color="auto"/>
      </w:divBdr>
    </w:div>
    <w:div w:id="183568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F8382-B9C7-49B0-B033-3563825C9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Delvillar, Shalea</cp:lastModifiedBy>
  <cp:revision>2</cp:revision>
  <dcterms:created xsi:type="dcterms:W3CDTF">2023-12-08T19:24:00Z</dcterms:created>
  <dcterms:modified xsi:type="dcterms:W3CDTF">2023-12-08T19:24:00Z</dcterms:modified>
</cp:coreProperties>
</file>