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1C7074C3" w:rsidR="00CD1332" w:rsidRPr="00823000" w:rsidRDefault="00231305"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Eric Konzelmann</w:t>
      </w:r>
      <w:r w:rsidR="008B1F31">
        <w:rPr>
          <w:rFonts w:ascii="Times New Roman" w:eastAsia="Calibri" w:hAnsi="Times New Roman" w:cs="Times New Roman"/>
          <w:sz w:val="24"/>
          <w:szCs w:val="24"/>
        </w:rPr>
        <w:tab/>
      </w:r>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sidRPr="00823000">
        <w:rPr>
          <w:rFonts w:ascii="Times New Roman" w:eastAsia="Calibri" w:hAnsi="Times New Roman" w:cs="Times New Roman"/>
          <w:sz w:val="24"/>
          <w:szCs w:val="24"/>
        </w:rPr>
        <w:t>C-201</w:t>
      </w:r>
      <w:r w:rsidR="009403D9">
        <w:rPr>
          <w:rFonts w:ascii="Times New Roman" w:eastAsia="Calibri" w:hAnsi="Times New Roman" w:cs="Times New Roman"/>
          <w:sz w:val="24"/>
          <w:szCs w:val="24"/>
        </w:rPr>
        <w:t>9</w:t>
      </w:r>
      <w:r w:rsidR="009403D9" w:rsidRPr="00823000">
        <w:rPr>
          <w:rFonts w:ascii="Times New Roman" w:eastAsia="Calibri" w:hAnsi="Times New Roman" w:cs="Times New Roman"/>
          <w:sz w:val="24"/>
          <w:szCs w:val="24"/>
        </w:rPr>
        <w:t>-</w:t>
      </w:r>
      <w:r w:rsidR="008B1F31">
        <w:rPr>
          <w:rFonts w:ascii="Times New Roman" w:eastAsia="Calibri" w:hAnsi="Times New Roman" w:cs="Times New Roman"/>
          <w:sz w:val="24"/>
          <w:szCs w:val="24"/>
        </w:rPr>
        <w:t>300</w:t>
      </w:r>
      <w:r>
        <w:rPr>
          <w:rFonts w:ascii="Times New Roman" w:eastAsia="Calibri" w:hAnsi="Times New Roman" w:cs="Times New Roman"/>
          <w:sz w:val="24"/>
          <w:szCs w:val="24"/>
        </w:rPr>
        <w:t>9218</w:t>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40E62000"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5F8DAD" w14:textId="5C45C67F" w:rsidR="00CD1332" w:rsidRPr="00823000" w:rsidRDefault="008B1F31"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AA4BD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A4BD0">
        <w:rPr>
          <w:rFonts w:ascii="Times New Roman" w:eastAsia="Times New Roman" w:hAnsi="Times New Roman" w:cs="Times New Roman"/>
          <w:b/>
          <w:bCs/>
          <w:color w:val="000000"/>
          <w:sz w:val="24"/>
          <w:szCs w:val="24"/>
        </w:rPr>
        <w:t>INTERIM ORDER</w:t>
      </w:r>
    </w:p>
    <w:p w14:paraId="2884CCF0" w14:textId="684DBE18" w:rsidR="00CD1332" w:rsidRPr="00823000" w:rsidRDefault="00AA4BD0"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A4BD0">
        <w:rPr>
          <w:rFonts w:ascii="Times New Roman" w:eastAsia="Times New Roman" w:hAnsi="Times New Roman" w:cs="Times New Roman"/>
          <w:b/>
          <w:bCs/>
          <w:color w:val="000000"/>
          <w:sz w:val="24"/>
          <w:szCs w:val="24"/>
        </w:rPr>
        <w:t>SETTING DEADLINE FOR COMPLAINANT TO SUBMIT RESPONSES TO COMPANY’S OBJECTIONS TO LATE-FILED EXHIBITS AND PARTIES TO SUBMIT</w:t>
      </w:r>
      <w:r>
        <w:rPr>
          <w:rFonts w:ascii="Times New Roman" w:eastAsia="Times New Roman" w:hAnsi="Times New Roman" w:cs="Times New Roman"/>
          <w:b/>
          <w:bCs/>
          <w:color w:val="000000"/>
          <w:sz w:val="24"/>
          <w:szCs w:val="24"/>
          <w:u w:val="single"/>
        </w:rPr>
        <w:t xml:space="preserve"> BRIEFS, MOTIONS, AND RESPONSES TO MOTIONS</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2FCA6927"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7678BC">
        <w:rPr>
          <w:rFonts w:ascii="Times New Roman" w:eastAsia="Calibri" w:hAnsi="Times New Roman" w:cs="Times New Roman"/>
          <w:sz w:val="24"/>
          <w:szCs w:val="24"/>
        </w:rPr>
        <w:t xml:space="preserve">April </w:t>
      </w:r>
      <w:r w:rsidR="00231305">
        <w:rPr>
          <w:rFonts w:ascii="Times New Roman" w:eastAsia="Calibri" w:hAnsi="Times New Roman" w:cs="Times New Roman"/>
          <w:sz w:val="24"/>
          <w:szCs w:val="24"/>
        </w:rPr>
        <w:t>5</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231305">
        <w:rPr>
          <w:rFonts w:ascii="Times New Roman" w:eastAsia="Calibri" w:hAnsi="Times New Roman" w:cs="Times New Roman"/>
          <w:sz w:val="24"/>
          <w:szCs w:val="24"/>
        </w:rPr>
        <w:t>Eric Konzelmann</w:t>
      </w:r>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8B1F31">
        <w:rPr>
          <w:rFonts w:ascii="Times New Roman" w:eastAsia="Calibri" w:hAnsi="Times New Roman" w:cs="Times New Roman"/>
          <w:sz w:val="24"/>
          <w:szCs w:val="24"/>
        </w:rPr>
        <w:t xml:space="preserve">Metropolitan Edison </w:t>
      </w:r>
      <w:r w:rsidR="007678BC">
        <w:rPr>
          <w:rFonts w:ascii="Times New Roman" w:eastAsia="Calibri" w:hAnsi="Times New Roman" w:cs="Times New Roman"/>
          <w:sz w:val="24"/>
          <w:szCs w:val="24"/>
        </w:rPr>
        <w:t>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8B1F31">
        <w:rPr>
          <w:rFonts w:ascii="Times New Roman" w:eastAsia="Calibri" w:hAnsi="Times New Roman" w:cs="Times New Roman"/>
          <w:sz w:val="24"/>
          <w:szCs w:val="24"/>
        </w:rPr>
        <w:t>his</w:t>
      </w:r>
      <w:r w:rsidR="00D95A6C">
        <w:rPr>
          <w:rFonts w:ascii="Times New Roman" w:eastAsia="Calibri" w:hAnsi="Times New Roman" w:cs="Times New Roman"/>
          <w:sz w:val="24"/>
          <w:szCs w:val="24"/>
        </w:rPr>
        <w:t xml:space="preserve"> residence at </w:t>
      </w:r>
      <w:r w:rsidR="00231305">
        <w:rPr>
          <w:rFonts w:ascii="Times New Roman" w:eastAsia="Calibri" w:hAnsi="Times New Roman" w:cs="Times New Roman"/>
          <w:sz w:val="24"/>
          <w:szCs w:val="24"/>
        </w:rPr>
        <w:t>357 Black Matt Road, Douglassville, PA 19518</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 aver</w:t>
      </w:r>
      <w:r w:rsidR="008B1F31">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8B1F31">
        <w:rPr>
          <w:rFonts w:ascii="Times New Roman" w:eastAsia="Calibri" w:hAnsi="Times New Roman" w:cs="Times New Roman"/>
          <w:sz w:val="24"/>
          <w:szCs w:val="24"/>
        </w:rPr>
        <w:t xml:space="preserve">he does not want a smart meter installed at his residence due to health and safety concerns; smart meters </w:t>
      </w:r>
      <w:r w:rsidR="00231305">
        <w:rPr>
          <w:rFonts w:ascii="Times New Roman" w:eastAsia="Calibri" w:hAnsi="Times New Roman" w:cs="Times New Roman"/>
          <w:sz w:val="24"/>
          <w:szCs w:val="24"/>
        </w:rPr>
        <w:t>release radio frequencies that have been established as a carcinogen</w:t>
      </w:r>
      <w:r w:rsidR="008B1F31">
        <w:rPr>
          <w:rFonts w:ascii="Times New Roman" w:eastAsia="Calibri" w:hAnsi="Times New Roman" w:cs="Times New Roman"/>
          <w:sz w:val="24"/>
          <w:szCs w:val="24"/>
        </w:rPr>
        <w:t xml:space="preserve">; </w:t>
      </w:r>
      <w:r w:rsidR="00231305">
        <w:rPr>
          <w:rFonts w:ascii="Times New Roman" w:eastAsia="Calibri" w:hAnsi="Times New Roman" w:cs="Times New Roman"/>
          <w:sz w:val="24"/>
          <w:szCs w:val="24"/>
        </w:rPr>
        <w:t xml:space="preserve">and </w:t>
      </w:r>
      <w:r w:rsidR="008B1F31">
        <w:rPr>
          <w:rFonts w:ascii="Times New Roman" w:eastAsia="Calibri" w:hAnsi="Times New Roman" w:cs="Times New Roman"/>
          <w:sz w:val="24"/>
          <w:szCs w:val="24"/>
        </w:rPr>
        <w:t>smart meters have caused fires.  A</w:t>
      </w:r>
      <w:r w:rsidR="00DD66AF">
        <w:rPr>
          <w:rFonts w:ascii="Times New Roman" w:eastAsia="Calibri" w:hAnsi="Times New Roman" w:cs="Times New Roman"/>
          <w:sz w:val="24"/>
          <w:szCs w:val="24"/>
        </w:rPr>
        <w:t xml:space="preserve">s relief, </w:t>
      </w:r>
      <w:r w:rsidR="008B1F31">
        <w:rPr>
          <w:rFonts w:ascii="Times New Roman" w:eastAsia="Calibri" w:hAnsi="Times New Roman" w:cs="Times New Roman"/>
          <w:sz w:val="24"/>
          <w:szCs w:val="24"/>
        </w:rPr>
        <w:t>Complainant</w:t>
      </w:r>
      <w:r w:rsidR="00DD66AF">
        <w:rPr>
          <w:rFonts w:ascii="Times New Roman" w:eastAsia="Calibri" w:hAnsi="Times New Roman" w:cs="Times New Roman"/>
          <w:sz w:val="24"/>
          <w:szCs w:val="24"/>
        </w:rPr>
        <w:t xml:space="preserve"> request</w:t>
      </w:r>
      <w:r w:rsidR="008B1F31">
        <w:rPr>
          <w:rFonts w:ascii="Times New Roman" w:eastAsia="Calibri" w:hAnsi="Times New Roman" w:cs="Times New Roman"/>
          <w:sz w:val="24"/>
          <w:szCs w:val="24"/>
        </w:rPr>
        <w:t>s</w:t>
      </w:r>
      <w:r w:rsidR="00DD66AF">
        <w:rPr>
          <w:rFonts w:ascii="Times New Roman" w:eastAsia="Calibri" w:hAnsi="Times New Roman" w:cs="Times New Roman"/>
          <w:sz w:val="24"/>
          <w:szCs w:val="24"/>
        </w:rPr>
        <w:t xml:space="preserve"> that </w:t>
      </w:r>
      <w:r w:rsidR="008B1F31">
        <w:rPr>
          <w:rFonts w:ascii="Times New Roman" w:eastAsia="Calibri" w:hAnsi="Times New Roman" w:cs="Times New Roman"/>
          <w:sz w:val="24"/>
          <w:szCs w:val="24"/>
        </w:rPr>
        <w:t xml:space="preserve">he be allowed to keep his analog meter.  </w:t>
      </w:r>
      <w:r w:rsidR="00DD66AF">
        <w:rPr>
          <w:rFonts w:ascii="Times New Roman" w:eastAsia="Calibri" w:hAnsi="Times New Roman" w:cs="Times New Roman"/>
          <w:sz w:val="24"/>
          <w:szCs w:val="24"/>
        </w:rPr>
        <w:t xml:space="preserve">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24E298C8"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8B1F31">
        <w:rPr>
          <w:rFonts w:ascii="Times New Roman" w:eastAsia="Calibri" w:hAnsi="Times New Roman" w:cs="Times New Roman"/>
          <w:sz w:val="24"/>
          <w:szCs w:val="24"/>
        </w:rPr>
        <w:t>May 6</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 xml:space="preserve">Complainant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 xml:space="preserve">t Complainant </w:t>
      </w:r>
      <w:r w:rsidR="007E2826">
        <w:rPr>
          <w:rFonts w:ascii="Times New Roman" w:eastAsia="Calibri" w:hAnsi="Times New Roman" w:cs="Times New Roman"/>
          <w:sz w:val="24"/>
          <w:szCs w:val="24"/>
        </w:rPr>
        <w:t>has</w:t>
      </w:r>
      <w:r w:rsidR="00D910DB">
        <w:rPr>
          <w:rFonts w:ascii="Times New Roman" w:eastAsia="Calibri" w:hAnsi="Times New Roman" w:cs="Times New Roman"/>
          <w:sz w:val="24"/>
          <w:szCs w:val="24"/>
        </w:rPr>
        <w:t xml:space="preserve"> refused installation of a smart meter, which constitutes legal grounds to terminate service to the service location.  </w:t>
      </w:r>
      <w:r w:rsidR="004541F9">
        <w:rPr>
          <w:rFonts w:ascii="Times New Roman" w:eastAsia="Calibri" w:hAnsi="Times New Roman" w:cs="Times New Roman"/>
          <w:sz w:val="24"/>
          <w:szCs w:val="24"/>
        </w:rPr>
        <w:t xml:space="preserve"> Respondent 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w:t>
      </w:r>
      <w:r w:rsidR="00D910DB">
        <w:rPr>
          <w:rFonts w:ascii="Times New Roman" w:eastAsia="Calibri" w:hAnsi="Times New Roman" w:cs="Times New Roman"/>
          <w:sz w:val="24"/>
          <w:szCs w:val="24"/>
        </w:rPr>
        <w:lastRenderedPageBreak/>
        <w:t xml:space="preserve">Respondent’s Commission-approved Smart Meter Deployment Plan (SMP), and neither Act 129 nor the SMP permit </w:t>
      </w:r>
      <w:r w:rsidR="007E2826">
        <w:rPr>
          <w:rFonts w:ascii="Times New Roman" w:eastAsia="Calibri" w:hAnsi="Times New Roman" w:cs="Times New Roman"/>
          <w:sz w:val="24"/>
          <w:szCs w:val="24"/>
        </w:rPr>
        <w:t>Complainant to opt-out of smart meter</w:t>
      </w:r>
      <w:r w:rsidR="00D910DB">
        <w:rPr>
          <w:rFonts w:ascii="Times New Roman" w:eastAsia="Calibri" w:hAnsi="Times New Roman" w:cs="Times New Roman"/>
          <w:sz w:val="24"/>
          <w:szCs w:val="24"/>
        </w:rPr>
        <w:t xml:space="preserve"> installation</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7A7C8153"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w:t>
      </w:r>
      <w:r w:rsidR="00604226">
        <w:rPr>
          <w:rFonts w:ascii="Times New Roman" w:eastAsia="Calibri" w:hAnsi="Times New Roman" w:cs="Times New Roman"/>
          <w:sz w:val="24"/>
          <w:szCs w:val="24"/>
        </w:rPr>
        <w:t>Complainant</w:t>
      </w:r>
      <w:r w:rsidR="00ED11FE">
        <w:rPr>
          <w:rFonts w:ascii="Times New Roman" w:eastAsia="Calibri" w:hAnsi="Times New Roman" w:cs="Times New Roman"/>
          <w:sz w:val="24"/>
          <w:szCs w:val="24"/>
        </w:rPr>
        <w:t xml:space="preserve"> to </w:t>
      </w:r>
      <w:r w:rsidR="007E2826">
        <w:rPr>
          <w:rFonts w:ascii="Times New Roman" w:eastAsia="Calibri" w:hAnsi="Times New Roman" w:cs="Times New Roman"/>
          <w:sz w:val="24"/>
          <w:szCs w:val="24"/>
        </w:rPr>
        <w:t>opt-</w:t>
      </w:r>
      <w:r w:rsidR="00231305">
        <w:rPr>
          <w:rFonts w:ascii="Times New Roman" w:eastAsia="Calibri" w:hAnsi="Times New Roman" w:cs="Times New Roman"/>
          <w:sz w:val="24"/>
          <w:szCs w:val="24"/>
        </w:rPr>
        <w:t xml:space="preserve">out of </w:t>
      </w:r>
      <w:r w:rsidR="00ED11FE">
        <w:rPr>
          <w:rFonts w:ascii="Times New Roman" w:eastAsia="Calibri" w:hAnsi="Times New Roman" w:cs="Times New Roman"/>
          <w:sz w:val="24"/>
          <w:szCs w:val="24"/>
        </w:rPr>
        <w:t>smart meter</w:t>
      </w:r>
      <w:r w:rsidR="00231305">
        <w:rPr>
          <w:rFonts w:ascii="Times New Roman" w:eastAsia="Calibri" w:hAnsi="Times New Roman" w:cs="Times New Roman"/>
          <w:sz w:val="24"/>
          <w:szCs w:val="24"/>
        </w:rPr>
        <w:t xml:space="preserve"> installation</w:t>
      </w:r>
      <w:r w:rsidR="00ED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the Commission is unable to grant the relief requested by Complainant</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63007091" w:rsidR="00CD1332" w:rsidRPr="004A7227"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D4074C">
        <w:rPr>
          <w:rFonts w:ascii="Times New Roman" w:eastAsia="Calibri" w:hAnsi="Times New Roman" w:cs="Times New Roman"/>
          <w:sz w:val="24"/>
          <w:szCs w:val="24"/>
        </w:rPr>
        <w:t>May 6</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w:t>
      </w:r>
      <w:r w:rsidR="005D41CF">
        <w:rPr>
          <w:rFonts w:ascii="Times New Roman" w:eastAsia="Calibri" w:hAnsi="Times New Roman" w:cs="Times New Roman"/>
          <w:sz w:val="24"/>
          <w:szCs w:val="24"/>
        </w:rPr>
        <w:t>to opt-out of smart meter</w:t>
      </w:r>
      <w:r w:rsidR="00ED63A9" w:rsidRPr="00823000">
        <w:rPr>
          <w:rFonts w:ascii="Times New Roman" w:eastAsia="Calibri" w:hAnsi="Times New Roman" w:cs="Times New Roman"/>
          <w:sz w:val="24"/>
          <w:szCs w:val="24"/>
        </w:rPr>
        <w:t xml:space="preserve"> installation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t>
      </w:r>
      <w:proofErr w:type="gramStart"/>
      <w:r w:rsidR="00ED63A9" w:rsidRPr="00823000">
        <w:rPr>
          <w:rFonts w:ascii="Times New Roman" w:hAnsi="Times New Roman" w:cs="Times New Roman"/>
          <w:sz w:val="24"/>
          <w:szCs w:val="24"/>
        </w:rPr>
        <w:t>with regard to</w:t>
      </w:r>
      <w:proofErr w:type="gramEnd"/>
      <w:r w:rsidR="00ED63A9" w:rsidRPr="00823000">
        <w:rPr>
          <w:rFonts w:ascii="Times New Roman" w:hAnsi="Times New Roman" w:cs="Times New Roman"/>
          <w:sz w:val="24"/>
          <w:szCs w:val="24"/>
        </w:rPr>
        <w:t xml:space="preserve">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7B75E91D" w14:textId="59841BC3" w:rsidR="00CD1332" w:rsidRDefault="00CD1332" w:rsidP="00CD1332">
      <w:pPr>
        <w:spacing w:after="0" w:line="360" w:lineRule="auto"/>
        <w:rPr>
          <w:rFonts w:ascii="Times New Roman" w:eastAsia="Calibri" w:hAnsi="Times New Roman" w:cs="Times New Roman"/>
          <w:sz w:val="24"/>
          <w:szCs w:val="24"/>
        </w:rPr>
      </w:pPr>
    </w:p>
    <w:p w14:paraId="3C29FF6D" w14:textId="795116B1" w:rsidR="004E0090" w:rsidRPr="004E0090" w:rsidRDefault="004E0090"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F54012">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r>
        <w:rPr>
          <w:rFonts w:ascii="Times New Roman" w:eastAsia="Calibri" w:hAnsi="Times New Roman" w:cs="Times New Roman"/>
          <w:sz w:val="24"/>
          <w:szCs w:val="24"/>
        </w:rPr>
        <w:t xml:space="preserve"> </w:t>
      </w:r>
    </w:p>
    <w:p w14:paraId="48586B16" w14:textId="77777777" w:rsidR="004E0090" w:rsidRDefault="004E0090" w:rsidP="00CD1332">
      <w:pPr>
        <w:spacing w:after="0" w:line="360" w:lineRule="auto"/>
        <w:rPr>
          <w:rFonts w:ascii="Times New Roman" w:eastAsia="Calibri" w:hAnsi="Times New Roman" w:cs="Times New Roman"/>
          <w:sz w:val="24"/>
          <w:szCs w:val="24"/>
        </w:rPr>
      </w:pPr>
    </w:p>
    <w:p w14:paraId="555601E5" w14:textId="4E2203C3"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ED11FE">
        <w:rPr>
          <w:rFonts w:ascii="Times New Roman" w:eastAsia="Calibri" w:hAnsi="Times New Roman" w:cs="Times New Roman"/>
          <w:sz w:val="24"/>
          <w:szCs w:val="24"/>
        </w:rPr>
        <w:t xml:space="preserve">June </w:t>
      </w:r>
      <w:r w:rsidR="00D4074C">
        <w:rPr>
          <w:rFonts w:ascii="Times New Roman" w:eastAsia="Calibri" w:hAnsi="Times New Roman" w:cs="Times New Roman"/>
          <w:sz w:val="24"/>
          <w:szCs w:val="24"/>
        </w:rPr>
        <w:t>11</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5F938ABA" w14:textId="15BA6991"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1F5E61">
        <w:rPr>
          <w:rFonts w:ascii="Times New Roman" w:eastAsia="Calibri" w:hAnsi="Times New Roman" w:cs="Times New Roman"/>
          <w:sz w:val="24"/>
          <w:szCs w:val="24"/>
        </w:rPr>
        <w:t xml:space="preserve">On June 17, 2019, I issued an Interim Order denying the Preliminary Objections, and a second Interim Order establishing a litigation schedule.  I directed the parties to exchange fact and expert witness information by July 26, 2019; conclude discovery by September 20, 2019; and file a status report by October 11, 2019.  </w:t>
      </w:r>
    </w:p>
    <w:p w14:paraId="78727568" w14:textId="77777777" w:rsidR="006D3143" w:rsidRDefault="006D3143" w:rsidP="00CD1332">
      <w:pPr>
        <w:spacing w:after="0" w:line="360" w:lineRule="auto"/>
        <w:rPr>
          <w:rFonts w:ascii="Times New Roman" w:eastAsia="Calibri" w:hAnsi="Times New Roman" w:cs="Times New Roman"/>
          <w:sz w:val="24"/>
          <w:szCs w:val="24"/>
        </w:rPr>
      </w:pPr>
    </w:p>
    <w:p w14:paraId="0E482670" w14:textId="3EF47614" w:rsidR="006D3143" w:rsidRDefault="006D3143"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June 18, 2019, the Commission issued a prehearing conference </w:t>
      </w:r>
      <w:proofErr w:type="gramStart"/>
      <w:r>
        <w:rPr>
          <w:rFonts w:ascii="Times New Roman" w:eastAsia="Calibri" w:hAnsi="Times New Roman" w:cs="Times New Roman"/>
          <w:sz w:val="24"/>
          <w:szCs w:val="24"/>
        </w:rPr>
        <w:t>Notice</w:t>
      </w:r>
      <w:proofErr w:type="gramEnd"/>
      <w:r>
        <w:rPr>
          <w:rFonts w:ascii="Times New Roman" w:eastAsia="Calibri" w:hAnsi="Times New Roman" w:cs="Times New Roman"/>
          <w:sz w:val="24"/>
          <w:szCs w:val="24"/>
        </w:rPr>
        <w:t xml:space="preserve"> and I issued an Interim Order was scheduling a prehearing conference for August 13, 2019.  </w:t>
      </w:r>
    </w:p>
    <w:p w14:paraId="3EE90388" w14:textId="77777777" w:rsidR="006A7F04" w:rsidRDefault="006A7F04" w:rsidP="00CD1332">
      <w:pPr>
        <w:spacing w:after="0" w:line="360" w:lineRule="auto"/>
        <w:rPr>
          <w:rFonts w:ascii="Times New Roman" w:eastAsia="Calibri" w:hAnsi="Times New Roman" w:cs="Times New Roman"/>
          <w:sz w:val="24"/>
          <w:szCs w:val="24"/>
        </w:rPr>
      </w:pPr>
    </w:p>
    <w:p w14:paraId="0BB3A7FB" w14:textId="05EADB95" w:rsidR="006A7F04" w:rsidRDefault="006A7F04"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12, 2019, the Company filed a certificate of service evidencing their service of Interrogatories and Requests for Production of Documents (discovery requests) upon Complainant.  </w:t>
      </w:r>
    </w:p>
    <w:p w14:paraId="16E89666" w14:textId="77777777" w:rsidR="006A7F04" w:rsidRDefault="006A7F04" w:rsidP="00CD1332">
      <w:pPr>
        <w:spacing w:after="0" w:line="360" w:lineRule="auto"/>
        <w:rPr>
          <w:rFonts w:ascii="Times New Roman" w:eastAsia="Calibri" w:hAnsi="Times New Roman" w:cs="Times New Roman"/>
          <w:sz w:val="24"/>
          <w:szCs w:val="24"/>
        </w:rPr>
      </w:pPr>
    </w:p>
    <w:p w14:paraId="3ACA312A" w14:textId="7E635983" w:rsidR="006A7F04" w:rsidRDefault="006A7F04"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prehearing conference convened as scheduled on August 13, 2019.  Complainant was present and represented himself.  Tori Geisler, Esq., and Lauren Lepkoski, Esq., were present on behalf of the Company.  The parties discussed a variety of topics and engaged in settlement discussions, which were ultimately unsuccessful.  </w:t>
      </w:r>
    </w:p>
    <w:p w14:paraId="5144D6E0" w14:textId="77777777" w:rsidR="00D47C02" w:rsidRDefault="00D47C02" w:rsidP="00CD1332">
      <w:pPr>
        <w:spacing w:after="0" w:line="360" w:lineRule="auto"/>
        <w:rPr>
          <w:rFonts w:ascii="Times New Roman" w:eastAsia="Calibri" w:hAnsi="Times New Roman" w:cs="Times New Roman"/>
          <w:sz w:val="24"/>
          <w:szCs w:val="24"/>
        </w:rPr>
      </w:pPr>
    </w:p>
    <w:p w14:paraId="2ADDC925" w14:textId="64581287" w:rsidR="00D47C02" w:rsidRDefault="00D47C0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October 15, 2019, the Company filed a status report, </w:t>
      </w:r>
      <w:r w:rsidR="00E514D2">
        <w:rPr>
          <w:rFonts w:ascii="Times New Roman" w:eastAsia="Calibri" w:hAnsi="Times New Roman" w:cs="Times New Roman"/>
          <w:sz w:val="24"/>
          <w:szCs w:val="24"/>
        </w:rPr>
        <w:t xml:space="preserve">advising of its availability for an evidentiary hearing.  </w:t>
      </w:r>
    </w:p>
    <w:p w14:paraId="1ED410A9" w14:textId="77777777" w:rsidR="00E514D2" w:rsidRDefault="00E514D2" w:rsidP="00CD1332">
      <w:pPr>
        <w:spacing w:after="0" w:line="360" w:lineRule="auto"/>
        <w:rPr>
          <w:rFonts w:ascii="Times New Roman" w:eastAsia="Calibri" w:hAnsi="Times New Roman" w:cs="Times New Roman"/>
          <w:sz w:val="24"/>
          <w:szCs w:val="24"/>
        </w:rPr>
      </w:pPr>
    </w:p>
    <w:p w14:paraId="521BD035" w14:textId="4F022E15" w:rsidR="00E514D2" w:rsidRDefault="00E514D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22, 2019, the Company filed an updated status report, advising it had been in communication with Complainant and provided </w:t>
      </w:r>
      <w:r w:rsidR="009143F5">
        <w:rPr>
          <w:rFonts w:ascii="Times New Roman" w:eastAsia="Calibri" w:hAnsi="Times New Roman" w:cs="Times New Roman"/>
          <w:sz w:val="24"/>
          <w:szCs w:val="24"/>
        </w:rPr>
        <w:t>revised</w:t>
      </w:r>
      <w:r>
        <w:rPr>
          <w:rFonts w:ascii="Times New Roman" w:eastAsia="Calibri" w:hAnsi="Times New Roman" w:cs="Times New Roman"/>
          <w:sz w:val="24"/>
          <w:szCs w:val="24"/>
        </w:rPr>
        <w:t xml:space="preserve"> dates for an evidentiary hearing</w:t>
      </w:r>
      <w:r w:rsidR="009143F5">
        <w:rPr>
          <w:rFonts w:ascii="Times New Roman" w:eastAsia="Calibri" w:hAnsi="Times New Roman" w:cs="Times New Roman"/>
          <w:sz w:val="24"/>
          <w:szCs w:val="24"/>
        </w:rPr>
        <w:t xml:space="preserve">.  </w:t>
      </w:r>
    </w:p>
    <w:p w14:paraId="49854AF6" w14:textId="77777777" w:rsidR="009143F5" w:rsidRDefault="009143F5" w:rsidP="00CD1332">
      <w:pPr>
        <w:spacing w:after="0" w:line="360" w:lineRule="auto"/>
        <w:rPr>
          <w:rFonts w:ascii="Times New Roman" w:eastAsia="Calibri" w:hAnsi="Times New Roman" w:cs="Times New Roman"/>
          <w:sz w:val="24"/>
          <w:szCs w:val="24"/>
        </w:rPr>
      </w:pPr>
    </w:p>
    <w:p w14:paraId="32A60E4D" w14:textId="30A1E5E1" w:rsidR="009143F5" w:rsidRDefault="009143F5"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March 10, 2020, I issued an Interim Order directing the parties to provide additional dates for an evidentiary hearing.  </w:t>
      </w:r>
    </w:p>
    <w:p w14:paraId="71DEBAAC" w14:textId="77777777" w:rsidR="009143F5" w:rsidRDefault="009143F5" w:rsidP="00CD1332">
      <w:pPr>
        <w:spacing w:after="0" w:line="360" w:lineRule="auto"/>
        <w:rPr>
          <w:rFonts w:ascii="Times New Roman" w:eastAsia="Calibri" w:hAnsi="Times New Roman" w:cs="Times New Roman"/>
          <w:sz w:val="24"/>
          <w:szCs w:val="24"/>
        </w:rPr>
      </w:pPr>
    </w:p>
    <w:p w14:paraId="74C834EC" w14:textId="22CFB961" w:rsidR="00125CF2" w:rsidRDefault="009143F5"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March 19, 2020, the Company filed a status report, providing additional dates for an evidentiary hearing.  </w:t>
      </w:r>
    </w:p>
    <w:p w14:paraId="1F9A1645" w14:textId="77777777" w:rsidR="009143F5" w:rsidRDefault="009143F5" w:rsidP="0097510B">
      <w:pPr>
        <w:spacing w:after="0" w:line="360" w:lineRule="auto"/>
        <w:rPr>
          <w:rFonts w:ascii="Times New Roman" w:eastAsia="Calibri" w:hAnsi="Times New Roman" w:cs="Times New Roman"/>
          <w:sz w:val="24"/>
          <w:szCs w:val="24"/>
        </w:rPr>
      </w:pPr>
    </w:p>
    <w:p w14:paraId="5A694BD7" w14:textId="67D97942" w:rsidR="009143F5" w:rsidRDefault="009143F5"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B7BC6">
        <w:rPr>
          <w:rFonts w:ascii="Times New Roman" w:eastAsia="Calibri" w:hAnsi="Times New Roman" w:cs="Times New Roman"/>
          <w:sz w:val="24"/>
          <w:szCs w:val="24"/>
        </w:rPr>
        <w:t xml:space="preserve">On April 29, 2020, I issued an Interim Order, again requesting additional dates for the evidentiary hearing. </w:t>
      </w:r>
    </w:p>
    <w:p w14:paraId="33693864" w14:textId="77777777" w:rsidR="003B7BC6" w:rsidRDefault="003B7BC6" w:rsidP="0097510B">
      <w:pPr>
        <w:spacing w:after="0" w:line="360" w:lineRule="auto"/>
        <w:rPr>
          <w:rFonts w:ascii="Times New Roman" w:eastAsia="Calibri" w:hAnsi="Times New Roman" w:cs="Times New Roman"/>
          <w:sz w:val="24"/>
          <w:szCs w:val="24"/>
        </w:rPr>
      </w:pPr>
    </w:p>
    <w:p w14:paraId="664B62EF" w14:textId="20B0EFE7" w:rsidR="003B7BC6" w:rsidRDefault="003B7BC6"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May 5, 2020, the Company filed a status report, providing additional dates for an evidentiary hearing.  </w:t>
      </w:r>
    </w:p>
    <w:p w14:paraId="71ECCBF8" w14:textId="77777777" w:rsidR="003B7BC6" w:rsidRDefault="003B7BC6" w:rsidP="0097510B">
      <w:pPr>
        <w:spacing w:after="0" w:line="360" w:lineRule="auto"/>
        <w:rPr>
          <w:rFonts w:ascii="Times New Roman" w:eastAsia="Calibri" w:hAnsi="Times New Roman" w:cs="Times New Roman"/>
          <w:sz w:val="24"/>
          <w:szCs w:val="24"/>
        </w:rPr>
      </w:pPr>
    </w:p>
    <w:p w14:paraId="28EA73D6" w14:textId="54D51112" w:rsidR="003B7BC6" w:rsidRDefault="003B7BC6"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May 6, 2020, the </w:t>
      </w:r>
      <w:r w:rsidR="001167D1">
        <w:rPr>
          <w:rFonts w:ascii="Times New Roman" w:eastAsia="Calibri" w:hAnsi="Times New Roman" w:cs="Times New Roman"/>
          <w:sz w:val="24"/>
          <w:szCs w:val="24"/>
        </w:rPr>
        <w:t xml:space="preserve">Commission issued a Notice, scheduling an evidentiary hearing for June 24, 2020.  I also issued a Prehearing Order dated May 6, 2020.  </w:t>
      </w:r>
    </w:p>
    <w:p w14:paraId="79469A1E" w14:textId="77777777" w:rsidR="00031D20" w:rsidRDefault="00031D20" w:rsidP="0097510B">
      <w:pPr>
        <w:spacing w:after="0" w:line="360" w:lineRule="auto"/>
        <w:rPr>
          <w:rFonts w:ascii="Times New Roman" w:eastAsia="Calibri" w:hAnsi="Times New Roman" w:cs="Times New Roman"/>
          <w:sz w:val="24"/>
          <w:szCs w:val="24"/>
        </w:rPr>
      </w:pPr>
    </w:p>
    <w:p w14:paraId="443C28A9" w14:textId="0854CF53" w:rsidR="00031D20" w:rsidRDefault="00031D20"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evidentiary hearing convened as scheduled on June 24, 2020.  Mr. Konzelman appeared on his own behalf.  </w:t>
      </w:r>
      <w:r w:rsidR="00D75690">
        <w:rPr>
          <w:rFonts w:ascii="Times New Roman" w:eastAsia="Calibri" w:hAnsi="Times New Roman" w:cs="Times New Roman"/>
          <w:sz w:val="24"/>
          <w:szCs w:val="24"/>
        </w:rPr>
        <w:t xml:space="preserve">He testified on his own behalf, but his exhibits had not yet been received at the time of the hearing.  </w:t>
      </w:r>
      <w:r>
        <w:rPr>
          <w:rFonts w:ascii="Times New Roman" w:eastAsia="Calibri" w:hAnsi="Times New Roman" w:cs="Times New Roman"/>
          <w:sz w:val="24"/>
          <w:szCs w:val="24"/>
        </w:rPr>
        <w:t xml:space="preserve">Ms. Giesler and Ms. Lepkoski </w:t>
      </w:r>
      <w:r w:rsidR="00D75690">
        <w:rPr>
          <w:rFonts w:ascii="Times New Roman" w:eastAsia="Calibri" w:hAnsi="Times New Roman" w:cs="Times New Roman"/>
          <w:sz w:val="24"/>
          <w:szCs w:val="24"/>
        </w:rPr>
        <w:t xml:space="preserve">appeared on behalf of the Company.  The Company presented </w:t>
      </w:r>
      <w:r w:rsidR="008308D1">
        <w:rPr>
          <w:rFonts w:ascii="Times New Roman" w:eastAsia="Calibri" w:hAnsi="Times New Roman" w:cs="Times New Roman"/>
          <w:sz w:val="24"/>
          <w:szCs w:val="24"/>
        </w:rPr>
        <w:t>the testimony of John Ahr</w:t>
      </w:r>
      <w:r w:rsidR="003D391F">
        <w:rPr>
          <w:rFonts w:ascii="Times New Roman" w:eastAsia="Calibri" w:hAnsi="Times New Roman" w:cs="Times New Roman"/>
          <w:sz w:val="24"/>
          <w:szCs w:val="24"/>
        </w:rPr>
        <w:t xml:space="preserve">, Advisor for Regulatory </w:t>
      </w:r>
      <w:r w:rsidR="002829C7">
        <w:rPr>
          <w:rFonts w:ascii="Times New Roman" w:eastAsia="Calibri" w:hAnsi="Times New Roman" w:cs="Times New Roman"/>
          <w:sz w:val="24"/>
          <w:szCs w:val="24"/>
        </w:rPr>
        <w:t xml:space="preserve">Compliance.  Company’s exhibits PD-1, PD-2, PD-3, PD-4, JCA-1, and JCA-3 were admitted into the record.  I ordered Complainant to serve his proposed </w:t>
      </w:r>
      <w:r w:rsidR="00F77826">
        <w:rPr>
          <w:rFonts w:ascii="Times New Roman" w:eastAsia="Calibri" w:hAnsi="Times New Roman" w:cs="Times New Roman"/>
          <w:sz w:val="24"/>
          <w:szCs w:val="24"/>
        </w:rPr>
        <w:t xml:space="preserve">late-filed </w:t>
      </w:r>
      <w:r w:rsidR="002829C7">
        <w:rPr>
          <w:rFonts w:ascii="Times New Roman" w:eastAsia="Calibri" w:hAnsi="Times New Roman" w:cs="Times New Roman"/>
          <w:sz w:val="24"/>
          <w:szCs w:val="24"/>
        </w:rPr>
        <w:t xml:space="preserve">exhibits on the Company within ten </w:t>
      </w:r>
      <w:proofErr w:type="gramStart"/>
      <w:r w:rsidR="002829C7">
        <w:rPr>
          <w:rFonts w:ascii="Times New Roman" w:eastAsia="Calibri" w:hAnsi="Times New Roman" w:cs="Times New Roman"/>
          <w:sz w:val="24"/>
          <w:szCs w:val="24"/>
        </w:rPr>
        <w:t>days, and</w:t>
      </w:r>
      <w:proofErr w:type="gramEnd"/>
      <w:r w:rsidR="002829C7">
        <w:rPr>
          <w:rFonts w:ascii="Times New Roman" w:eastAsia="Calibri" w:hAnsi="Times New Roman" w:cs="Times New Roman"/>
          <w:sz w:val="24"/>
          <w:szCs w:val="24"/>
        </w:rPr>
        <w:t xml:space="preserve"> advised the Company to file any objections to the proposed </w:t>
      </w:r>
      <w:r w:rsidR="00F77826">
        <w:rPr>
          <w:rFonts w:ascii="Times New Roman" w:eastAsia="Calibri" w:hAnsi="Times New Roman" w:cs="Times New Roman"/>
          <w:sz w:val="24"/>
          <w:szCs w:val="24"/>
        </w:rPr>
        <w:t xml:space="preserve">late-filed </w:t>
      </w:r>
      <w:r w:rsidR="002829C7">
        <w:rPr>
          <w:rFonts w:ascii="Times New Roman" w:eastAsia="Calibri" w:hAnsi="Times New Roman" w:cs="Times New Roman"/>
          <w:sz w:val="24"/>
          <w:szCs w:val="24"/>
        </w:rPr>
        <w:t xml:space="preserve">exhibits within ten days of service of Complainant’s proposed exhibits.  </w:t>
      </w:r>
      <w:r w:rsidR="00A6054D">
        <w:rPr>
          <w:rFonts w:ascii="Times New Roman" w:eastAsia="Calibri" w:hAnsi="Times New Roman" w:cs="Times New Roman"/>
          <w:sz w:val="24"/>
          <w:szCs w:val="24"/>
        </w:rPr>
        <w:t xml:space="preserve">Further, I informed the parties I would issue a briefing order, setting a deadline for the filing of briefs. </w:t>
      </w:r>
    </w:p>
    <w:p w14:paraId="4996698E" w14:textId="77777777" w:rsidR="002829C7" w:rsidRDefault="002829C7" w:rsidP="0097510B">
      <w:pPr>
        <w:spacing w:after="0" w:line="360" w:lineRule="auto"/>
        <w:rPr>
          <w:rFonts w:ascii="Times New Roman" w:eastAsia="Calibri" w:hAnsi="Times New Roman" w:cs="Times New Roman"/>
          <w:sz w:val="24"/>
          <w:szCs w:val="24"/>
        </w:rPr>
      </w:pPr>
    </w:p>
    <w:p w14:paraId="2EFB6CCF" w14:textId="097AD60F" w:rsidR="002829C7" w:rsidRDefault="002829C7"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served his </w:t>
      </w:r>
      <w:r w:rsidR="00A6054D">
        <w:rPr>
          <w:rFonts w:ascii="Times New Roman" w:eastAsia="Calibri" w:hAnsi="Times New Roman" w:cs="Times New Roman"/>
          <w:sz w:val="24"/>
          <w:szCs w:val="24"/>
        </w:rPr>
        <w:t xml:space="preserve">fifteen </w:t>
      </w:r>
      <w:r>
        <w:rPr>
          <w:rFonts w:ascii="Times New Roman" w:eastAsia="Calibri" w:hAnsi="Times New Roman" w:cs="Times New Roman"/>
          <w:sz w:val="24"/>
          <w:szCs w:val="24"/>
        </w:rPr>
        <w:t xml:space="preserve">proposed </w:t>
      </w:r>
      <w:r w:rsidR="00F77826">
        <w:rPr>
          <w:rFonts w:ascii="Times New Roman" w:eastAsia="Calibri" w:hAnsi="Times New Roman" w:cs="Times New Roman"/>
          <w:sz w:val="24"/>
          <w:szCs w:val="24"/>
        </w:rPr>
        <w:t xml:space="preserve">late-filed </w:t>
      </w:r>
      <w:r>
        <w:rPr>
          <w:rFonts w:ascii="Times New Roman" w:eastAsia="Calibri" w:hAnsi="Times New Roman" w:cs="Times New Roman"/>
          <w:sz w:val="24"/>
          <w:szCs w:val="24"/>
        </w:rPr>
        <w:t>exhibits on</w:t>
      </w:r>
      <w:r w:rsidR="00F77826">
        <w:rPr>
          <w:rFonts w:ascii="Times New Roman" w:eastAsia="Calibri" w:hAnsi="Times New Roman" w:cs="Times New Roman"/>
          <w:sz w:val="24"/>
          <w:szCs w:val="24"/>
        </w:rPr>
        <w:t xml:space="preserve"> me</w:t>
      </w:r>
      <w:r w:rsidR="00A6054D">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the Company on June 26, 2020.  </w:t>
      </w:r>
    </w:p>
    <w:p w14:paraId="01E35C55" w14:textId="77777777" w:rsidR="00A6054D" w:rsidRDefault="00A6054D" w:rsidP="0097510B">
      <w:pPr>
        <w:spacing w:after="0" w:line="360" w:lineRule="auto"/>
        <w:rPr>
          <w:rFonts w:ascii="Times New Roman" w:eastAsia="Calibri" w:hAnsi="Times New Roman" w:cs="Times New Roman"/>
          <w:sz w:val="24"/>
          <w:szCs w:val="24"/>
        </w:rPr>
      </w:pPr>
    </w:p>
    <w:p w14:paraId="35C33116" w14:textId="40C59F79" w:rsidR="00A6054D" w:rsidRDefault="00A6054D"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9, 2020, the Company filed objections to Complainant’s proposed exhibits.  </w:t>
      </w:r>
    </w:p>
    <w:p w14:paraId="71F9213E" w14:textId="77777777" w:rsidR="00A6054D" w:rsidRDefault="00A6054D" w:rsidP="0097510B">
      <w:pPr>
        <w:spacing w:after="0" w:line="360" w:lineRule="auto"/>
        <w:rPr>
          <w:rFonts w:ascii="Times New Roman" w:eastAsia="Calibri" w:hAnsi="Times New Roman" w:cs="Times New Roman"/>
          <w:sz w:val="24"/>
          <w:szCs w:val="24"/>
        </w:rPr>
      </w:pPr>
    </w:p>
    <w:p w14:paraId="49A0030B" w14:textId="386B8ECF" w:rsidR="00A6054D" w:rsidRDefault="00A6054D" w:rsidP="00975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10, 2020, the transcript was filed.  </w:t>
      </w:r>
    </w:p>
    <w:p w14:paraId="240A6AAD" w14:textId="77777777" w:rsidR="00A6054D" w:rsidRDefault="00A6054D" w:rsidP="0097510B">
      <w:pPr>
        <w:spacing w:after="0" w:line="360" w:lineRule="auto"/>
        <w:rPr>
          <w:rFonts w:ascii="Times New Roman" w:eastAsia="Calibri" w:hAnsi="Times New Roman" w:cs="Times New Roman"/>
          <w:sz w:val="24"/>
          <w:szCs w:val="24"/>
        </w:rPr>
      </w:pPr>
    </w:p>
    <w:p w14:paraId="30C382DC" w14:textId="76F77C18" w:rsidR="00A6054D" w:rsidRPr="006A685B" w:rsidRDefault="00A6054D" w:rsidP="00A6054D">
      <w:pPr>
        <w:pStyle w:val="ListNumber"/>
        <w:numPr>
          <w:ilvl w:val="0"/>
          <w:numId w:val="0"/>
        </w:numPr>
        <w:spacing w:line="360" w:lineRule="auto"/>
        <w:jc w:val="left"/>
        <w:rPr>
          <w:rFonts w:eastAsia="Calibri"/>
          <w:szCs w:val="24"/>
          <w:u w:val="single"/>
        </w:rPr>
      </w:pPr>
      <w:proofErr w:type="spellStart"/>
      <w:r w:rsidRPr="006A685B">
        <w:rPr>
          <w:rFonts w:eastAsia="Calibri"/>
          <w:i/>
          <w:iCs/>
          <w:szCs w:val="24"/>
          <w:u w:val="single"/>
        </w:rPr>
        <w:t>Povacz</w:t>
      </w:r>
      <w:proofErr w:type="spellEnd"/>
      <w:r w:rsidRPr="006A685B">
        <w:rPr>
          <w:rFonts w:eastAsia="Calibri"/>
          <w:i/>
          <w:iCs/>
          <w:szCs w:val="24"/>
          <w:u w:val="single"/>
        </w:rPr>
        <w:t xml:space="preserve"> I, </w:t>
      </w:r>
      <w:proofErr w:type="spellStart"/>
      <w:r w:rsidRPr="006A685B">
        <w:rPr>
          <w:rFonts w:eastAsia="Calibri"/>
          <w:i/>
          <w:iCs/>
          <w:szCs w:val="24"/>
          <w:u w:val="single"/>
        </w:rPr>
        <w:t>Povacz</w:t>
      </w:r>
      <w:proofErr w:type="spellEnd"/>
      <w:r w:rsidRPr="006A685B">
        <w:rPr>
          <w:rFonts w:eastAsia="Calibri"/>
          <w:i/>
          <w:iCs/>
          <w:szCs w:val="24"/>
          <w:u w:val="single"/>
        </w:rPr>
        <w:t xml:space="preserve"> II,</w:t>
      </w:r>
      <w:r w:rsidRPr="006A685B">
        <w:rPr>
          <w:rFonts w:eastAsia="Calibri"/>
          <w:szCs w:val="24"/>
          <w:u w:val="single"/>
        </w:rPr>
        <w:t xml:space="preserve"> and The Commission’s Stay Order</w:t>
      </w:r>
    </w:p>
    <w:p w14:paraId="577FEC71" w14:textId="77777777" w:rsidR="00A6054D" w:rsidRPr="006A685B" w:rsidRDefault="00A6054D" w:rsidP="00A6054D">
      <w:pPr>
        <w:pStyle w:val="ListNumber"/>
        <w:numPr>
          <w:ilvl w:val="0"/>
          <w:numId w:val="0"/>
        </w:numPr>
        <w:spacing w:line="360" w:lineRule="auto"/>
        <w:ind w:firstLine="1440"/>
        <w:jc w:val="left"/>
        <w:rPr>
          <w:rFonts w:eastAsia="Calibri"/>
          <w:szCs w:val="24"/>
        </w:rPr>
      </w:pPr>
    </w:p>
    <w:p w14:paraId="619E7F91" w14:textId="77777777" w:rsidR="00A6054D" w:rsidRPr="006A685B" w:rsidRDefault="00A6054D" w:rsidP="00A6054D">
      <w:pPr>
        <w:pStyle w:val="ListNumber"/>
        <w:numPr>
          <w:ilvl w:val="0"/>
          <w:numId w:val="0"/>
        </w:numPr>
        <w:spacing w:line="360" w:lineRule="auto"/>
        <w:ind w:firstLine="1440"/>
        <w:jc w:val="left"/>
        <w:rPr>
          <w:szCs w:val="24"/>
        </w:rPr>
      </w:pPr>
      <w:r w:rsidRPr="006A685B">
        <w:rPr>
          <w:szCs w:val="24"/>
        </w:rPr>
        <w:t xml:space="preserve">On October 8, 2020, the Commonwealth Court of Pennsylvania (Commonwealth Court) issued an Opinion in </w:t>
      </w:r>
      <w:proofErr w:type="spellStart"/>
      <w:r w:rsidRPr="006A685B">
        <w:rPr>
          <w:i/>
          <w:iCs/>
          <w:szCs w:val="24"/>
        </w:rPr>
        <w:t>Povacz</w:t>
      </w:r>
      <w:proofErr w:type="spellEnd"/>
      <w:r w:rsidRPr="006A685B">
        <w:rPr>
          <w:i/>
          <w:iCs/>
          <w:szCs w:val="24"/>
        </w:rPr>
        <w:t>, et al. v. Pa. Public Utility Commission</w:t>
      </w:r>
      <w:r w:rsidRPr="006A685B">
        <w:rPr>
          <w:szCs w:val="24"/>
        </w:rPr>
        <w:t xml:space="preserve">, 241 A.3d 481 (Pa. </w:t>
      </w:r>
      <w:proofErr w:type="spellStart"/>
      <w:r w:rsidRPr="006A685B">
        <w:rPr>
          <w:szCs w:val="24"/>
        </w:rPr>
        <w:t>Cmwlth</w:t>
      </w:r>
      <w:proofErr w:type="spellEnd"/>
      <w:r w:rsidRPr="006A685B">
        <w:rPr>
          <w:szCs w:val="24"/>
        </w:rPr>
        <w:t>. 2020) (</w:t>
      </w:r>
      <w:proofErr w:type="spellStart"/>
      <w:r w:rsidRPr="006A685B">
        <w:rPr>
          <w:i/>
          <w:iCs/>
          <w:szCs w:val="24"/>
        </w:rPr>
        <w:t>Povacz</w:t>
      </w:r>
      <w:proofErr w:type="spellEnd"/>
      <w:r w:rsidRPr="006A685B">
        <w:rPr>
          <w:i/>
          <w:iCs/>
          <w:szCs w:val="24"/>
        </w:rPr>
        <w:t xml:space="preserve"> I</w:t>
      </w:r>
      <w:r w:rsidRPr="006A685B">
        <w:rPr>
          <w:szCs w:val="24"/>
        </w:rPr>
        <w:t xml:space="preserve">), the first of several appeals involving PECO Energy Company’s (PECO) deployment of smart meter technology pursuant to Act 129, codified at 66 Pa. C.S. § 2807(f).  In the </w:t>
      </w:r>
      <w:proofErr w:type="spellStart"/>
      <w:r w:rsidRPr="006A685B">
        <w:rPr>
          <w:i/>
          <w:iCs/>
          <w:szCs w:val="24"/>
        </w:rPr>
        <w:t>Povacz</w:t>
      </w:r>
      <w:proofErr w:type="spellEnd"/>
      <w:r w:rsidRPr="006A685B">
        <w:rPr>
          <w:i/>
          <w:iCs/>
          <w:szCs w:val="24"/>
        </w:rPr>
        <w:t xml:space="preserve"> I</w:t>
      </w:r>
      <w:r w:rsidRPr="006A685B">
        <w:rPr>
          <w:szCs w:val="24"/>
        </w:rPr>
        <w:t xml:space="preserve"> consolidated opinion, the Commonwealth Court partially affirmed, and partially reversed and remanded, the Commission’s March 28, 2019, and May 9, 2019, Orders in Maria </w:t>
      </w:r>
      <w:proofErr w:type="spellStart"/>
      <w:r w:rsidRPr="006A685B">
        <w:rPr>
          <w:szCs w:val="24"/>
        </w:rPr>
        <w:t>Povacz</w:t>
      </w:r>
      <w:proofErr w:type="spellEnd"/>
      <w:r w:rsidRPr="006A685B">
        <w:rPr>
          <w:szCs w:val="24"/>
        </w:rPr>
        <w:t xml:space="preserve">, Laura Sunstein Murphy, and Cynthia Randall.  </w:t>
      </w:r>
      <w:proofErr w:type="spellStart"/>
      <w:r w:rsidRPr="006A685B">
        <w:rPr>
          <w:i/>
          <w:iCs/>
          <w:szCs w:val="24"/>
        </w:rPr>
        <w:t>Povacz</w:t>
      </w:r>
      <w:proofErr w:type="spellEnd"/>
      <w:r w:rsidRPr="006A685B">
        <w:rPr>
          <w:i/>
          <w:iCs/>
          <w:szCs w:val="24"/>
        </w:rPr>
        <w:t xml:space="preserve"> I</w:t>
      </w:r>
      <w:r w:rsidRPr="006A685B">
        <w:rPr>
          <w:szCs w:val="24"/>
        </w:rPr>
        <w:t xml:space="preserve"> at 495.  Specifically, the Commonwealth Court, in </w:t>
      </w:r>
      <w:proofErr w:type="spellStart"/>
      <w:r w:rsidRPr="006A685B">
        <w:rPr>
          <w:i/>
          <w:iCs/>
          <w:szCs w:val="24"/>
        </w:rPr>
        <w:t>Povacz</w:t>
      </w:r>
      <w:proofErr w:type="spellEnd"/>
      <w:r w:rsidRPr="006A685B">
        <w:rPr>
          <w:i/>
          <w:iCs/>
          <w:szCs w:val="24"/>
        </w:rPr>
        <w:t xml:space="preserve"> I</w:t>
      </w:r>
      <w:r w:rsidRPr="006A685B">
        <w:rPr>
          <w:szCs w:val="24"/>
        </w:rPr>
        <w:t xml:space="preserve">, held that Act 129 does not mandate the installation of smart </w:t>
      </w:r>
      <w:r w:rsidRPr="006A685B">
        <w:rPr>
          <w:szCs w:val="24"/>
        </w:rPr>
        <w:lastRenderedPageBreak/>
        <w:t xml:space="preserve">meters, and that the Commission had the authority to grant customers accommodations based on their health concerns.  </w:t>
      </w:r>
      <w:r w:rsidRPr="006A685B">
        <w:rPr>
          <w:i/>
          <w:iCs/>
          <w:szCs w:val="24"/>
        </w:rPr>
        <w:t>Id.</w:t>
      </w:r>
      <w:r w:rsidRPr="006A685B">
        <w:rPr>
          <w:szCs w:val="24"/>
        </w:rPr>
        <w:t xml:space="preserve"> at 490.  However, the Commonwealth Court affirmed: (1) the Commission’s application of the preponderance of evidence standard; (2) the Commission’s finding that the customers in Maria </w:t>
      </w:r>
      <w:proofErr w:type="spellStart"/>
      <w:r w:rsidRPr="006A685B">
        <w:rPr>
          <w:szCs w:val="24"/>
        </w:rPr>
        <w:t>Povacz</w:t>
      </w:r>
      <w:proofErr w:type="spellEnd"/>
      <w:r w:rsidRPr="006A685B">
        <w:rPr>
          <w:szCs w:val="24"/>
        </w:rPr>
        <w:t xml:space="preserve">, Laura Sunstein Murphy, and Cynthia Randall failed to sustain their burden of proof; and (3) that the Commission’s findings of fact were supported by substantial evidence.  </w:t>
      </w:r>
      <w:r w:rsidRPr="006A685B">
        <w:rPr>
          <w:i/>
          <w:iCs/>
          <w:szCs w:val="24"/>
        </w:rPr>
        <w:t>Id.</w:t>
      </w:r>
      <w:r w:rsidRPr="006A685B">
        <w:rPr>
          <w:szCs w:val="24"/>
        </w:rPr>
        <w:t xml:space="preserve"> at 490, 491, 493-495.  The Commonwealth Court also declined to find that the deployment of smart meters violated the customers’ Fourteenth Amendment liberty interests in bodily integrity.  </w:t>
      </w:r>
      <w:r w:rsidRPr="006A685B">
        <w:rPr>
          <w:i/>
          <w:iCs/>
          <w:szCs w:val="24"/>
        </w:rPr>
        <w:t>Id</w:t>
      </w:r>
      <w:r w:rsidRPr="006A685B">
        <w:rPr>
          <w:szCs w:val="24"/>
        </w:rPr>
        <w:t xml:space="preserve">. at 487- 488.  </w:t>
      </w:r>
    </w:p>
    <w:p w14:paraId="1890D9AF" w14:textId="77777777" w:rsidR="00A6054D" w:rsidRPr="006A685B" w:rsidRDefault="00A6054D" w:rsidP="00A6054D">
      <w:pPr>
        <w:pStyle w:val="ListNumber"/>
        <w:numPr>
          <w:ilvl w:val="0"/>
          <w:numId w:val="0"/>
        </w:numPr>
        <w:spacing w:line="360" w:lineRule="auto"/>
        <w:ind w:firstLine="1440"/>
        <w:jc w:val="left"/>
        <w:rPr>
          <w:szCs w:val="24"/>
        </w:rPr>
      </w:pPr>
    </w:p>
    <w:p w14:paraId="07FBD9A8" w14:textId="77777777" w:rsidR="00A6054D" w:rsidRPr="006A685B" w:rsidRDefault="00A6054D" w:rsidP="00A6054D">
      <w:pPr>
        <w:pStyle w:val="ListNumber"/>
        <w:numPr>
          <w:ilvl w:val="0"/>
          <w:numId w:val="0"/>
        </w:numPr>
        <w:spacing w:line="360" w:lineRule="auto"/>
        <w:ind w:firstLine="1440"/>
        <w:jc w:val="left"/>
        <w:rPr>
          <w:szCs w:val="24"/>
        </w:rPr>
      </w:pPr>
      <w:r w:rsidRPr="006A685B">
        <w:rPr>
          <w:szCs w:val="24"/>
        </w:rPr>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the Commission entered an Order and Notice, at Docket No. M-2009-2092655, on November 4, 2020, pursuant to 66 Pa. C.S. § 501, instituting a stay of certain formal complaint proceedings then-pending before the Commission involving challenges to EDC deployment of smart meter technology as being in violation of Section 1501 of the Code (</w:t>
      </w:r>
      <w:r w:rsidRPr="006A685B">
        <w:rPr>
          <w:i/>
          <w:iCs/>
          <w:szCs w:val="24"/>
        </w:rPr>
        <w:t>November 4, 2020, Stay Order</w:t>
      </w:r>
      <w:r w:rsidRPr="006A685B">
        <w:rPr>
          <w:szCs w:val="24"/>
        </w:rPr>
        <w:t xml:space="preserve">).  </w:t>
      </w:r>
      <w:r w:rsidRPr="006A685B">
        <w:rPr>
          <w:i/>
          <w:iCs/>
          <w:szCs w:val="24"/>
        </w:rPr>
        <w:t>The November 4, 2020, Stay Order</w:t>
      </w:r>
      <w:r w:rsidRPr="006A685B">
        <w:rPr>
          <w:szCs w:val="24"/>
        </w:rP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6A685B">
        <w:rPr>
          <w:i/>
          <w:iCs/>
          <w:szCs w:val="24"/>
        </w:rPr>
        <w:t xml:space="preserve">November 4, 2020, Stay Order </w:t>
      </w:r>
      <w:r w:rsidRPr="006A685B">
        <w:rPr>
          <w:szCs w:val="24"/>
        </w:rPr>
        <w:t>applied to and was docketed at the instant case.</w:t>
      </w:r>
    </w:p>
    <w:p w14:paraId="63D9B5A8" w14:textId="77777777" w:rsidR="00A6054D" w:rsidRPr="006A685B" w:rsidRDefault="00A6054D" w:rsidP="00A6054D">
      <w:pPr>
        <w:pStyle w:val="ListNumber"/>
        <w:numPr>
          <w:ilvl w:val="0"/>
          <w:numId w:val="0"/>
        </w:numPr>
        <w:spacing w:line="360" w:lineRule="auto"/>
        <w:ind w:firstLine="1440"/>
        <w:jc w:val="left"/>
        <w:rPr>
          <w:szCs w:val="24"/>
        </w:rPr>
      </w:pPr>
    </w:p>
    <w:p w14:paraId="321ACDA4" w14:textId="77777777" w:rsidR="00A6054D" w:rsidRPr="006A685B" w:rsidRDefault="00A6054D" w:rsidP="00A6054D">
      <w:pPr>
        <w:pStyle w:val="ListNumber"/>
        <w:numPr>
          <w:ilvl w:val="0"/>
          <w:numId w:val="0"/>
        </w:numPr>
        <w:spacing w:line="360" w:lineRule="auto"/>
        <w:ind w:firstLine="1440"/>
        <w:jc w:val="left"/>
        <w:rPr>
          <w:rFonts w:eastAsia="Calibri"/>
          <w:szCs w:val="24"/>
        </w:rPr>
      </w:pPr>
      <w:r w:rsidRPr="006A685B">
        <w:rPr>
          <w:szCs w:val="24"/>
        </w:rPr>
        <w:t xml:space="preserve">The Commission, as well as all other parties in </w:t>
      </w:r>
      <w:proofErr w:type="spellStart"/>
      <w:r w:rsidRPr="006A685B">
        <w:rPr>
          <w:i/>
          <w:iCs/>
          <w:szCs w:val="24"/>
        </w:rPr>
        <w:t>Povacz</w:t>
      </w:r>
      <w:proofErr w:type="spellEnd"/>
      <w:r w:rsidRPr="006A685B">
        <w:rPr>
          <w:i/>
          <w:iCs/>
          <w:szCs w:val="24"/>
        </w:rPr>
        <w:t xml:space="preserve"> I</w:t>
      </w:r>
      <w:r w:rsidRPr="006A685B">
        <w:rPr>
          <w:szCs w:val="24"/>
        </w:rPr>
        <w:t xml:space="preserve"> subsequently sought and were granted review of the Commonwealth Court’s </w:t>
      </w:r>
      <w:proofErr w:type="spellStart"/>
      <w:r w:rsidRPr="006A685B">
        <w:rPr>
          <w:i/>
          <w:iCs/>
          <w:szCs w:val="24"/>
        </w:rPr>
        <w:t>Povacz</w:t>
      </w:r>
      <w:proofErr w:type="spellEnd"/>
      <w:r w:rsidRPr="006A685B">
        <w:rPr>
          <w:i/>
          <w:iCs/>
          <w:szCs w:val="24"/>
        </w:rPr>
        <w:t xml:space="preserve"> I</w:t>
      </w:r>
      <w:r w:rsidRPr="006A685B">
        <w:rPr>
          <w:szCs w:val="24"/>
        </w:rPr>
        <w:t xml:space="preserve"> decision by the Supreme Court of Pennsylvania.</w:t>
      </w:r>
    </w:p>
    <w:p w14:paraId="494FDDBA" w14:textId="77777777" w:rsidR="00A6054D" w:rsidRPr="006A685B" w:rsidRDefault="00A6054D" w:rsidP="00A6054D">
      <w:pPr>
        <w:pStyle w:val="ListNumber"/>
        <w:numPr>
          <w:ilvl w:val="0"/>
          <w:numId w:val="0"/>
        </w:numPr>
        <w:spacing w:line="360" w:lineRule="auto"/>
        <w:ind w:firstLine="1440"/>
        <w:jc w:val="left"/>
        <w:rPr>
          <w:rFonts w:eastAsia="Calibri"/>
          <w:szCs w:val="24"/>
        </w:rPr>
      </w:pPr>
    </w:p>
    <w:p w14:paraId="17F9F78C" w14:textId="77777777" w:rsidR="00A6054D" w:rsidRDefault="00A6054D" w:rsidP="00A6054D">
      <w:pPr>
        <w:pStyle w:val="ListNumber"/>
        <w:numPr>
          <w:ilvl w:val="0"/>
          <w:numId w:val="0"/>
        </w:numPr>
        <w:spacing w:line="360" w:lineRule="auto"/>
        <w:ind w:firstLine="1440"/>
        <w:jc w:val="left"/>
        <w:rPr>
          <w:szCs w:val="24"/>
        </w:rPr>
      </w:pPr>
      <w:r w:rsidRPr="006A685B">
        <w:rPr>
          <w:szCs w:val="24"/>
        </w:rPr>
        <w:t xml:space="preserve">Previously, the Commonwealth Court stayed the proceedings in several other unconsolidated appeals that raised the same, or similar, smart meter issues pending its disposition of </w:t>
      </w:r>
      <w:proofErr w:type="spellStart"/>
      <w:r w:rsidRPr="006A685B">
        <w:rPr>
          <w:i/>
          <w:iCs/>
          <w:szCs w:val="24"/>
        </w:rPr>
        <w:t>Povacz</w:t>
      </w:r>
      <w:proofErr w:type="spellEnd"/>
      <w:r w:rsidRPr="006A685B">
        <w:rPr>
          <w:i/>
          <w:iCs/>
          <w:szCs w:val="24"/>
        </w:rPr>
        <w:t xml:space="preserve"> I</w:t>
      </w:r>
      <w:r w:rsidRPr="006A685B">
        <w:rPr>
          <w:szCs w:val="24"/>
        </w:rPr>
        <w:t xml:space="preserve">.  Upon application by the Commission, the Commonwealth Court continued the stay of these appeals pending the Supreme Court’s disposition of </w:t>
      </w:r>
      <w:proofErr w:type="spellStart"/>
      <w:r w:rsidRPr="006A685B">
        <w:rPr>
          <w:i/>
          <w:iCs/>
          <w:szCs w:val="24"/>
        </w:rPr>
        <w:t>Povacz</w:t>
      </w:r>
      <w:proofErr w:type="spellEnd"/>
      <w:r w:rsidRPr="006A685B">
        <w:rPr>
          <w:i/>
          <w:iCs/>
          <w:szCs w:val="24"/>
        </w:rPr>
        <w:t xml:space="preserve"> II</w:t>
      </w:r>
      <w:r w:rsidRPr="006A685B">
        <w:rPr>
          <w:szCs w:val="24"/>
        </w:rPr>
        <w:t xml:space="preserve">.  </w:t>
      </w:r>
    </w:p>
    <w:p w14:paraId="6B9A7A91" w14:textId="77777777" w:rsidR="00A6054D" w:rsidRPr="006A685B" w:rsidRDefault="00A6054D" w:rsidP="00A6054D">
      <w:pPr>
        <w:pStyle w:val="ListNumber"/>
        <w:numPr>
          <w:ilvl w:val="0"/>
          <w:numId w:val="0"/>
        </w:numPr>
        <w:spacing w:line="360" w:lineRule="auto"/>
        <w:ind w:firstLine="1440"/>
        <w:jc w:val="left"/>
        <w:rPr>
          <w:szCs w:val="24"/>
        </w:rPr>
      </w:pPr>
    </w:p>
    <w:p w14:paraId="205CFC2C" w14:textId="77777777" w:rsidR="00A6054D" w:rsidRPr="006A685B" w:rsidRDefault="00A6054D" w:rsidP="00A6054D">
      <w:pPr>
        <w:pStyle w:val="ListNumber"/>
        <w:numPr>
          <w:ilvl w:val="0"/>
          <w:numId w:val="0"/>
        </w:numPr>
        <w:spacing w:line="360" w:lineRule="auto"/>
        <w:ind w:firstLine="1440"/>
        <w:jc w:val="left"/>
        <w:rPr>
          <w:szCs w:val="24"/>
        </w:rPr>
      </w:pPr>
      <w:r w:rsidRPr="006A685B">
        <w:rPr>
          <w:szCs w:val="24"/>
        </w:rPr>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 xml:space="preserve">).  Since the Supreme Court’s issuance of its </w:t>
      </w:r>
      <w:proofErr w:type="spellStart"/>
      <w:r w:rsidRPr="006A685B">
        <w:rPr>
          <w:i/>
          <w:iCs/>
          <w:szCs w:val="24"/>
        </w:rPr>
        <w:t>Povacz</w:t>
      </w:r>
      <w:proofErr w:type="spellEnd"/>
      <w:r w:rsidRPr="006A685B">
        <w:rPr>
          <w:i/>
          <w:iCs/>
          <w:szCs w:val="24"/>
        </w:rPr>
        <w:t xml:space="preserve"> II</w:t>
      </w:r>
      <w:r w:rsidRPr="006A685B">
        <w:rPr>
          <w:szCs w:val="24"/>
        </w:rPr>
        <w:t xml:space="preserve"> decision, the Commonwealth Court has lifted the stays on the </w:t>
      </w:r>
      <w:r w:rsidRPr="006A685B">
        <w:rPr>
          <w:szCs w:val="24"/>
        </w:rPr>
        <w:lastRenderedPageBreak/>
        <w:t>remaining unconsolidated smart meter appeals and directed the parties to submit briefs, supplemental briefs, and other appropriate filings as warranted.  The Commonwealth Court has ultimately affirmed the Commission in several unpublished and published opinions.</w:t>
      </w:r>
      <w:r w:rsidRPr="006A685B">
        <w:rPr>
          <w:rStyle w:val="FootnoteReference"/>
          <w:szCs w:val="24"/>
        </w:rPr>
        <w:footnoteReference w:id="2"/>
      </w:r>
    </w:p>
    <w:p w14:paraId="2A42E240" w14:textId="77777777" w:rsidR="00A6054D" w:rsidRPr="006A685B" w:rsidRDefault="00A6054D" w:rsidP="00A6054D">
      <w:pPr>
        <w:pStyle w:val="ListNumber"/>
        <w:numPr>
          <w:ilvl w:val="0"/>
          <w:numId w:val="0"/>
        </w:numPr>
        <w:spacing w:line="360" w:lineRule="auto"/>
        <w:ind w:firstLine="1440"/>
        <w:jc w:val="left"/>
        <w:rPr>
          <w:rFonts w:eastAsia="Calibri"/>
          <w:szCs w:val="24"/>
        </w:rPr>
      </w:pPr>
    </w:p>
    <w:p w14:paraId="62EE88EA" w14:textId="77777777" w:rsidR="00A6054D" w:rsidRPr="006A685B" w:rsidRDefault="00A6054D" w:rsidP="00A6054D">
      <w:pPr>
        <w:pStyle w:val="ListNumber"/>
        <w:numPr>
          <w:ilvl w:val="0"/>
          <w:numId w:val="0"/>
        </w:numPr>
        <w:spacing w:line="360" w:lineRule="auto"/>
        <w:ind w:firstLine="1440"/>
        <w:jc w:val="left"/>
        <w:rPr>
          <w:i/>
          <w:iCs/>
          <w:szCs w:val="24"/>
        </w:rPr>
      </w:pPr>
      <w:r w:rsidRPr="006A685B">
        <w:rPr>
          <w:szCs w:val="24"/>
        </w:rPr>
        <w:t xml:space="preserve">In its Opinion in </w:t>
      </w:r>
      <w:proofErr w:type="spellStart"/>
      <w:r w:rsidRPr="006A685B">
        <w:rPr>
          <w:i/>
          <w:iCs/>
          <w:szCs w:val="24"/>
        </w:rPr>
        <w:t>Povacz</w:t>
      </w:r>
      <w:proofErr w:type="spellEnd"/>
      <w:r w:rsidRPr="006A685B">
        <w:rPr>
          <w:i/>
          <w:iCs/>
          <w:szCs w:val="24"/>
        </w:rPr>
        <w:t xml:space="preserve"> II</w:t>
      </w:r>
      <w:r w:rsidRPr="006A685B">
        <w:rPr>
          <w:szCs w:val="24"/>
        </w:rPr>
        <w:t xml:space="preserve">, the Supreme Court affirmed the Commission’s determinations in all respects.  The Supreme Court reversed the Commonwealth Court’s determination that Act 129 does not mandate smart meter installation and that Court’s remand to the Commission for consideration as to whether the installation of a smart meter was unreasonable service under Section 1501 of the Code, 66 Pa.C.S. § 1501.  The Supreme Court did, however, affirm the Commonwealth Court’s conclusion that the “Customers failed to meet their burden of proving, by a preponderance of the evidence, a conclusive causal connection between [radio frequency] emissions from smart meters and adverse human health effects.  </w:t>
      </w:r>
      <w:r w:rsidRPr="006A685B">
        <w:rPr>
          <w:i/>
          <w:iCs/>
          <w:szCs w:val="24"/>
        </w:rPr>
        <w:t xml:space="preserve">Id. </w:t>
      </w:r>
      <w:r w:rsidRPr="006A685B">
        <w:rPr>
          <w:szCs w:val="24"/>
        </w:rPr>
        <w:t xml:space="preserve">at 1014.  The Supreme Court concluded that Act 129 mandates smart meter deployment and requires the system-wide installation of smart meter technology by EDCs. </w:t>
      </w:r>
      <w:r>
        <w:rPr>
          <w:szCs w:val="24"/>
        </w:rPr>
        <w:t xml:space="preserve"> </w:t>
      </w:r>
      <w:r w:rsidRPr="006A685B">
        <w:rPr>
          <w:i/>
          <w:iCs/>
          <w:szCs w:val="24"/>
        </w:rPr>
        <w:t xml:space="preserve">Id. </w:t>
      </w:r>
      <w:r w:rsidRPr="006A685B">
        <w:rPr>
          <w:szCs w:val="24"/>
        </w:rPr>
        <w:t xml:space="preserve">at 992.  The Supreme Court found that Section 2807(f)(1), when read in conjunction with Section 2807(f)(2), provides instructions for furnishing smart meters to all customers.  In short, the Supreme Court found that under Act 129, customers may choose what to do with smart meter technology but have no right to refuse smart meter installation.  </w:t>
      </w:r>
      <w:r w:rsidRPr="006A685B">
        <w:rPr>
          <w:i/>
          <w:iCs/>
          <w:szCs w:val="24"/>
        </w:rPr>
        <w:t xml:space="preserve">Id. </w:t>
      </w:r>
      <w:r w:rsidRPr="006A685B">
        <w:rPr>
          <w:szCs w:val="24"/>
        </w:rPr>
        <w:t xml:space="preserve">at 997.  Accordingly, the Supreme Court reversed the Commonwealth Court, and affirmed the Commission’s interpretation in </w:t>
      </w:r>
      <w:r w:rsidRPr="006A685B">
        <w:rPr>
          <w:i/>
          <w:iCs/>
          <w:szCs w:val="24"/>
        </w:rPr>
        <w:t xml:space="preserve">Maria </w:t>
      </w:r>
      <w:proofErr w:type="spellStart"/>
      <w:r w:rsidRPr="006A685B">
        <w:rPr>
          <w:i/>
          <w:iCs/>
          <w:szCs w:val="24"/>
        </w:rPr>
        <w:t>Povacz</w:t>
      </w:r>
      <w:proofErr w:type="spellEnd"/>
      <w:r w:rsidRPr="006A685B">
        <w:rPr>
          <w:szCs w:val="24"/>
        </w:rPr>
        <w:t xml:space="preserve">, </w:t>
      </w:r>
      <w:r w:rsidRPr="006A685B">
        <w:rPr>
          <w:i/>
          <w:iCs/>
          <w:szCs w:val="24"/>
        </w:rPr>
        <w:t>Laura Sunstein Murphy</w:t>
      </w:r>
      <w:r w:rsidRPr="006A685B">
        <w:rPr>
          <w:szCs w:val="24"/>
        </w:rPr>
        <w:t xml:space="preserve">, and </w:t>
      </w:r>
      <w:r w:rsidRPr="006A685B">
        <w:rPr>
          <w:i/>
          <w:iCs/>
          <w:szCs w:val="24"/>
        </w:rPr>
        <w:t>Cynthia Randall</w:t>
      </w:r>
      <w:r w:rsidRPr="006A685B">
        <w:rPr>
          <w:szCs w:val="24"/>
        </w:rPr>
        <w:t xml:space="preserve"> that Act 129 mandates universal smart meter installation.  </w:t>
      </w:r>
      <w:r w:rsidRPr="006A685B">
        <w:rPr>
          <w:i/>
          <w:iCs/>
          <w:szCs w:val="24"/>
        </w:rPr>
        <w:t>Id.</w:t>
      </w:r>
    </w:p>
    <w:p w14:paraId="740766C6" w14:textId="77777777" w:rsidR="00A6054D" w:rsidRPr="006A685B" w:rsidRDefault="00A6054D" w:rsidP="00A6054D">
      <w:pPr>
        <w:pStyle w:val="ListNumber"/>
        <w:numPr>
          <w:ilvl w:val="0"/>
          <w:numId w:val="0"/>
        </w:numPr>
        <w:spacing w:line="360" w:lineRule="auto"/>
        <w:ind w:firstLine="1440"/>
        <w:jc w:val="left"/>
        <w:rPr>
          <w:i/>
          <w:iCs/>
          <w:szCs w:val="24"/>
        </w:rPr>
      </w:pPr>
    </w:p>
    <w:p w14:paraId="5AFEBE1A" w14:textId="77777777" w:rsidR="00A6054D" w:rsidRPr="006A685B" w:rsidRDefault="00A6054D" w:rsidP="00A6054D">
      <w:pPr>
        <w:pStyle w:val="ListNumber"/>
        <w:numPr>
          <w:ilvl w:val="0"/>
          <w:numId w:val="0"/>
        </w:numPr>
        <w:spacing w:line="360" w:lineRule="auto"/>
        <w:ind w:firstLine="1440"/>
        <w:jc w:val="left"/>
        <w:rPr>
          <w:szCs w:val="24"/>
        </w:rPr>
      </w:pPr>
      <w:r w:rsidRPr="006A685B">
        <w:rPr>
          <w:szCs w:val="24"/>
        </w:rPr>
        <w:t xml:space="preserve">The Supreme Court </w:t>
      </w:r>
      <w:r w:rsidRPr="00790EA0">
        <w:rPr>
          <w:szCs w:val="24"/>
        </w:rPr>
        <w:t xml:space="preserve">noted that while Act 129 does not provide customers with the right to opt-out of smart meter installation at their residence, they may file a complaint with the Commission raising a claim that installation of a smart meter violates Section 1501 of the Code, 66 Pa.C.S. § 1501.  The </w:t>
      </w:r>
      <w:r w:rsidRPr="006A685B">
        <w:rPr>
          <w:szCs w:val="24"/>
        </w:rPr>
        <w:t xml:space="preserve">Supreme Court reiterated that complainants seeking relief from the </w:t>
      </w:r>
      <w:r w:rsidRPr="006A685B">
        <w:rPr>
          <w:szCs w:val="24"/>
        </w:rPr>
        <w:lastRenderedPageBreak/>
        <w:t xml:space="preserve">Commission must satisfy their burden of proof by a preponderance of the evidence.  The Supreme Court explained that inconclusive evidence – evidence that does not lead to a conclusion of a definite result one way or the other – does not meet even the minimal requirements of the preponderance of the evidence standard.  </w:t>
      </w:r>
      <w:r w:rsidRPr="006A685B">
        <w:rPr>
          <w:i/>
          <w:iCs/>
          <w:szCs w:val="24"/>
        </w:rPr>
        <w:t>Id.</w:t>
      </w:r>
      <w:r w:rsidRPr="006A685B">
        <w:rPr>
          <w:szCs w:val="24"/>
        </w:rPr>
        <w:t xml:space="preserve"> at 1005.  The Supreme Court opined that while a customer’s evidence does not need to prove their assertion beyond any doubt, evidence of a mere possibility that harm could result is insufficient to satisfy the preponderance of the evidence standard.  </w:t>
      </w:r>
      <w:r w:rsidRPr="006A685B">
        <w:rPr>
          <w:i/>
          <w:iCs/>
          <w:szCs w:val="24"/>
        </w:rPr>
        <w:t>Id.</w:t>
      </w:r>
      <w:r w:rsidRPr="006A685B">
        <w:rPr>
          <w:szCs w:val="24"/>
        </w:rPr>
        <w:t xml:space="preserve"> at 1008.</w:t>
      </w:r>
    </w:p>
    <w:p w14:paraId="79CFD52A" w14:textId="77777777" w:rsidR="00A6054D" w:rsidRPr="006A685B" w:rsidRDefault="00A6054D" w:rsidP="00A6054D">
      <w:pPr>
        <w:pStyle w:val="ListNumber"/>
        <w:numPr>
          <w:ilvl w:val="0"/>
          <w:numId w:val="0"/>
        </w:numPr>
        <w:spacing w:line="360" w:lineRule="auto"/>
        <w:ind w:firstLine="1440"/>
        <w:jc w:val="left"/>
        <w:rPr>
          <w:i/>
          <w:iCs/>
          <w:szCs w:val="24"/>
        </w:rPr>
      </w:pPr>
    </w:p>
    <w:p w14:paraId="3531B7C6" w14:textId="77777777" w:rsidR="00A6054D" w:rsidRPr="006A685B" w:rsidRDefault="00A6054D" w:rsidP="00A6054D">
      <w:pPr>
        <w:pStyle w:val="ListNumber"/>
        <w:numPr>
          <w:ilvl w:val="0"/>
          <w:numId w:val="0"/>
        </w:numPr>
        <w:spacing w:line="360" w:lineRule="auto"/>
        <w:ind w:firstLine="1440"/>
        <w:jc w:val="left"/>
        <w:rPr>
          <w:szCs w:val="24"/>
        </w:rPr>
      </w:pPr>
      <w:r w:rsidRPr="006A685B">
        <w:rPr>
          <w:szCs w:val="24"/>
        </w:rPr>
        <w:t>The Supreme Court noted that the burden of proof is two-fold for Section 1501 claims involving the safety of smart meters and RF emissions</w:t>
      </w:r>
      <w:r w:rsidRPr="00790EA0">
        <w:rPr>
          <w:szCs w:val="24"/>
        </w:rPr>
        <w:t xml:space="preserve">.  First, a customer must present expert opinion rendered to a reasonable degree of scientific certainty that radio frequency emissions from smart meters cause adverse health effects.  Next, a customer must present expert 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  </w:t>
      </w:r>
      <w:r w:rsidRPr="00790EA0">
        <w:rPr>
          <w:i/>
          <w:iCs/>
          <w:szCs w:val="24"/>
        </w:rPr>
        <w:t>Id.</w:t>
      </w:r>
      <w:r w:rsidRPr="00790EA0">
        <w:rPr>
          <w:szCs w:val="24"/>
        </w:rPr>
        <w:t xml:space="preserve">  Once the parties</w:t>
      </w:r>
      <w:r w:rsidRPr="006A685B">
        <w:rPr>
          <w:szCs w:val="24"/>
        </w:rPr>
        <w:t xml:space="preserve"> have presented their evidence, the onus then falls on the fact finder to weigh the evidence and determine whether it is more likely than not that the smart meter caused the customer harm.  </w:t>
      </w:r>
      <w:r w:rsidRPr="006A685B">
        <w:rPr>
          <w:i/>
          <w:iCs/>
          <w:szCs w:val="24"/>
        </w:rPr>
        <w:t>Id.</w:t>
      </w:r>
      <w:r w:rsidRPr="006A685B">
        <w:rPr>
          <w:szCs w:val="24"/>
        </w:rPr>
        <w:t xml:space="preserve"> at 1006.  The Supreme Court concluded that neither fear nor inconclusive scientific research was sufficient to prove that smart meter technology constitutes unsafe service under Section 1501</w:t>
      </w:r>
      <w:r w:rsidRPr="006A685B">
        <w:rPr>
          <w:i/>
          <w:iCs/>
          <w:szCs w:val="24"/>
        </w:rPr>
        <w:t>.  Id.</w:t>
      </w:r>
      <w:r w:rsidRPr="006A685B">
        <w:rPr>
          <w:szCs w:val="24"/>
        </w:rPr>
        <w:t xml:space="preserve"> at 1005.  The Supreme Court held that if a customer establishes by a preponderance of the evidence, based on the totality of the circumstances, that smart meter service violates Section 1501, they are entitled to an accommodation to the extent allowed by Act 129 and a utility’s tariff.  However, given that Act 129 mandates smart meter deployment, the Supreme Court clarified that such accommodation may not rise to the level of an opt-out from smart meter installation.  </w:t>
      </w:r>
      <w:r w:rsidRPr="006A685B">
        <w:rPr>
          <w:i/>
          <w:iCs/>
          <w:szCs w:val="24"/>
        </w:rPr>
        <w:t>Id.</w:t>
      </w:r>
      <w:r w:rsidRPr="006A685B">
        <w:rPr>
          <w:szCs w:val="24"/>
        </w:rPr>
        <w:t xml:space="preserve"> at 1015.</w:t>
      </w:r>
    </w:p>
    <w:p w14:paraId="4F640929" w14:textId="77777777" w:rsidR="00A6054D" w:rsidRPr="006A685B" w:rsidRDefault="00A6054D" w:rsidP="00A6054D">
      <w:pPr>
        <w:pStyle w:val="ListNumber"/>
        <w:numPr>
          <w:ilvl w:val="0"/>
          <w:numId w:val="0"/>
        </w:numPr>
        <w:spacing w:line="360" w:lineRule="auto"/>
        <w:ind w:firstLine="1440"/>
        <w:jc w:val="left"/>
        <w:rPr>
          <w:szCs w:val="24"/>
        </w:rPr>
      </w:pPr>
    </w:p>
    <w:p w14:paraId="4BC048C1" w14:textId="77777777" w:rsidR="00A6054D" w:rsidRDefault="00A6054D" w:rsidP="00A6054D">
      <w:pPr>
        <w:pStyle w:val="ListNumber"/>
        <w:numPr>
          <w:ilvl w:val="0"/>
          <w:numId w:val="0"/>
        </w:numPr>
        <w:spacing w:line="360" w:lineRule="auto"/>
        <w:ind w:firstLine="1440"/>
        <w:jc w:val="left"/>
        <w:rPr>
          <w:szCs w:val="24"/>
        </w:rPr>
      </w:pPr>
      <w:r w:rsidRPr="006A685B">
        <w:rPr>
          <w:szCs w:val="24"/>
        </w:rPr>
        <w:t xml:space="preserve">Given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implemented by the </w:t>
      </w:r>
      <w:r w:rsidRPr="006A685B">
        <w:rPr>
          <w:i/>
          <w:iCs/>
          <w:szCs w:val="24"/>
        </w:rPr>
        <w:t>November 4, 2020, Stay Order</w:t>
      </w:r>
      <w:r w:rsidRPr="006A685B">
        <w:rPr>
          <w:szCs w:val="24"/>
        </w:rPr>
        <w:t xml:space="preserve"> on November 9, 2023.  The Commission entered an Order at Docket No. M-2009-2092655, explaining that cases pending before the </w:t>
      </w:r>
      <w:r w:rsidRPr="006A685B">
        <w:rPr>
          <w:szCs w:val="24"/>
        </w:rPr>
        <w:lastRenderedPageBreak/>
        <w:t xml:space="preserve">Office of Administrative Law Judge, such as the instant case, would proceed as directed by the assigned presiding officer. </w:t>
      </w:r>
    </w:p>
    <w:p w14:paraId="07A41A81" w14:textId="77777777" w:rsidR="00A6054D" w:rsidRPr="006A685B" w:rsidRDefault="00A6054D" w:rsidP="00A6054D">
      <w:pPr>
        <w:pStyle w:val="ListNumber"/>
        <w:numPr>
          <w:ilvl w:val="0"/>
          <w:numId w:val="0"/>
        </w:numPr>
        <w:spacing w:line="360" w:lineRule="auto"/>
        <w:ind w:firstLine="1440"/>
        <w:jc w:val="left"/>
        <w:rPr>
          <w:i/>
          <w:iCs/>
          <w:szCs w:val="24"/>
        </w:rPr>
      </w:pPr>
    </w:p>
    <w:p w14:paraId="2AB3EC4E" w14:textId="77777777" w:rsidR="00A6054D" w:rsidRDefault="00A6054D" w:rsidP="00A6054D">
      <w:pPr>
        <w:autoSpaceDE w:val="0"/>
        <w:autoSpaceDN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Moving Forward in the Instant Case</w:t>
      </w:r>
    </w:p>
    <w:p w14:paraId="68A43CC8" w14:textId="45A37A02" w:rsidR="00A6054D" w:rsidRPr="006A685B" w:rsidRDefault="00A6054D" w:rsidP="00A6054D">
      <w:pPr>
        <w:autoSpaceDE w:val="0"/>
        <w:autoSpaceDN w:val="0"/>
        <w:spacing w:after="0" w:line="360" w:lineRule="auto"/>
        <w:rPr>
          <w:szCs w:val="24"/>
        </w:rPr>
      </w:pPr>
      <w:r>
        <w:rPr>
          <w:rFonts w:eastAsia="Calibri"/>
          <w:szCs w:val="24"/>
        </w:rPr>
        <w:tab/>
      </w:r>
      <w:r>
        <w:rPr>
          <w:rFonts w:eastAsia="Calibri"/>
          <w:szCs w:val="24"/>
        </w:rPr>
        <w:tab/>
      </w:r>
      <w:r>
        <w:rPr>
          <w:szCs w:val="24"/>
        </w:rPr>
        <w:t xml:space="preserve"> </w:t>
      </w:r>
    </w:p>
    <w:p w14:paraId="7BB03DAA" w14:textId="49243871" w:rsidR="00B76014" w:rsidRDefault="00A6054D" w:rsidP="00A6054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A4BD0">
        <w:rPr>
          <w:rFonts w:ascii="Times New Roman" w:hAnsi="Times New Roman" w:cs="Times New Roman"/>
          <w:sz w:val="24"/>
          <w:szCs w:val="24"/>
        </w:rPr>
        <w:t xml:space="preserve">It is now appropriate to </w:t>
      </w:r>
      <w:r w:rsidR="00F77826" w:rsidRPr="00AA4BD0">
        <w:rPr>
          <w:rFonts w:ascii="Times New Roman" w:hAnsi="Times New Roman" w:cs="Times New Roman"/>
          <w:sz w:val="24"/>
          <w:szCs w:val="24"/>
        </w:rPr>
        <w:t xml:space="preserve">set a deadline for Complainant to submit a response to the </w:t>
      </w:r>
      <w:r w:rsidR="00AA4BD0" w:rsidRPr="00AA4BD0">
        <w:rPr>
          <w:rFonts w:ascii="Times New Roman" w:hAnsi="Times New Roman" w:cs="Times New Roman"/>
          <w:sz w:val="24"/>
          <w:szCs w:val="24"/>
        </w:rPr>
        <w:t>Company’s</w:t>
      </w:r>
      <w:r w:rsidR="00F77826" w:rsidRPr="00AA4BD0">
        <w:rPr>
          <w:rFonts w:ascii="Times New Roman" w:hAnsi="Times New Roman" w:cs="Times New Roman"/>
          <w:sz w:val="24"/>
          <w:szCs w:val="24"/>
        </w:rPr>
        <w:t xml:space="preserve"> </w:t>
      </w:r>
      <w:r w:rsidR="00DE543A" w:rsidRPr="00AA4BD0">
        <w:rPr>
          <w:rFonts w:ascii="Times New Roman" w:hAnsi="Times New Roman" w:cs="Times New Roman"/>
          <w:sz w:val="24"/>
          <w:szCs w:val="24"/>
        </w:rPr>
        <w:t>objections and</w:t>
      </w:r>
      <w:r w:rsidR="00F77826" w:rsidRPr="00AA4BD0">
        <w:rPr>
          <w:rFonts w:ascii="Times New Roman" w:hAnsi="Times New Roman" w:cs="Times New Roman"/>
          <w:sz w:val="24"/>
          <w:szCs w:val="24"/>
        </w:rPr>
        <w:t xml:space="preserve"> set a deadline for </w:t>
      </w:r>
      <w:r w:rsidR="00B76014" w:rsidRPr="00AA4BD0">
        <w:rPr>
          <w:rFonts w:ascii="Times New Roman" w:hAnsi="Times New Roman" w:cs="Times New Roman"/>
          <w:sz w:val="24"/>
          <w:szCs w:val="24"/>
        </w:rPr>
        <w:t>the filing of briefs and any appropriate motions.</w:t>
      </w:r>
      <w:r w:rsidR="00B76014">
        <w:rPr>
          <w:rFonts w:ascii="Times New Roman" w:hAnsi="Times New Roman" w:cs="Times New Roman"/>
          <w:sz w:val="24"/>
          <w:szCs w:val="24"/>
        </w:rPr>
        <w:t xml:space="preserve">  </w:t>
      </w:r>
    </w:p>
    <w:p w14:paraId="6C8A44AB" w14:textId="77777777" w:rsidR="00F77826" w:rsidRDefault="00F77826" w:rsidP="00A6054D">
      <w:pPr>
        <w:spacing w:after="0" w:line="360" w:lineRule="auto"/>
        <w:rPr>
          <w:rFonts w:ascii="Times New Roman" w:hAnsi="Times New Roman" w:cs="Times New Roman"/>
          <w:sz w:val="24"/>
          <w:szCs w:val="24"/>
        </w:rPr>
      </w:pPr>
    </w:p>
    <w:p w14:paraId="47D46B32" w14:textId="3CC1F918" w:rsidR="00A6054D" w:rsidRDefault="00F77826" w:rsidP="00A6054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054D">
        <w:rPr>
          <w:rFonts w:ascii="Times New Roman" w:hAnsi="Times New Roman" w:cs="Times New Roman"/>
          <w:sz w:val="24"/>
          <w:szCs w:val="24"/>
        </w:rPr>
        <w:t xml:space="preserve">THEREFORE, </w:t>
      </w:r>
    </w:p>
    <w:p w14:paraId="3B213C66" w14:textId="77777777" w:rsidR="00A6054D" w:rsidRDefault="00A6054D" w:rsidP="00A6054D">
      <w:pPr>
        <w:spacing w:after="0" w:line="360" w:lineRule="auto"/>
        <w:rPr>
          <w:rFonts w:ascii="Times New Roman" w:hAnsi="Times New Roman" w:cs="Times New Roman"/>
          <w:sz w:val="24"/>
          <w:szCs w:val="24"/>
        </w:rPr>
      </w:pPr>
    </w:p>
    <w:p w14:paraId="0516E9BA" w14:textId="77777777" w:rsidR="00A6054D" w:rsidRDefault="00A6054D" w:rsidP="00A6054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IIT IS </w:t>
      </w:r>
      <w:proofErr w:type="gramStart"/>
      <w:r>
        <w:rPr>
          <w:rFonts w:ascii="Times New Roman" w:hAnsi="Times New Roman" w:cs="Times New Roman"/>
          <w:sz w:val="24"/>
          <w:szCs w:val="24"/>
        </w:rPr>
        <w:t>ORDERED;</w:t>
      </w:r>
      <w:proofErr w:type="gramEnd"/>
    </w:p>
    <w:p w14:paraId="5B1141C9" w14:textId="77777777" w:rsidR="00A6054D" w:rsidRDefault="00A6054D" w:rsidP="00A6054D">
      <w:pPr>
        <w:spacing w:after="0" w:line="360" w:lineRule="auto"/>
        <w:rPr>
          <w:rFonts w:ascii="Times New Roman" w:hAnsi="Times New Roman" w:cs="Times New Roman"/>
          <w:sz w:val="24"/>
          <w:szCs w:val="24"/>
        </w:rPr>
      </w:pPr>
    </w:p>
    <w:p w14:paraId="0DE79021" w14:textId="739CA02E" w:rsidR="00F77826" w:rsidRDefault="00F77826" w:rsidP="00A6054D">
      <w:pPr>
        <w:pStyle w:val="ListParagraph"/>
        <w:numPr>
          <w:ilvl w:val="0"/>
          <w:numId w:val="3"/>
        </w:numPr>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That Eric Konzelman shall submit responses to the Company’s objections to his proposed late-filed exhibits, if any, by December 22, 2023.</w:t>
      </w:r>
    </w:p>
    <w:p w14:paraId="77C9CBB7" w14:textId="77777777" w:rsidR="00F77826" w:rsidRDefault="00F77826" w:rsidP="00F77826">
      <w:pPr>
        <w:pStyle w:val="ListParagraph"/>
        <w:spacing w:after="0" w:line="360" w:lineRule="auto"/>
        <w:rPr>
          <w:rFonts w:ascii="Times New Roman" w:hAnsi="Times New Roman" w:cs="Times New Roman"/>
          <w:sz w:val="24"/>
          <w:szCs w:val="24"/>
        </w:rPr>
      </w:pPr>
    </w:p>
    <w:p w14:paraId="4015A538" w14:textId="4D3ABDB4" w:rsidR="00A6054D" w:rsidRDefault="00A6054D" w:rsidP="00A6054D">
      <w:pPr>
        <w:pStyle w:val="ListParagraph"/>
        <w:numPr>
          <w:ilvl w:val="0"/>
          <w:numId w:val="3"/>
        </w:numPr>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That </w:t>
      </w:r>
      <w:r w:rsidR="00691011">
        <w:rPr>
          <w:rFonts w:ascii="Times New Roman" w:hAnsi="Times New Roman" w:cs="Times New Roman"/>
          <w:sz w:val="24"/>
          <w:szCs w:val="24"/>
        </w:rPr>
        <w:t xml:space="preserve">the Parties shall submit main briefs in this matter, if any, by </w:t>
      </w:r>
      <w:r w:rsidR="00AA4BD0">
        <w:rPr>
          <w:rFonts w:ascii="Times New Roman" w:hAnsi="Times New Roman" w:cs="Times New Roman"/>
          <w:sz w:val="24"/>
          <w:szCs w:val="24"/>
        </w:rPr>
        <w:t>January 26, 2024</w:t>
      </w:r>
      <w:r>
        <w:rPr>
          <w:rFonts w:ascii="Times New Roman" w:hAnsi="Times New Roman" w:cs="Times New Roman"/>
          <w:sz w:val="24"/>
          <w:szCs w:val="24"/>
        </w:rPr>
        <w:t xml:space="preserve">.   </w:t>
      </w:r>
    </w:p>
    <w:p w14:paraId="19703016" w14:textId="77777777" w:rsidR="00A6054D" w:rsidRDefault="00A6054D" w:rsidP="00A6054D">
      <w:pPr>
        <w:pStyle w:val="ListParagraph"/>
        <w:spacing w:after="0" w:line="360" w:lineRule="auto"/>
        <w:rPr>
          <w:rFonts w:ascii="Times New Roman" w:hAnsi="Times New Roman" w:cs="Times New Roman"/>
          <w:sz w:val="24"/>
          <w:szCs w:val="24"/>
        </w:rPr>
      </w:pPr>
    </w:p>
    <w:p w14:paraId="7FF16E31" w14:textId="3926AFA6" w:rsidR="00A6054D" w:rsidRDefault="00A6054D" w:rsidP="00A6054D">
      <w:pPr>
        <w:pStyle w:val="ListParagraph"/>
        <w:numPr>
          <w:ilvl w:val="0"/>
          <w:numId w:val="3"/>
        </w:numPr>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That </w:t>
      </w:r>
      <w:r w:rsidR="00691011">
        <w:rPr>
          <w:rFonts w:ascii="Times New Roman" w:hAnsi="Times New Roman" w:cs="Times New Roman"/>
          <w:sz w:val="24"/>
          <w:szCs w:val="24"/>
        </w:rPr>
        <w:t xml:space="preserve">no </w:t>
      </w:r>
      <w:proofErr w:type="gramStart"/>
      <w:r w:rsidR="00691011">
        <w:rPr>
          <w:rFonts w:ascii="Times New Roman" w:hAnsi="Times New Roman" w:cs="Times New Roman"/>
          <w:sz w:val="24"/>
          <w:szCs w:val="24"/>
        </w:rPr>
        <w:t>reply</w:t>
      </w:r>
      <w:proofErr w:type="gramEnd"/>
      <w:r w:rsidR="00691011">
        <w:rPr>
          <w:rFonts w:ascii="Times New Roman" w:hAnsi="Times New Roman" w:cs="Times New Roman"/>
          <w:sz w:val="24"/>
          <w:szCs w:val="24"/>
        </w:rPr>
        <w:t xml:space="preserve"> briefs shall be permitted without express written permission from the presiding officer, which may only be given upon a written request from a Party. </w:t>
      </w:r>
    </w:p>
    <w:p w14:paraId="781A9292" w14:textId="77777777" w:rsidR="00691011" w:rsidRPr="00691011" w:rsidRDefault="00691011" w:rsidP="00691011">
      <w:pPr>
        <w:pStyle w:val="ListParagraph"/>
        <w:rPr>
          <w:rFonts w:ascii="Times New Roman" w:hAnsi="Times New Roman" w:cs="Times New Roman"/>
          <w:sz w:val="24"/>
          <w:szCs w:val="24"/>
        </w:rPr>
      </w:pPr>
    </w:p>
    <w:p w14:paraId="5B1963E8" w14:textId="3864BB39" w:rsidR="00691011" w:rsidRDefault="00691011" w:rsidP="00A6054D">
      <w:pPr>
        <w:pStyle w:val="ListParagraph"/>
        <w:numPr>
          <w:ilvl w:val="0"/>
          <w:numId w:val="3"/>
        </w:numPr>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That any appropriate motion may be filed by</w:t>
      </w:r>
      <w:r w:rsidR="00AA4BD0">
        <w:rPr>
          <w:rFonts w:ascii="Times New Roman" w:hAnsi="Times New Roman" w:cs="Times New Roman"/>
          <w:sz w:val="24"/>
          <w:szCs w:val="24"/>
        </w:rPr>
        <w:t xml:space="preserve"> January 26, 2024</w:t>
      </w:r>
      <w:r>
        <w:rPr>
          <w:rFonts w:ascii="Times New Roman" w:hAnsi="Times New Roman" w:cs="Times New Roman"/>
          <w:sz w:val="24"/>
          <w:szCs w:val="24"/>
        </w:rPr>
        <w:t xml:space="preserve">. </w:t>
      </w:r>
    </w:p>
    <w:p w14:paraId="0AF42932" w14:textId="77777777" w:rsidR="00691011" w:rsidRPr="00691011" w:rsidRDefault="00691011" w:rsidP="00691011">
      <w:pPr>
        <w:pStyle w:val="ListParagraph"/>
        <w:rPr>
          <w:rFonts w:ascii="Times New Roman" w:hAnsi="Times New Roman" w:cs="Times New Roman"/>
          <w:sz w:val="24"/>
          <w:szCs w:val="24"/>
        </w:rPr>
      </w:pPr>
    </w:p>
    <w:p w14:paraId="1385B16C" w14:textId="7A18C2B0" w:rsidR="00691011" w:rsidRDefault="00922E94" w:rsidP="00A6054D">
      <w:pPr>
        <w:pStyle w:val="ListParagraph"/>
        <w:numPr>
          <w:ilvl w:val="0"/>
          <w:numId w:val="3"/>
        </w:numPr>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That any responses to motions filed pursuant to Ordering Paragraph </w:t>
      </w:r>
      <w:r w:rsidR="00AA4BD0">
        <w:rPr>
          <w:rFonts w:ascii="Times New Roman" w:hAnsi="Times New Roman" w:cs="Times New Roman"/>
          <w:sz w:val="24"/>
          <w:szCs w:val="24"/>
        </w:rPr>
        <w:t>4</w:t>
      </w:r>
      <w:r>
        <w:rPr>
          <w:rFonts w:ascii="Times New Roman" w:hAnsi="Times New Roman" w:cs="Times New Roman"/>
          <w:sz w:val="24"/>
          <w:szCs w:val="24"/>
        </w:rPr>
        <w:t xml:space="preserve"> shall be filed by </w:t>
      </w:r>
      <w:r w:rsidR="00AA4BD0">
        <w:rPr>
          <w:rFonts w:ascii="Times New Roman" w:hAnsi="Times New Roman" w:cs="Times New Roman"/>
          <w:sz w:val="24"/>
          <w:szCs w:val="24"/>
        </w:rPr>
        <w:t>February 7, 2024</w:t>
      </w:r>
      <w:r>
        <w:rPr>
          <w:rFonts w:ascii="Times New Roman" w:hAnsi="Times New Roman" w:cs="Times New Roman"/>
          <w:sz w:val="24"/>
          <w:szCs w:val="24"/>
        </w:rPr>
        <w:t>.</w:t>
      </w:r>
    </w:p>
    <w:p w14:paraId="02827D66" w14:textId="77777777" w:rsidR="00965139" w:rsidRPr="00965139" w:rsidRDefault="00965139" w:rsidP="00965139">
      <w:pPr>
        <w:pStyle w:val="ListParagraph"/>
        <w:rPr>
          <w:rFonts w:ascii="Times New Roman" w:hAnsi="Times New Roman" w:cs="Times New Roman"/>
          <w:sz w:val="24"/>
          <w:szCs w:val="24"/>
        </w:rPr>
      </w:pPr>
    </w:p>
    <w:p w14:paraId="7A67FDDA" w14:textId="44A6C2A2" w:rsidR="00965139" w:rsidRDefault="00965139" w:rsidP="00A6054D">
      <w:pPr>
        <w:pStyle w:val="ListParagraph"/>
        <w:numPr>
          <w:ilvl w:val="0"/>
          <w:numId w:val="3"/>
        </w:numPr>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That no extensions to any of the deadlines in the above Ordering Paragraphs shall be granted unless a Party requests so in writing and establishes good cause.</w:t>
      </w:r>
    </w:p>
    <w:p w14:paraId="3BDCCFE9" w14:textId="77777777" w:rsidR="00A6054D" w:rsidRPr="006A685B" w:rsidRDefault="00A6054D" w:rsidP="00A6054D">
      <w:pPr>
        <w:spacing w:after="0" w:line="360" w:lineRule="auto"/>
        <w:ind w:firstLine="1440"/>
        <w:rPr>
          <w:rFonts w:ascii="Times New Roman" w:eastAsia="Times New Roman" w:hAnsi="Times New Roman" w:cs="Times New Roman"/>
          <w:sz w:val="24"/>
          <w:szCs w:val="24"/>
        </w:rPr>
      </w:pPr>
    </w:p>
    <w:p w14:paraId="2120F8FC" w14:textId="194B979D" w:rsidR="00A6054D" w:rsidRPr="006A685B" w:rsidRDefault="00A6054D" w:rsidP="00A6054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6A685B">
        <w:rPr>
          <w:rFonts w:ascii="Times New Roman" w:eastAsia="Times New Roman" w:hAnsi="Times New Roman" w:cs="Times New Roman"/>
          <w:sz w:val="24"/>
          <w:szCs w:val="24"/>
        </w:rPr>
        <w:t xml:space="preserve">Date:  </w:t>
      </w:r>
      <w:r w:rsidR="00AA4BD0">
        <w:rPr>
          <w:rFonts w:ascii="Times New Roman" w:eastAsia="Times New Roman" w:hAnsi="Times New Roman" w:cs="Times New Roman"/>
          <w:sz w:val="24"/>
          <w:szCs w:val="24"/>
          <w:u w:val="single"/>
        </w:rPr>
        <w:t>December 11</w:t>
      </w:r>
      <w:r w:rsidRPr="006A685B">
        <w:rPr>
          <w:rFonts w:ascii="Times New Roman" w:eastAsia="Times New Roman" w:hAnsi="Times New Roman" w:cs="Times New Roman"/>
          <w:sz w:val="24"/>
          <w:szCs w:val="24"/>
          <w:u w:val="single"/>
        </w:rPr>
        <w:t>, 2023</w:t>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u w:val="single"/>
        </w:rPr>
        <w:tab/>
      </w:r>
      <w:r w:rsidRPr="006A685B">
        <w:rPr>
          <w:rFonts w:ascii="Times New Roman" w:eastAsia="Times New Roman" w:hAnsi="Times New Roman" w:cs="Times New Roman"/>
          <w:sz w:val="24"/>
          <w:szCs w:val="24"/>
          <w:u w:val="single"/>
        </w:rPr>
        <w:tab/>
        <w:t>/s/</w:t>
      </w:r>
      <w:r w:rsidRPr="006A685B">
        <w:rPr>
          <w:rFonts w:ascii="Times New Roman" w:eastAsia="Times New Roman" w:hAnsi="Times New Roman" w:cs="Times New Roman"/>
          <w:sz w:val="24"/>
          <w:szCs w:val="24"/>
          <w:u w:val="single"/>
        </w:rPr>
        <w:tab/>
      </w:r>
      <w:r w:rsidRPr="006A685B">
        <w:rPr>
          <w:rFonts w:ascii="Times New Roman" w:eastAsia="Times New Roman" w:hAnsi="Times New Roman" w:cs="Times New Roman"/>
          <w:sz w:val="24"/>
          <w:szCs w:val="24"/>
          <w:u w:val="single"/>
        </w:rPr>
        <w:tab/>
      </w:r>
      <w:r w:rsidRPr="006A685B">
        <w:rPr>
          <w:rFonts w:ascii="Times New Roman" w:eastAsia="Times New Roman" w:hAnsi="Times New Roman" w:cs="Times New Roman"/>
          <w:sz w:val="24"/>
          <w:szCs w:val="24"/>
          <w:u w:val="single"/>
        </w:rPr>
        <w:tab/>
      </w:r>
    </w:p>
    <w:p w14:paraId="4A0DD0C2" w14:textId="7AABE147" w:rsidR="00A6054D" w:rsidRDefault="00A6054D" w:rsidP="00AA4BD0">
      <w:pPr>
        <w:spacing w:after="0" w:line="240" w:lineRule="auto"/>
        <w:rPr>
          <w:rFonts w:ascii="Times New Roman" w:eastAsia="Times New Roman" w:hAnsi="Times New Roman" w:cs="Times New Roman"/>
          <w:sz w:val="24"/>
          <w:szCs w:val="24"/>
        </w:rPr>
      </w:pP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00AA4BD0">
        <w:rPr>
          <w:rFonts w:ascii="Times New Roman" w:eastAsia="Times New Roman" w:hAnsi="Times New Roman" w:cs="Times New Roman"/>
          <w:sz w:val="24"/>
          <w:szCs w:val="24"/>
        </w:rPr>
        <w:tab/>
      </w:r>
      <w:r w:rsidR="00AA4BD0">
        <w:rPr>
          <w:rFonts w:ascii="Times New Roman" w:eastAsia="Times New Roman" w:hAnsi="Times New Roman" w:cs="Times New Roman"/>
          <w:sz w:val="24"/>
          <w:szCs w:val="24"/>
        </w:rPr>
        <w:tab/>
        <w:t>Emily I. DeVoe</w:t>
      </w:r>
    </w:p>
    <w:p w14:paraId="093CF1B3" w14:textId="6F7F191C" w:rsidR="00AA4BD0" w:rsidRDefault="00AA4BD0" w:rsidP="00AA4BD0">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DD24A9D" w14:textId="77777777" w:rsidR="00A6054D" w:rsidRDefault="00A6054D" w:rsidP="0097510B">
      <w:pPr>
        <w:spacing w:after="0" w:line="360" w:lineRule="auto"/>
        <w:rPr>
          <w:rFonts w:ascii="Times New Roman" w:eastAsia="Calibri" w:hAnsi="Times New Roman" w:cs="Times New Roman"/>
          <w:sz w:val="24"/>
          <w:szCs w:val="24"/>
        </w:rPr>
      </w:pPr>
    </w:p>
    <w:p w14:paraId="06B9B435" w14:textId="77777777" w:rsidR="00DE543A" w:rsidRPr="00EE6BB5" w:rsidRDefault="00DE543A" w:rsidP="00DE543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C-2019-3009218 - ERIC KONZELMANN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ERIC KONZELMANN</w:t>
      </w:r>
      <w:r>
        <w:rPr>
          <w:rFonts w:ascii="Microsoft Sans Serif" w:eastAsia="Microsoft Sans Serif" w:hAnsi="Microsoft Sans Serif" w:cs="Microsoft Sans Serif"/>
          <w:sz w:val="24"/>
        </w:rPr>
        <w:cr/>
        <w:t>357 BLACK MATT ROAD</w:t>
      </w:r>
      <w:r>
        <w:rPr>
          <w:rFonts w:ascii="Microsoft Sans Serif" w:eastAsia="Microsoft Sans Serif" w:hAnsi="Microsoft Sans Serif" w:cs="Microsoft Sans Serif"/>
          <w:sz w:val="24"/>
        </w:rPr>
        <w:cr/>
        <w:t>DOUGLASSVILLE PA  19518</w:t>
      </w:r>
      <w:r>
        <w:rPr>
          <w:rFonts w:ascii="Microsoft Sans Serif" w:eastAsia="Microsoft Sans Serif" w:hAnsi="Microsoft Sans Serif" w:cs="Microsoft Sans Serif"/>
          <w:sz w:val="24"/>
        </w:rPr>
        <w:cr/>
      </w:r>
      <w:r w:rsidRPr="002E3450">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2E3450">
        <w:rPr>
          <w:rFonts w:ascii="Microsoft Sans Serif" w:eastAsia="Microsoft Sans Serif" w:hAnsi="Microsoft Sans Serif" w:cs="Microsoft Sans Serif"/>
          <w:b/>
          <w:bCs/>
          <w:sz w:val="24"/>
        </w:rPr>
        <w:t>327</w:t>
      </w:r>
      <w:r>
        <w:rPr>
          <w:rFonts w:ascii="Microsoft Sans Serif" w:eastAsia="Microsoft Sans Serif" w:hAnsi="Microsoft Sans Serif" w:cs="Microsoft Sans Serif"/>
          <w:b/>
          <w:bCs/>
          <w:sz w:val="24"/>
        </w:rPr>
        <w:t>.</w:t>
      </w:r>
      <w:r w:rsidRPr="002E3450">
        <w:rPr>
          <w:rFonts w:ascii="Microsoft Sans Serif" w:eastAsia="Microsoft Sans Serif" w:hAnsi="Microsoft Sans Serif" w:cs="Microsoft Sans Serif"/>
          <w:b/>
          <w:bCs/>
          <w:sz w:val="24"/>
        </w:rPr>
        <w:t>1578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ekonzelmann@hotmail.com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E3450">
        <w:rPr>
          <w:rFonts w:ascii="Microsoft Sans Serif" w:eastAsia="Microsoft Sans Serif" w:hAnsi="Microsoft Sans Serif" w:cs="Microsoft Sans Serif"/>
          <w:b/>
          <w:bCs/>
          <w:sz w:val="24"/>
        </w:rPr>
        <w:t>610.921.6203</w:t>
      </w:r>
      <w:r w:rsidRPr="002E3450">
        <w:rPr>
          <w:rFonts w:ascii="Microsoft Sans Serif" w:eastAsia="Microsoft Sans Serif" w:hAnsi="Microsoft Sans Serif" w:cs="Microsoft Sans Serif"/>
          <w:b/>
          <w:bCs/>
          <w:sz w:val="24"/>
        </w:rPr>
        <w:br/>
        <w:t>610.921.6658</w:t>
      </w:r>
      <w:r>
        <w:rPr>
          <w:rFonts w:ascii="Microsoft Sans Serif" w:eastAsia="Microsoft Sans Serif" w:hAnsi="Microsoft Sans Serif" w:cs="Microsoft Sans Serif"/>
          <w:b/>
          <w:bCs/>
          <w:sz w:val="24"/>
        </w:rPr>
        <w:br/>
      </w:r>
      <w:r w:rsidRPr="002E3450">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sidRPr="00181595">
        <w:rPr>
          <w:rFonts w:ascii="Arial" w:hAnsi="Arial" w:cs="Arial"/>
        </w:rPr>
        <w:t xml:space="preserve"> </w:t>
      </w:r>
      <w:r w:rsidRPr="00EE6BB5">
        <w:rPr>
          <w:rFonts w:ascii="Arial" w:hAnsi="Arial" w:cs="Arial"/>
        </w:rPr>
        <w:t>tgiesler@firstenergycorp.com</w:t>
      </w:r>
    </w:p>
    <w:p w14:paraId="1D43086F" w14:textId="77777777" w:rsidR="00DE543A" w:rsidRPr="00181595" w:rsidRDefault="00DE543A" w:rsidP="00DE543A">
      <w:pPr>
        <w:spacing w:after="0" w:line="240" w:lineRule="auto"/>
        <w:rPr>
          <w:rFonts w:ascii="Microsoft Sans Serif" w:eastAsia="Microsoft Sans Serif" w:hAnsi="Microsoft Sans Serif" w:cs="Microsoft Sans Serif"/>
          <w:sz w:val="24"/>
        </w:rPr>
      </w:pPr>
      <w:r w:rsidRPr="00181595">
        <w:rPr>
          <w:rFonts w:ascii="Arial" w:hAnsi="Arial" w:cs="Arial"/>
        </w:rPr>
        <w:t>llepkoski@firstenergycorp.com</w:t>
      </w:r>
    </w:p>
    <w:p w14:paraId="2FA74020" w14:textId="77777777" w:rsidR="00DE543A" w:rsidRDefault="00DE543A" w:rsidP="00DE543A">
      <w:r>
        <w:rPr>
          <w:rFonts w:ascii="Microsoft Sans Serif" w:eastAsia="Microsoft Sans Serif" w:hAnsi="Microsoft Sans Serif" w:cs="Microsoft Sans Serif"/>
          <w:sz w:val="24"/>
        </w:rPr>
        <w:cr/>
      </w:r>
    </w:p>
    <w:p w14:paraId="12EEA71C" w14:textId="0A76DF4A" w:rsidR="005A673D" w:rsidRDefault="005A673D" w:rsidP="00E14FB1">
      <w:pPr>
        <w:widowControl w:val="0"/>
        <w:tabs>
          <w:tab w:val="left" w:pos="1570"/>
          <w:tab w:val="left" w:pos="2290"/>
        </w:tabs>
        <w:autoSpaceDE w:val="0"/>
        <w:autoSpaceDN w:val="0"/>
        <w:adjustRightInd w:val="0"/>
        <w:spacing w:after="0" w:line="240" w:lineRule="auto"/>
      </w:pPr>
    </w:p>
    <w:sectPr w:rsidR="005A67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5335" w14:textId="77777777" w:rsidR="00D82D2F" w:rsidRDefault="00D82D2F" w:rsidP="00CD1332">
      <w:pPr>
        <w:spacing w:after="0" w:line="240" w:lineRule="auto"/>
      </w:pPr>
      <w:r>
        <w:separator/>
      </w:r>
    </w:p>
  </w:endnote>
  <w:endnote w:type="continuationSeparator" w:id="0">
    <w:p w14:paraId="2AE7D5E3" w14:textId="77777777" w:rsidR="00D82D2F" w:rsidRDefault="00D82D2F"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680497"/>
      <w:docPartObj>
        <w:docPartGallery w:val="Page Numbers (Bottom of Page)"/>
        <w:docPartUnique/>
      </w:docPartObj>
    </w:sdtPr>
    <w:sdtEndPr>
      <w:rPr>
        <w:rFonts w:ascii="Times New Roman" w:hAnsi="Times New Roman" w:cs="Times New Roman"/>
        <w:noProof/>
        <w:sz w:val="20"/>
        <w:szCs w:val="20"/>
      </w:rPr>
    </w:sdtEndPr>
    <w:sdtContent>
      <w:p w14:paraId="4E0B34A6" w14:textId="77777777" w:rsidR="00740939" w:rsidRPr="005A673D" w:rsidRDefault="00740939">
        <w:pPr>
          <w:pStyle w:val="Footer"/>
          <w:jc w:val="center"/>
          <w:rPr>
            <w:rFonts w:ascii="Times New Roman" w:hAnsi="Times New Roman" w:cs="Times New Roman"/>
            <w:sz w:val="20"/>
            <w:szCs w:val="20"/>
          </w:rPr>
        </w:pPr>
        <w:r w:rsidRPr="005A673D">
          <w:rPr>
            <w:rFonts w:ascii="Times New Roman" w:hAnsi="Times New Roman" w:cs="Times New Roman"/>
            <w:sz w:val="20"/>
            <w:szCs w:val="20"/>
          </w:rPr>
          <w:fldChar w:fldCharType="begin"/>
        </w:r>
        <w:r w:rsidRPr="005A673D">
          <w:rPr>
            <w:rFonts w:ascii="Times New Roman" w:hAnsi="Times New Roman" w:cs="Times New Roman"/>
            <w:sz w:val="20"/>
            <w:szCs w:val="20"/>
          </w:rPr>
          <w:instrText xml:space="preserve"> PAGE   \* MERGEFORMAT </w:instrText>
        </w:r>
        <w:r w:rsidRPr="005A673D">
          <w:rPr>
            <w:rFonts w:ascii="Times New Roman" w:hAnsi="Times New Roman" w:cs="Times New Roman"/>
            <w:sz w:val="20"/>
            <w:szCs w:val="20"/>
          </w:rPr>
          <w:fldChar w:fldCharType="separate"/>
        </w:r>
        <w:r w:rsidRPr="005A673D">
          <w:rPr>
            <w:rFonts w:ascii="Times New Roman" w:hAnsi="Times New Roman" w:cs="Times New Roman"/>
            <w:noProof/>
            <w:sz w:val="20"/>
            <w:szCs w:val="20"/>
          </w:rPr>
          <w:t>2</w:t>
        </w:r>
        <w:r w:rsidRPr="005A673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8426" w14:textId="77777777" w:rsidR="00D82D2F" w:rsidRDefault="00D82D2F" w:rsidP="00CD1332">
      <w:pPr>
        <w:spacing w:after="0" w:line="240" w:lineRule="auto"/>
      </w:pPr>
      <w:r>
        <w:separator/>
      </w:r>
    </w:p>
  </w:footnote>
  <w:footnote w:type="continuationSeparator" w:id="0">
    <w:p w14:paraId="45BFA224" w14:textId="77777777" w:rsidR="00D82D2F" w:rsidRDefault="00D82D2F"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 w:id="2">
    <w:p w14:paraId="5E71AF0C" w14:textId="77777777" w:rsidR="00A6054D" w:rsidRPr="00BC3F85" w:rsidRDefault="00A6054D" w:rsidP="00A6054D">
      <w:pPr>
        <w:pStyle w:val="FootnoteText"/>
        <w:rPr>
          <w:rFonts w:ascii="Times New Roman" w:hAnsi="Times New Roman" w:cs="Times New Roman"/>
        </w:rPr>
      </w:pPr>
      <w:r w:rsidRPr="00BC3F85">
        <w:rPr>
          <w:rFonts w:ascii="Times New Roman" w:hAnsi="Times New Roman" w:cs="Times New Roman"/>
        </w:rPr>
        <w:tab/>
      </w:r>
      <w:r w:rsidRPr="00BC3F85">
        <w:rPr>
          <w:rStyle w:val="FootnoteReference"/>
          <w:rFonts w:ascii="Times New Roman" w:hAnsi="Times New Roman" w:cs="Times New Roman"/>
        </w:rPr>
        <w:footnoteRef/>
      </w:r>
      <w:r w:rsidRPr="00BC3F85">
        <w:rPr>
          <w:rFonts w:ascii="Times New Roman" w:hAnsi="Times New Roman" w:cs="Times New Roman"/>
        </w:rPr>
        <w:t xml:space="preserve"> </w:t>
      </w:r>
      <w:r w:rsidRPr="00BC3F85">
        <w:rPr>
          <w:rFonts w:ascii="Times New Roman" w:hAnsi="Times New Roman" w:cs="Times New Roman"/>
        </w:rPr>
        <w:tab/>
      </w:r>
      <w:r w:rsidRPr="00BC3F85">
        <w:rPr>
          <w:rFonts w:ascii="Times New Roman" w:hAnsi="Times New Roman" w:cs="Times New Roman"/>
          <w:i/>
          <w:iCs/>
        </w:rPr>
        <w:t>See Hoffman-Lorah v. Pa. Pub. Util. Comm’n</w:t>
      </w:r>
      <w:r w:rsidRPr="00BC3F85">
        <w:rPr>
          <w:rFonts w:ascii="Times New Roman" w:hAnsi="Times New Roman" w:cs="Times New Roman"/>
        </w:rPr>
        <w:t xml:space="preserve">, 2023 Pa. </w:t>
      </w:r>
      <w:proofErr w:type="spellStart"/>
      <w:r w:rsidRPr="00BC3F85">
        <w:rPr>
          <w:rFonts w:ascii="Times New Roman" w:hAnsi="Times New Roman" w:cs="Times New Roman"/>
        </w:rPr>
        <w:t>Cmwlth</w:t>
      </w:r>
      <w:proofErr w:type="spellEnd"/>
      <w:r w:rsidRPr="00BC3F85">
        <w:rPr>
          <w:rFonts w:ascii="Times New Roman" w:hAnsi="Times New Roman" w:cs="Times New Roman"/>
        </w:rPr>
        <w:t xml:space="preserve">. </w:t>
      </w:r>
      <w:proofErr w:type="spellStart"/>
      <w:r w:rsidRPr="00BC3F85">
        <w:rPr>
          <w:rFonts w:ascii="Times New Roman" w:hAnsi="Times New Roman" w:cs="Times New Roman"/>
        </w:rPr>
        <w:t>Unpub</w:t>
      </w:r>
      <w:proofErr w:type="spellEnd"/>
      <w:r w:rsidRPr="00BC3F85">
        <w:rPr>
          <w:rFonts w:ascii="Times New Roman" w:hAnsi="Times New Roman" w:cs="Times New Roman"/>
        </w:rPr>
        <w:t xml:space="preserve">. LEXIS 325, 2023, WL 4144399; </w:t>
      </w:r>
      <w:r w:rsidRPr="00BC3F85">
        <w:rPr>
          <w:rFonts w:ascii="Times New Roman" w:hAnsi="Times New Roman" w:cs="Times New Roman"/>
          <w:i/>
          <w:iCs/>
        </w:rPr>
        <w:t>Branagh v. Pa. Pub. Util. Comm’n</w:t>
      </w:r>
      <w:r w:rsidRPr="00BC3F85">
        <w:rPr>
          <w:rFonts w:ascii="Times New Roman" w:hAnsi="Times New Roman" w:cs="Times New Roman"/>
        </w:rPr>
        <w:t xml:space="preserve">, 2023 Pa. </w:t>
      </w:r>
      <w:proofErr w:type="spellStart"/>
      <w:r w:rsidRPr="00BC3F85">
        <w:rPr>
          <w:rFonts w:ascii="Times New Roman" w:hAnsi="Times New Roman" w:cs="Times New Roman"/>
        </w:rPr>
        <w:t>Cmwlth</w:t>
      </w:r>
      <w:proofErr w:type="spellEnd"/>
      <w:r w:rsidRPr="00BC3F85">
        <w:rPr>
          <w:rFonts w:ascii="Times New Roman" w:hAnsi="Times New Roman" w:cs="Times New Roman"/>
        </w:rPr>
        <w:t xml:space="preserve">. </w:t>
      </w:r>
      <w:proofErr w:type="spellStart"/>
      <w:r w:rsidRPr="00BC3F85">
        <w:rPr>
          <w:rFonts w:ascii="Times New Roman" w:hAnsi="Times New Roman" w:cs="Times New Roman"/>
        </w:rPr>
        <w:t>Unpub</w:t>
      </w:r>
      <w:proofErr w:type="spellEnd"/>
      <w:r w:rsidRPr="00BC3F85">
        <w:rPr>
          <w:rFonts w:ascii="Times New Roman" w:hAnsi="Times New Roman" w:cs="Times New Roman"/>
        </w:rPr>
        <w:t xml:space="preserve">. LEXIS 352, 2023, WL 4363414; </w:t>
      </w:r>
      <w:r w:rsidRPr="00BC3F85">
        <w:rPr>
          <w:rFonts w:ascii="Times New Roman" w:hAnsi="Times New Roman" w:cs="Times New Roman"/>
          <w:i/>
          <w:iCs/>
        </w:rPr>
        <w:t>Hess v. Pa. Pub. Util. Comm’n</w:t>
      </w:r>
      <w:r w:rsidRPr="00BC3F85">
        <w:rPr>
          <w:rFonts w:ascii="Times New Roman" w:hAnsi="Times New Roman" w:cs="Times New Roman"/>
        </w:rPr>
        <w:t xml:space="preserve">, 2023 Pa. </w:t>
      </w:r>
      <w:proofErr w:type="spellStart"/>
      <w:r w:rsidRPr="00BC3F85">
        <w:rPr>
          <w:rFonts w:ascii="Times New Roman" w:hAnsi="Times New Roman" w:cs="Times New Roman"/>
        </w:rPr>
        <w:t>Cmwlth</w:t>
      </w:r>
      <w:proofErr w:type="spellEnd"/>
      <w:r w:rsidRPr="00BC3F85">
        <w:rPr>
          <w:rFonts w:ascii="Times New Roman" w:hAnsi="Times New Roman" w:cs="Times New Roman"/>
        </w:rPr>
        <w:t xml:space="preserve">. </w:t>
      </w:r>
      <w:proofErr w:type="spellStart"/>
      <w:r w:rsidRPr="00BC3F85">
        <w:rPr>
          <w:rFonts w:ascii="Times New Roman" w:hAnsi="Times New Roman" w:cs="Times New Roman"/>
        </w:rPr>
        <w:t>Unpub</w:t>
      </w:r>
      <w:proofErr w:type="spellEnd"/>
      <w:r w:rsidRPr="00BC3F85">
        <w:rPr>
          <w:rFonts w:ascii="Times New Roman" w:hAnsi="Times New Roman" w:cs="Times New Roman"/>
        </w:rPr>
        <w:t xml:space="preserve">. LEXIS 371, 2023, WL 4540460; </w:t>
      </w:r>
      <w:r w:rsidRPr="00BC3F85">
        <w:rPr>
          <w:rFonts w:ascii="Times New Roman" w:hAnsi="Times New Roman" w:cs="Times New Roman"/>
          <w:i/>
          <w:iCs/>
        </w:rPr>
        <w:t>Mary Paul v. Pa. Pub. Util. Comm’n,</w:t>
      </w:r>
      <w:r w:rsidRPr="00BC3F85">
        <w:rPr>
          <w:rFonts w:ascii="Times New Roman" w:hAnsi="Times New Roman" w:cs="Times New Roman"/>
        </w:rPr>
        <w:t xml:space="preserve"> No. 460 C.D. 2019, 2023 Pa. </w:t>
      </w:r>
      <w:proofErr w:type="spellStart"/>
      <w:r w:rsidRPr="00BC3F85">
        <w:rPr>
          <w:rFonts w:ascii="Times New Roman" w:hAnsi="Times New Roman" w:cs="Times New Roman"/>
        </w:rPr>
        <w:t>Cmwlth</w:t>
      </w:r>
      <w:proofErr w:type="spellEnd"/>
      <w:r w:rsidRPr="00BC3F85">
        <w:rPr>
          <w:rFonts w:ascii="Times New Roman" w:hAnsi="Times New Roman" w:cs="Times New Roman"/>
        </w:rPr>
        <w:t xml:space="preserve">. LEXIS 113; </w:t>
      </w:r>
      <w:r w:rsidRPr="00BC3F85">
        <w:rPr>
          <w:rFonts w:ascii="Times New Roman" w:hAnsi="Times New Roman" w:cs="Times New Roman"/>
          <w:i/>
          <w:iCs/>
        </w:rPr>
        <w:t>Schmukler v. Pa. Pub. Util. Comm’n</w:t>
      </w:r>
      <w:r w:rsidRPr="00BC3F85">
        <w:rPr>
          <w:rFonts w:ascii="Times New Roman" w:hAnsi="Times New Roman" w:cs="Times New Roman"/>
        </w:rPr>
        <w:t xml:space="preserve">, No. 1102 C.D. 2019, 2023 Pa. </w:t>
      </w:r>
      <w:proofErr w:type="spellStart"/>
      <w:r w:rsidRPr="00BC3F85">
        <w:rPr>
          <w:rFonts w:ascii="Times New Roman" w:hAnsi="Times New Roman" w:cs="Times New Roman"/>
        </w:rPr>
        <w:t>Commw</w:t>
      </w:r>
      <w:proofErr w:type="spellEnd"/>
      <w:r w:rsidRPr="00BC3F85">
        <w:rPr>
          <w:rFonts w:ascii="Times New Roman" w:hAnsi="Times New Roman" w:cs="Times New Roman"/>
        </w:rPr>
        <w:t xml:space="preserve">. LEXIS 136. The following smart meter appeals were dismissed by the Commonwealth Court on procedural grounds: </w:t>
      </w:r>
      <w:r w:rsidRPr="00BC3F85">
        <w:rPr>
          <w:rFonts w:ascii="Times New Roman" w:hAnsi="Times New Roman" w:cs="Times New Roman"/>
          <w:i/>
          <w:iCs/>
        </w:rPr>
        <w:t>Sunstein v. Pa. Pub. Util. Comm’n</w:t>
      </w:r>
      <w:r w:rsidRPr="00BC3F85">
        <w:rPr>
          <w:rFonts w:ascii="Times New Roman" w:hAnsi="Times New Roman" w:cs="Times New Roman"/>
        </w:rPr>
        <w:t xml:space="preserve">, No. 1581 C.D. 2019; </w:t>
      </w:r>
      <w:r w:rsidRPr="00BC3F85">
        <w:rPr>
          <w:rFonts w:ascii="Times New Roman" w:hAnsi="Times New Roman" w:cs="Times New Roman"/>
          <w:i/>
          <w:iCs/>
        </w:rPr>
        <w:t>Ulmer v. Pa. Pub. Util. Comm’n</w:t>
      </w:r>
      <w:r w:rsidRPr="00BC3F85">
        <w:rPr>
          <w:rFonts w:ascii="Times New Roman" w:hAnsi="Times New Roman" w:cs="Times New Roman"/>
        </w:rPr>
        <w:t xml:space="preserve">, No. 967 C.D. 2020; and </w:t>
      </w:r>
      <w:r w:rsidRPr="00BC3F85">
        <w:rPr>
          <w:rFonts w:ascii="Times New Roman" w:hAnsi="Times New Roman" w:cs="Times New Roman"/>
          <w:i/>
          <w:iCs/>
        </w:rPr>
        <w:t>Lucey v. Pa. Pub. Util. Comm’n</w:t>
      </w:r>
      <w:r w:rsidRPr="00BC3F85">
        <w:rPr>
          <w:rFonts w:ascii="Times New Roman" w:hAnsi="Times New Roman" w:cs="Times New Roman"/>
        </w:rPr>
        <w:t>, No. 1212 C.D.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3FD63BC2"/>
    <w:multiLevelType w:val="hybridMultilevel"/>
    <w:tmpl w:val="3FAC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826967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597563">
    <w:abstractNumId w:val="0"/>
  </w:num>
  <w:num w:numId="3" w16cid:durableId="77760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31D20"/>
    <w:rsid w:val="00066801"/>
    <w:rsid w:val="000E46F5"/>
    <w:rsid w:val="001167D1"/>
    <w:rsid w:val="00125CF2"/>
    <w:rsid w:val="001460A5"/>
    <w:rsid w:val="001F5E61"/>
    <w:rsid w:val="002015C7"/>
    <w:rsid w:val="002231BA"/>
    <w:rsid w:val="00231305"/>
    <w:rsid w:val="00236F0C"/>
    <w:rsid w:val="00282537"/>
    <w:rsid w:val="002829C7"/>
    <w:rsid w:val="002E67DF"/>
    <w:rsid w:val="00302AE1"/>
    <w:rsid w:val="00327979"/>
    <w:rsid w:val="00343D43"/>
    <w:rsid w:val="0035372D"/>
    <w:rsid w:val="00361FFF"/>
    <w:rsid w:val="00373772"/>
    <w:rsid w:val="003B5EE7"/>
    <w:rsid w:val="003B7BC6"/>
    <w:rsid w:val="003D391F"/>
    <w:rsid w:val="003E513E"/>
    <w:rsid w:val="00401404"/>
    <w:rsid w:val="00410296"/>
    <w:rsid w:val="0044421F"/>
    <w:rsid w:val="004541F9"/>
    <w:rsid w:val="00487526"/>
    <w:rsid w:val="004A3729"/>
    <w:rsid w:val="004A7227"/>
    <w:rsid w:val="004E0090"/>
    <w:rsid w:val="0050357B"/>
    <w:rsid w:val="00514F75"/>
    <w:rsid w:val="00516076"/>
    <w:rsid w:val="005255AD"/>
    <w:rsid w:val="005416B6"/>
    <w:rsid w:val="005A673D"/>
    <w:rsid w:val="005B157D"/>
    <w:rsid w:val="005B6334"/>
    <w:rsid w:val="005D41CF"/>
    <w:rsid w:val="005D41D3"/>
    <w:rsid w:val="00604226"/>
    <w:rsid w:val="00614E80"/>
    <w:rsid w:val="00626EBD"/>
    <w:rsid w:val="00684C5A"/>
    <w:rsid w:val="00691011"/>
    <w:rsid w:val="0069564B"/>
    <w:rsid w:val="00696F74"/>
    <w:rsid w:val="006A7F04"/>
    <w:rsid w:val="006D3143"/>
    <w:rsid w:val="00724B57"/>
    <w:rsid w:val="0073009B"/>
    <w:rsid w:val="00740939"/>
    <w:rsid w:val="00760D91"/>
    <w:rsid w:val="007678BC"/>
    <w:rsid w:val="00786FDE"/>
    <w:rsid w:val="007A1DC7"/>
    <w:rsid w:val="007B5C79"/>
    <w:rsid w:val="007E2826"/>
    <w:rsid w:val="007F035A"/>
    <w:rsid w:val="00825932"/>
    <w:rsid w:val="008308D1"/>
    <w:rsid w:val="0086497E"/>
    <w:rsid w:val="00872BE8"/>
    <w:rsid w:val="008764C5"/>
    <w:rsid w:val="00877ABB"/>
    <w:rsid w:val="008B1F31"/>
    <w:rsid w:val="00905BDF"/>
    <w:rsid w:val="00907E85"/>
    <w:rsid w:val="009143F5"/>
    <w:rsid w:val="00922E94"/>
    <w:rsid w:val="009403D9"/>
    <w:rsid w:val="00947A59"/>
    <w:rsid w:val="0095374E"/>
    <w:rsid w:val="00965139"/>
    <w:rsid w:val="0097510B"/>
    <w:rsid w:val="009B01C3"/>
    <w:rsid w:val="009B577A"/>
    <w:rsid w:val="009C4B5F"/>
    <w:rsid w:val="009F2F1C"/>
    <w:rsid w:val="00A21239"/>
    <w:rsid w:val="00A6054D"/>
    <w:rsid w:val="00AA4BD0"/>
    <w:rsid w:val="00AD769B"/>
    <w:rsid w:val="00B055DA"/>
    <w:rsid w:val="00B344B0"/>
    <w:rsid w:val="00B35442"/>
    <w:rsid w:val="00B76014"/>
    <w:rsid w:val="00BC4FBE"/>
    <w:rsid w:val="00CC6AE7"/>
    <w:rsid w:val="00CD1332"/>
    <w:rsid w:val="00CF607A"/>
    <w:rsid w:val="00CF79E6"/>
    <w:rsid w:val="00D4074C"/>
    <w:rsid w:val="00D47C02"/>
    <w:rsid w:val="00D75690"/>
    <w:rsid w:val="00D75DA5"/>
    <w:rsid w:val="00D82D2F"/>
    <w:rsid w:val="00D83462"/>
    <w:rsid w:val="00D90C13"/>
    <w:rsid w:val="00D910DB"/>
    <w:rsid w:val="00D95A6C"/>
    <w:rsid w:val="00DA5DBF"/>
    <w:rsid w:val="00DB40BA"/>
    <w:rsid w:val="00DB6ECC"/>
    <w:rsid w:val="00DD66AF"/>
    <w:rsid w:val="00DE543A"/>
    <w:rsid w:val="00E14FB1"/>
    <w:rsid w:val="00E514D2"/>
    <w:rsid w:val="00E70C9B"/>
    <w:rsid w:val="00EC64B0"/>
    <w:rsid w:val="00ED11FE"/>
    <w:rsid w:val="00ED4F5E"/>
    <w:rsid w:val="00ED63A9"/>
    <w:rsid w:val="00F43B94"/>
    <w:rsid w:val="00F470B8"/>
    <w:rsid w:val="00F54012"/>
    <w:rsid w:val="00F77826"/>
    <w:rsid w:val="00F927DF"/>
    <w:rsid w:val="00F94F6B"/>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rsid w:val="00CD1332"/>
    <w:rPr>
      <w:sz w:val="20"/>
      <w:szCs w:val="20"/>
    </w:rPr>
  </w:style>
  <w:style w:type="character" w:styleId="FootnoteReference">
    <w:name w:val="footnote reference"/>
    <w:aliases w:val="o,fr"/>
    <w:uiPriority w:val="99"/>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 w:type="paragraph" w:styleId="ListNumber">
    <w:name w:val="List Number"/>
    <w:basedOn w:val="Normal"/>
    <w:uiPriority w:val="99"/>
    <w:unhideWhenUsed/>
    <w:rsid w:val="00A6054D"/>
    <w:pPr>
      <w:numPr>
        <w:numId w:val="2"/>
      </w:numPr>
      <w:spacing w:after="0" w:line="480" w:lineRule="auto"/>
      <w:contextualSpacing/>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A60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0F1A4-5439-47F4-B85D-9ABD75C2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2311</Words>
  <Characters>13179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Foster, Laythan</cp:lastModifiedBy>
  <cp:revision>2</cp:revision>
  <cp:lastPrinted>2019-04-25T18:59:00Z</cp:lastPrinted>
  <dcterms:created xsi:type="dcterms:W3CDTF">2023-12-11T13:48:00Z</dcterms:created>
  <dcterms:modified xsi:type="dcterms:W3CDTF">2023-12-11T13:48:00Z</dcterms:modified>
</cp:coreProperties>
</file>