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place">
        <w:smartTag w:uri="urn:schemas-microsoft-com:office:smarttags" w:element="Stat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43201965"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 xml:space="preserve">Michael </w:t>
      </w:r>
      <w:r w:rsidR="00EA0B47">
        <w:rPr>
          <w:rFonts w:ascii="Times New Roman" w:eastAsia="Calibri" w:hAnsi="Times New Roman" w:cs="Times New Roman"/>
          <w:sz w:val="24"/>
          <w:szCs w:val="24"/>
        </w:rPr>
        <w:t xml:space="preserve">T. </w:t>
      </w:r>
      <w:r w:rsidRPr="00F923A1">
        <w:rPr>
          <w:rFonts w:ascii="Times New Roman" w:eastAsia="Calibri" w:hAnsi="Times New Roman" w:cs="Times New Roman"/>
          <w:sz w:val="24"/>
          <w:szCs w:val="24"/>
        </w:rPr>
        <w:t>Jennings</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p>
    <w:p w14:paraId="1D9A1997"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3BD47ED6"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t>v.</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C-2018-3006031</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6212AE6F"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West Penn Power Company</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01BAB83D" w14:textId="77777777" w:rsidR="00F923A1" w:rsidRPr="00F923A1" w:rsidRDefault="00F923A1" w:rsidP="00F923A1">
      <w:pPr>
        <w:spacing w:after="0" w:line="240" w:lineRule="auto"/>
        <w:jc w:val="center"/>
        <w:rPr>
          <w:rFonts w:ascii="Times New Roman" w:hAnsi="Times New Roman"/>
          <w:b/>
          <w:sz w:val="24"/>
        </w:rPr>
      </w:pPr>
    </w:p>
    <w:p w14:paraId="733A9C74" w14:textId="77777777" w:rsidR="00F923A1" w:rsidRPr="00F923A1" w:rsidRDefault="00F923A1" w:rsidP="00F923A1">
      <w:pPr>
        <w:spacing w:after="0" w:line="240" w:lineRule="auto"/>
        <w:jc w:val="center"/>
        <w:rPr>
          <w:rFonts w:ascii="Times New Roman" w:hAnsi="Times New Roman"/>
          <w:b/>
          <w:sz w:val="24"/>
        </w:rPr>
      </w:pPr>
    </w:p>
    <w:p w14:paraId="2A90F300" w14:textId="77777777" w:rsidR="00F923A1" w:rsidRPr="00F923A1" w:rsidRDefault="00F923A1" w:rsidP="00F923A1">
      <w:pPr>
        <w:spacing w:after="0" w:line="240" w:lineRule="auto"/>
        <w:jc w:val="center"/>
        <w:rPr>
          <w:rFonts w:ascii="Times New Roman" w:hAnsi="Times New Roman"/>
          <w:b/>
          <w:sz w:val="24"/>
        </w:rPr>
      </w:pPr>
    </w:p>
    <w:p w14:paraId="67DE9A46" w14:textId="7729CD3E" w:rsidR="00F923A1" w:rsidRDefault="00FA1C2D" w:rsidP="00F923A1">
      <w:pPr>
        <w:tabs>
          <w:tab w:val="center" w:pos="4680"/>
        </w:tabs>
        <w:suppressAutoHyphens/>
        <w:spacing w:after="0" w:line="240" w:lineRule="auto"/>
        <w:jc w:val="center"/>
        <w:rPr>
          <w:rFonts w:ascii="Times New Roman" w:hAnsi="Times New Roman" w:cs="Times New Roman"/>
          <w:b/>
          <w:bCs/>
          <w:spacing w:val="-3"/>
          <w:sz w:val="24"/>
          <w:szCs w:val="24"/>
        </w:rPr>
      </w:pPr>
      <w:r w:rsidRPr="00DC6465">
        <w:rPr>
          <w:rFonts w:ascii="Times New Roman" w:hAnsi="Times New Roman" w:cs="Times New Roman"/>
          <w:b/>
          <w:bCs/>
          <w:spacing w:val="-3"/>
          <w:sz w:val="24"/>
          <w:szCs w:val="24"/>
        </w:rPr>
        <w:t>ORDER</w:t>
      </w:r>
    </w:p>
    <w:p w14:paraId="379A9C19" w14:textId="71FEC774" w:rsidR="00F923A1" w:rsidRDefault="001003C3"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POST EVIDENTIARY HEARING CONFERENCE</w:t>
      </w:r>
    </w:p>
    <w:p w14:paraId="3861C6B4" w14:textId="77777777" w:rsidR="00FA1C2D" w:rsidRPr="001003C3" w:rsidRDefault="00FA1C2D" w:rsidP="00A66F7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10403533"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Pr>
          <w:rFonts w:ascii="Times New Roman" w:hAnsi="Times New Roman" w:cs="Times New Roman"/>
          <w:bCs/>
          <w:sz w:val="24"/>
          <w:szCs w:val="24"/>
        </w:rPr>
        <w:t>schedules a post evidentiary hearing conference</w:t>
      </w:r>
      <w:r w:rsidR="004678A5">
        <w:rPr>
          <w:rFonts w:ascii="Times New Roman" w:hAnsi="Times New Roman" w:cs="Times New Roman"/>
          <w:bCs/>
          <w:sz w:val="24"/>
          <w:szCs w:val="24"/>
        </w:rPr>
        <w:t xml:space="preserve"> for the </w:t>
      </w:r>
      <w:r w:rsidR="0031523F">
        <w:rPr>
          <w:rFonts w:ascii="Times New Roman" w:hAnsi="Times New Roman" w:cs="Times New Roman"/>
          <w:bCs/>
          <w:sz w:val="24"/>
          <w:szCs w:val="24"/>
        </w:rPr>
        <w:t>purposes</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7477F7CE" w14:textId="77777777" w:rsidR="001003C3" w:rsidRDefault="001003C3" w:rsidP="001003C3">
      <w:pPr>
        <w:spacing w:after="0" w:line="360" w:lineRule="auto"/>
        <w:rPr>
          <w:rFonts w:ascii="Times New Roman" w:hAnsi="Times New Roman" w:cs="Times New Roman"/>
          <w:bCs/>
          <w:sz w:val="24"/>
          <w:szCs w:val="24"/>
        </w:rPr>
      </w:pPr>
    </w:p>
    <w:p w14:paraId="1808EF2C" w14:textId="4577B450" w:rsidR="00C77197" w:rsidRPr="00F04A4A" w:rsidRDefault="00F04A4A" w:rsidP="00C77197">
      <w:pPr>
        <w:spacing w:after="0"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 xml:space="preserve">Abbreviated Procedural </w:t>
      </w:r>
      <w:r w:rsidR="00C77197"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73407806" w14:textId="417B1C8C" w:rsidR="002F1EC4"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w:t>
      </w:r>
      <w:r w:rsidR="00EC1A68">
        <w:rPr>
          <w:rFonts w:ascii="Times New Roman" w:eastAsia="Times New Roman" w:hAnsi="Times New Roman" w:cs="Times New Roman"/>
          <w:sz w:val="24"/>
          <w:szCs w:val="24"/>
        </w:rPr>
        <w:t xml:space="preserve">brief </w:t>
      </w:r>
      <w:r>
        <w:rPr>
          <w:rFonts w:ascii="Times New Roman" w:eastAsia="Times New Roman" w:hAnsi="Times New Roman" w:cs="Times New Roman"/>
          <w:sz w:val="24"/>
          <w:szCs w:val="24"/>
        </w:rPr>
        <w:t xml:space="preserve">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November 15, 2018, Mr. Michael T. Jennings </w:t>
      </w:r>
      <w:r w:rsidR="00EC1A68">
        <w:rPr>
          <w:rFonts w:ascii="Times New Roman" w:eastAsia="Times New Roman" w:hAnsi="Times New Roman" w:cs="Times New Roman"/>
          <w:sz w:val="24"/>
          <w:szCs w:val="24"/>
        </w:rPr>
        <w:t xml:space="preserve">(Complainant) </w:t>
      </w:r>
      <w:r w:rsidR="004678A5">
        <w:rPr>
          <w:rFonts w:ascii="Times New Roman" w:eastAsia="Times New Roman" w:hAnsi="Times New Roman" w:cs="Times New Roman"/>
          <w:sz w:val="24"/>
          <w:szCs w:val="24"/>
        </w:rPr>
        <w:t xml:space="preserve">filed a </w:t>
      </w:r>
      <w:r w:rsidR="002F1EC4">
        <w:rPr>
          <w:rFonts w:ascii="Times New Roman" w:eastAsia="Times New Roman" w:hAnsi="Times New Roman" w:cs="Times New Roman"/>
          <w:sz w:val="24"/>
          <w:szCs w:val="24"/>
        </w:rPr>
        <w:t>F</w:t>
      </w:r>
      <w:r w:rsidR="004678A5">
        <w:rPr>
          <w:rFonts w:ascii="Times New Roman" w:eastAsia="Times New Roman" w:hAnsi="Times New Roman" w:cs="Times New Roman"/>
          <w:sz w:val="24"/>
          <w:szCs w:val="24"/>
        </w:rPr>
        <w:t xml:space="preserve">ormal </w:t>
      </w:r>
      <w:r w:rsidR="002F1EC4">
        <w:rPr>
          <w:rFonts w:ascii="Times New Roman" w:eastAsia="Times New Roman" w:hAnsi="Times New Roman" w:cs="Times New Roman"/>
          <w:sz w:val="24"/>
          <w:szCs w:val="24"/>
        </w:rPr>
        <w:t>C</w:t>
      </w:r>
      <w:r w:rsidR="004678A5">
        <w:rPr>
          <w:rFonts w:ascii="Times New Roman" w:eastAsia="Times New Roman" w:hAnsi="Times New Roman" w:cs="Times New Roman"/>
          <w:sz w:val="24"/>
          <w:szCs w:val="24"/>
        </w:rPr>
        <w:t xml:space="preserve">omplaint </w:t>
      </w:r>
      <w:r w:rsidR="002F1EC4">
        <w:rPr>
          <w:rFonts w:ascii="Times New Roman" w:eastAsia="Times New Roman" w:hAnsi="Times New Roman" w:cs="Times New Roman"/>
          <w:sz w:val="24"/>
          <w:szCs w:val="24"/>
        </w:rPr>
        <w:t xml:space="preserve">(Complaint) </w:t>
      </w:r>
      <w:r w:rsidR="004678A5">
        <w:rPr>
          <w:rFonts w:ascii="Times New Roman" w:eastAsia="Times New Roman" w:hAnsi="Times New Roman" w:cs="Times New Roman"/>
          <w:sz w:val="24"/>
          <w:szCs w:val="24"/>
        </w:rPr>
        <w:t xml:space="preserve">against </w:t>
      </w:r>
      <w:r w:rsidR="00EC1A68">
        <w:rPr>
          <w:rFonts w:ascii="Times New Roman" w:eastAsia="Times New Roman" w:hAnsi="Times New Roman" w:cs="Times New Roman"/>
          <w:sz w:val="24"/>
          <w:szCs w:val="24"/>
        </w:rPr>
        <w:t xml:space="preserve">West Penn Power Company (Respondent) objecting to the installation of a smart meter </w:t>
      </w:r>
      <w:r w:rsidR="00915777">
        <w:rPr>
          <w:rFonts w:ascii="Times New Roman" w:eastAsia="Times New Roman" w:hAnsi="Times New Roman" w:cs="Times New Roman"/>
          <w:sz w:val="24"/>
          <w:szCs w:val="24"/>
        </w:rPr>
        <w:t>on</w:t>
      </w:r>
      <w:r w:rsidR="00EC1A68">
        <w:rPr>
          <w:rFonts w:ascii="Times New Roman" w:eastAsia="Times New Roman" w:hAnsi="Times New Roman" w:cs="Times New Roman"/>
          <w:sz w:val="24"/>
          <w:szCs w:val="24"/>
        </w:rPr>
        <w:t xml:space="preserve"> his </w:t>
      </w:r>
      <w:r w:rsidR="000B539D">
        <w:rPr>
          <w:rFonts w:ascii="Times New Roman" w:eastAsia="Times New Roman" w:hAnsi="Times New Roman" w:cs="Times New Roman"/>
          <w:sz w:val="24"/>
          <w:szCs w:val="24"/>
        </w:rPr>
        <w:t>property</w:t>
      </w:r>
      <w:r w:rsidR="00EC1A68">
        <w:rPr>
          <w:rFonts w:ascii="Times New Roman" w:eastAsia="Times New Roman" w:hAnsi="Times New Roman" w:cs="Times New Roman"/>
          <w:sz w:val="24"/>
          <w:szCs w:val="24"/>
        </w:rPr>
        <w:t xml:space="preserve">.  Mr. Jennings alleged, </w:t>
      </w:r>
      <w:r w:rsidR="00EC1A68" w:rsidRPr="00EC1A68">
        <w:rPr>
          <w:rFonts w:ascii="Times New Roman" w:eastAsia="Times New Roman" w:hAnsi="Times New Roman" w:cs="Times New Roman"/>
          <w:i/>
          <w:iCs/>
          <w:sz w:val="24"/>
          <w:szCs w:val="24"/>
        </w:rPr>
        <w:t>inter alia</w:t>
      </w:r>
      <w:r w:rsidR="00EC1A68">
        <w:rPr>
          <w:rFonts w:ascii="Times New Roman" w:eastAsia="Times New Roman" w:hAnsi="Times New Roman" w:cs="Times New Roman"/>
          <w:sz w:val="24"/>
          <w:szCs w:val="24"/>
        </w:rPr>
        <w:t xml:space="preserve">, that </w:t>
      </w:r>
      <w:r w:rsidR="002F1EC4">
        <w:rPr>
          <w:rFonts w:ascii="Times New Roman" w:eastAsia="Times New Roman" w:hAnsi="Times New Roman" w:cs="Times New Roman"/>
          <w:sz w:val="24"/>
          <w:szCs w:val="24"/>
        </w:rPr>
        <w:t xml:space="preserve">for various reasons </w:t>
      </w:r>
      <w:r w:rsidR="00EC1A68">
        <w:rPr>
          <w:rFonts w:ascii="Times New Roman" w:eastAsia="Times New Roman" w:hAnsi="Times New Roman" w:cs="Times New Roman"/>
          <w:sz w:val="24"/>
          <w:szCs w:val="24"/>
        </w:rPr>
        <w:t>the installation of a smart meter would be unsafe for him and his family.</w:t>
      </w:r>
      <w:r w:rsidR="002F1EC4">
        <w:rPr>
          <w:rFonts w:ascii="Times New Roman" w:eastAsia="Times New Roman" w:hAnsi="Times New Roman" w:cs="Times New Roman"/>
          <w:sz w:val="24"/>
          <w:szCs w:val="24"/>
        </w:rPr>
        <w:t xml:space="preserve"> </w:t>
      </w:r>
      <w:r w:rsidR="00EA0B47">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On December 5, 2018, Respondent filed an Answer and New Matter in which it denied the material allegations of the </w:t>
      </w:r>
      <w:r w:rsidR="00672D7B">
        <w:rPr>
          <w:rFonts w:ascii="Times New Roman" w:eastAsia="Times New Roman" w:hAnsi="Times New Roman" w:cs="Times New Roman"/>
          <w:sz w:val="24"/>
          <w:szCs w:val="24"/>
        </w:rPr>
        <w:t>Complaint and</w:t>
      </w:r>
      <w:r w:rsidR="002F1EC4">
        <w:rPr>
          <w:rFonts w:ascii="Times New Roman" w:eastAsia="Times New Roman" w:hAnsi="Times New Roman" w:cs="Times New Roman"/>
          <w:sz w:val="24"/>
          <w:szCs w:val="24"/>
        </w:rPr>
        <w:t xml:space="preserve"> requested that the Complaint be dismissed.   </w:t>
      </w:r>
      <w:r w:rsidR="00E00A1B">
        <w:rPr>
          <w:rFonts w:ascii="Times New Roman" w:eastAsia="Times New Roman" w:hAnsi="Times New Roman" w:cs="Times New Roman"/>
          <w:sz w:val="24"/>
          <w:szCs w:val="24"/>
        </w:rPr>
        <w:t xml:space="preserve">The Commission assigned </w:t>
      </w:r>
      <w:r w:rsidR="002F1EC4">
        <w:rPr>
          <w:rFonts w:ascii="Times New Roman" w:eastAsia="Times New Roman" w:hAnsi="Times New Roman" w:cs="Times New Roman"/>
          <w:sz w:val="24"/>
          <w:szCs w:val="24"/>
        </w:rPr>
        <w:t xml:space="preserve">ALJ Jeffrey A. Watson to preside over this matter. </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390A8D60" w14:textId="64DE751D" w:rsidR="002F1EC4" w:rsidRDefault="002F1EC4" w:rsidP="002F1EC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Thereafter, the record reveals a lengthy procedural history, including several prehearing conferences, several revised litigation schedules, the filings of various motions by </w:t>
      </w:r>
    </w:p>
    <w:p w14:paraId="4AE84641" w14:textId="3DCA3555" w:rsidR="002F1EC4" w:rsidRDefault="002F1EC4" w:rsidP="002F1EC4">
      <w:pPr>
        <w:pStyle w:val="FootnoteText"/>
        <w:spacing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both parties, </w:t>
      </w:r>
      <w:r>
        <w:rPr>
          <w:rFonts w:ascii="Times New Roman" w:eastAsia="Times New Roman" w:hAnsi="Times New Roman" w:cs="Times New Roman"/>
          <w:sz w:val="24"/>
          <w:szCs w:val="24"/>
        </w:rPr>
        <w:t xml:space="preserve">including </w:t>
      </w:r>
      <w:r w:rsidR="009E5BFC">
        <w:rPr>
          <w:rFonts w:ascii="Times New Roman" w:eastAsia="Times New Roman" w:hAnsi="Times New Roman" w:cs="Times New Roman"/>
          <w:sz w:val="24"/>
          <w:szCs w:val="24"/>
        </w:rPr>
        <w:t xml:space="preserve">several raising </w:t>
      </w:r>
      <w:r w:rsidR="00672D7B">
        <w:rPr>
          <w:rFonts w:ascii="Times New Roman" w:eastAsia="Times New Roman" w:hAnsi="Times New Roman" w:cs="Times New Roman"/>
          <w:sz w:val="24"/>
          <w:szCs w:val="24"/>
        </w:rPr>
        <w:t xml:space="preserve">various </w:t>
      </w:r>
      <w:r w:rsidRPr="002F1EC4">
        <w:rPr>
          <w:rFonts w:ascii="Times New Roman" w:eastAsia="Times New Roman" w:hAnsi="Times New Roman" w:cs="Times New Roman"/>
          <w:sz w:val="24"/>
          <w:szCs w:val="24"/>
        </w:rPr>
        <w:t xml:space="preserve">discovery </w:t>
      </w:r>
      <w:r w:rsidR="00EA0B47">
        <w:rPr>
          <w:rFonts w:ascii="Times New Roman" w:eastAsia="Times New Roman" w:hAnsi="Times New Roman" w:cs="Times New Roman"/>
          <w:sz w:val="24"/>
          <w:szCs w:val="24"/>
        </w:rPr>
        <w:t xml:space="preserve">related </w:t>
      </w:r>
      <w:r w:rsidRPr="002F1EC4">
        <w:rPr>
          <w:rFonts w:ascii="Times New Roman" w:eastAsia="Times New Roman" w:hAnsi="Times New Roman" w:cs="Times New Roman"/>
          <w:sz w:val="24"/>
          <w:szCs w:val="24"/>
        </w:rPr>
        <w:t xml:space="preserve">issues.  </w:t>
      </w:r>
      <w:r>
        <w:rPr>
          <w:rFonts w:ascii="Times New Roman" w:hAnsi="Times New Roman" w:cs="Times New Roman"/>
          <w:sz w:val="24"/>
          <w:szCs w:val="24"/>
        </w:rPr>
        <w:t xml:space="preserve"> </w:t>
      </w:r>
    </w:p>
    <w:p w14:paraId="00A84F27" w14:textId="3EB6374D" w:rsidR="002F1EC4" w:rsidRDefault="0031523F" w:rsidP="002F1EC4">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lastRenderedPageBreak/>
        <w:t>O</w:t>
      </w:r>
      <w:r w:rsidR="002F1EC4">
        <w:rPr>
          <w:rFonts w:ascii="Times New Roman" w:hAnsi="Times New Roman" w:cs="Times New Roman"/>
          <w:sz w:val="24"/>
          <w:szCs w:val="24"/>
        </w:rPr>
        <w:t xml:space="preserve">n July </w:t>
      </w:r>
      <w:r w:rsidR="00E00A1B">
        <w:rPr>
          <w:rFonts w:ascii="Times New Roman" w:hAnsi="Times New Roman" w:cs="Times New Roman"/>
          <w:sz w:val="24"/>
          <w:szCs w:val="24"/>
        </w:rPr>
        <w:t>23-</w:t>
      </w:r>
      <w:r w:rsidR="002F1EC4">
        <w:rPr>
          <w:rFonts w:ascii="Times New Roman" w:hAnsi="Times New Roman" w:cs="Times New Roman"/>
          <w:sz w:val="24"/>
          <w:szCs w:val="24"/>
        </w:rPr>
        <w:t xml:space="preserve">24, 2020, </w:t>
      </w:r>
      <w:r w:rsidR="002F1EC4" w:rsidRPr="002F1EC4">
        <w:rPr>
          <w:rFonts w:ascii="Times New Roman" w:hAnsi="Times New Roman" w:cs="Times New Roman"/>
          <w:sz w:val="24"/>
          <w:szCs w:val="24"/>
        </w:rPr>
        <w:t xml:space="preserve">an evidentiary hearing </w:t>
      </w:r>
      <w:r w:rsidR="002F1EC4">
        <w:rPr>
          <w:rFonts w:ascii="Times New Roman" w:eastAsia="Times New Roman" w:hAnsi="Times New Roman" w:cs="Times New Roman"/>
          <w:sz w:val="24"/>
          <w:szCs w:val="24"/>
        </w:rPr>
        <w:t>was held</w:t>
      </w:r>
      <w:r w:rsidR="002F1EC4" w:rsidRPr="00DC6465">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before ALJ Watson</w:t>
      </w:r>
      <w:r w:rsidR="00E00A1B">
        <w:rPr>
          <w:rFonts w:ascii="Times New Roman" w:eastAsia="Times New Roman" w:hAnsi="Times New Roman" w:cs="Times New Roman"/>
          <w:sz w:val="24"/>
          <w:szCs w:val="24"/>
        </w:rPr>
        <w:t xml:space="preserve"> during which several exhibits were admitted.  On September 3, 2020, </w:t>
      </w:r>
      <w:r w:rsidR="000B539D">
        <w:rPr>
          <w:rFonts w:ascii="Times New Roman" w:eastAsia="Times New Roman" w:hAnsi="Times New Roman" w:cs="Times New Roman"/>
          <w:sz w:val="24"/>
          <w:szCs w:val="24"/>
        </w:rPr>
        <w:t>a</w:t>
      </w:r>
      <w:r w:rsidR="00E00A1B">
        <w:rPr>
          <w:rFonts w:ascii="Times New Roman" w:eastAsia="Times New Roman" w:hAnsi="Times New Roman" w:cs="Times New Roman"/>
          <w:sz w:val="24"/>
          <w:szCs w:val="24"/>
        </w:rPr>
        <w:t xml:space="preserve"> </w:t>
      </w:r>
      <w:r w:rsidR="00672D7B">
        <w:rPr>
          <w:rFonts w:ascii="Times New Roman" w:eastAsia="Times New Roman" w:hAnsi="Times New Roman" w:cs="Times New Roman"/>
          <w:sz w:val="24"/>
          <w:szCs w:val="24"/>
        </w:rPr>
        <w:t xml:space="preserve">369-page hearing transcript was filed with the Commission. </w:t>
      </w:r>
    </w:p>
    <w:p w14:paraId="1C52C03E" w14:textId="77777777" w:rsidR="00672D7B" w:rsidRDefault="00672D7B" w:rsidP="002F1EC4">
      <w:pPr>
        <w:spacing w:after="0" w:line="360" w:lineRule="auto"/>
        <w:ind w:firstLine="1440"/>
        <w:rPr>
          <w:rFonts w:ascii="Times New Roman" w:eastAsia="Times New Roman" w:hAnsi="Times New Roman" w:cs="Times New Roman"/>
          <w:sz w:val="24"/>
          <w:szCs w:val="24"/>
        </w:rPr>
      </w:pPr>
    </w:p>
    <w:p w14:paraId="4BF2469A" w14:textId="10462BEC" w:rsidR="00672D7B" w:rsidRDefault="00672D7B" w:rsidP="002F1EC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9, 2020, both parties filed Main Briefs.  On October 12, 2020, the Complaint filed a Corrected Brief.</w:t>
      </w:r>
      <w:r w:rsidR="009E5BFC">
        <w:rPr>
          <w:rStyle w:val="FootnoteReference"/>
          <w:rFonts w:ascii="Times New Roman" w:eastAsia="Times New Roman" w:hAnsi="Times New Roman" w:cs="Times New Roman"/>
          <w:sz w:val="24"/>
          <w:szCs w:val="24"/>
        </w:rPr>
        <w:footnoteReference w:id="2"/>
      </w:r>
    </w:p>
    <w:p w14:paraId="597E1753" w14:textId="77777777" w:rsidR="00672D7B" w:rsidRDefault="00672D7B" w:rsidP="002F1EC4">
      <w:pPr>
        <w:spacing w:after="0" w:line="360" w:lineRule="auto"/>
        <w:ind w:firstLine="1440"/>
        <w:rPr>
          <w:rFonts w:ascii="Times New Roman" w:eastAsia="Times New Roman" w:hAnsi="Times New Roman" w:cs="Times New Roman"/>
          <w:sz w:val="24"/>
          <w:szCs w:val="24"/>
        </w:rPr>
      </w:pPr>
    </w:p>
    <w:p w14:paraId="1F70F6DE" w14:textId="5CEE8892" w:rsidR="0031523F" w:rsidRDefault="00672D7B"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October 14, 2020, the parties were permitted to file </w:t>
      </w:r>
      <w:r w:rsidR="0031523F">
        <w:rPr>
          <w:rFonts w:ascii="Times New Roman" w:eastAsia="Times New Roman" w:hAnsi="Times New Roman" w:cs="Times New Roman"/>
          <w:sz w:val="24"/>
          <w:szCs w:val="24"/>
        </w:rPr>
        <w:t>Reply Briefs on or before November 10, 2020.  No Reply Briefs were filed.</w:t>
      </w:r>
    </w:p>
    <w:p w14:paraId="25F62EFB" w14:textId="77777777" w:rsidR="0031523F" w:rsidRDefault="0031523F" w:rsidP="0031523F">
      <w:pPr>
        <w:spacing w:after="0" w:line="360" w:lineRule="auto"/>
        <w:ind w:firstLine="1440"/>
        <w:rPr>
          <w:rFonts w:ascii="Times New Roman" w:eastAsia="Times New Roman" w:hAnsi="Times New Roman" w:cs="Times New Roman"/>
          <w:sz w:val="24"/>
          <w:szCs w:val="24"/>
        </w:rPr>
      </w:pPr>
    </w:p>
    <w:p w14:paraId="0EA46597" w14:textId="235B4C07" w:rsidR="00915777" w:rsidRDefault="0031523F"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November 4, 2020, this matter was stayed pursuant to the Commission’s Order</w:t>
      </w:r>
      <w:r w:rsidR="009E5BFC">
        <w:rPr>
          <w:rFonts w:ascii="Times New Roman" w:eastAsia="Times New Roman" w:hAnsi="Times New Roman" w:cs="Times New Roman"/>
          <w:sz w:val="24"/>
          <w:szCs w:val="24"/>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11/4/2020) (</w:t>
      </w:r>
      <w:r w:rsidRPr="0031523F">
        <w:rPr>
          <w:rFonts w:ascii="Times New Roman" w:hAnsi="Times New Roman" w:cs="Times New Roman"/>
          <w:bCs/>
          <w:i/>
          <w:iCs/>
          <w:sz w:val="24"/>
          <w:szCs w:val="24"/>
        </w:rPr>
        <w:t>Stay Order</w:t>
      </w:r>
      <w:r>
        <w:rPr>
          <w:rFonts w:ascii="Times New Roman" w:hAnsi="Times New Roman" w:cs="Times New Roman"/>
          <w:bCs/>
          <w:sz w:val="24"/>
          <w:szCs w:val="24"/>
        </w:rPr>
        <w:t>).</w:t>
      </w:r>
      <w:r>
        <w:rPr>
          <w:rFonts w:ascii="Times New Roman" w:eastAsia="Times New Roman" w:hAnsi="Times New Roman" w:cs="Times New Roman"/>
          <w:sz w:val="24"/>
          <w:szCs w:val="24"/>
        </w:rPr>
        <w:t xml:space="preserve">   </w:t>
      </w:r>
    </w:p>
    <w:p w14:paraId="6FAF0CAB" w14:textId="77777777" w:rsidR="00915777" w:rsidRDefault="00915777" w:rsidP="0031523F">
      <w:pPr>
        <w:spacing w:after="0" w:line="360" w:lineRule="auto"/>
        <w:ind w:firstLine="1440"/>
        <w:rPr>
          <w:rFonts w:ascii="Times New Roman" w:eastAsia="Times New Roman" w:hAnsi="Times New Roman" w:cs="Times New Roman"/>
          <w:sz w:val="24"/>
          <w:szCs w:val="24"/>
        </w:rPr>
      </w:pPr>
    </w:p>
    <w:p w14:paraId="57AB9150" w14:textId="53DA1045" w:rsidR="0031523F" w:rsidRDefault="0031523F" w:rsidP="0031523F">
      <w:pPr>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sz w:val="24"/>
          <w:szCs w:val="24"/>
        </w:rPr>
        <w:t>On November 14, 2023, th</w:t>
      </w:r>
      <w:r w:rsidR="00915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915777">
        <w:rPr>
          <w:rFonts w:ascii="Times New Roman" w:eastAsia="Times New Roman" w:hAnsi="Times New Roman" w:cs="Times New Roman"/>
          <w:i/>
          <w:iCs/>
          <w:sz w:val="24"/>
          <w:szCs w:val="24"/>
        </w:rPr>
        <w:t>Stay Order</w:t>
      </w:r>
      <w:r>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0B539D" w:rsidRPr="000B539D">
        <w:rPr>
          <w:rFonts w:ascii="Times New Roman" w:eastAsia="Times New Roman" w:hAnsi="Times New Roman" w:cs="Times New Roman"/>
          <w:i/>
          <w:iCs/>
          <w:sz w:val="24"/>
          <w:szCs w:val="24"/>
        </w:rPr>
        <w:t>2023 Order</w:t>
      </w:r>
      <w:r w:rsidR="000B539D">
        <w:rPr>
          <w:rFonts w:ascii="Times New Roman" w:eastAsia="Times New Roman" w:hAnsi="Times New Roman" w:cs="Times New Roman"/>
          <w:sz w:val="24"/>
          <w:szCs w:val="24"/>
        </w:rPr>
        <w:t>.</w:t>
      </w:r>
    </w:p>
    <w:p w14:paraId="549EF292" w14:textId="77777777" w:rsidR="00BD3343" w:rsidRDefault="00BD3343" w:rsidP="00C77197">
      <w:pPr>
        <w:spacing w:after="0" w:line="360" w:lineRule="auto"/>
        <w:jc w:val="both"/>
        <w:rPr>
          <w:rFonts w:ascii="Times New Roman" w:hAnsi="Times New Roman" w:cs="Times New Roman"/>
          <w:bCs/>
          <w:i/>
          <w:iCs/>
          <w:sz w:val="24"/>
          <w:szCs w:val="24"/>
          <w:u w:val="single"/>
        </w:rPr>
      </w:pPr>
    </w:p>
    <w:p w14:paraId="0E1A63CB" w14:textId="4BF01693" w:rsidR="00C77197" w:rsidRPr="00C77197" w:rsidRDefault="00C77197" w:rsidP="00C77197">
      <w:pPr>
        <w:spacing w:after="0" w:line="360" w:lineRule="auto"/>
        <w:jc w:val="both"/>
        <w:rPr>
          <w:rFonts w:ascii="Times New Roman" w:eastAsia="Times New Roman" w:hAnsi="Times New Roman" w:cs="Times New Roman"/>
          <w:i/>
          <w:iCs/>
          <w:sz w:val="24"/>
          <w:szCs w:val="24"/>
          <w:u w:val="single"/>
        </w:rPr>
      </w:pPr>
      <w:r w:rsidRPr="00C77197">
        <w:rPr>
          <w:rFonts w:ascii="Times New Roman" w:hAnsi="Times New Roman" w:cs="Times New Roman"/>
          <w:bCs/>
          <w:i/>
          <w:iCs/>
          <w:sz w:val="24"/>
          <w:szCs w:val="24"/>
          <w:u w:val="single"/>
        </w:rPr>
        <w:t>Post-Stay Order</w:t>
      </w:r>
    </w:p>
    <w:p w14:paraId="2AEDF91C" w14:textId="77777777"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18D96EA2" w14:textId="77777777" w:rsidR="00644B33" w:rsidRDefault="00F04A4A" w:rsidP="00644B33">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On November 27, 2023, this matter was reassigned from ALJ Watson to the </w:t>
      </w:r>
    </w:p>
    <w:p w14:paraId="727908D0" w14:textId="5C4687ED" w:rsidR="00D550B3" w:rsidRDefault="00644B33" w:rsidP="00644B33">
      <w:pPr>
        <w:spacing w:after="0" w:line="360" w:lineRule="auto"/>
        <w:rPr>
          <w:rFonts w:ascii="Times New Roman" w:hAnsi="Times New Roman" w:cs="Times New Roman"/>
          <w:sz w:val="24"/>
          <w:szCs w:val="24"/>
        </w:rPr>
      </w:pPr>
      <w:r>
        <w:rPr>
          <w:rFonts w:ascii="Times New Roman" w:hAnsi="Times New Roman" w:cs="Times New Roman"/>
          <w:sz w:val="24"/>
          <w:szCs w:val="24"/>
        </w:rPr>
        <w:t>u</w:t>
      </w:r>
      <w:r w:rsidR="00F04A4A">
        <w:rPr>
          <w:rFonts w:ascii="Times New Roman" w:hAnsi="Times New Roman" w:cs="Times New Roman"/>
          <w:sz w:val="24"/>
          <w:szCs w:val="24"/>
        </w:rPr>
        <w:t xml:space="preserve">ndersigned ALJ </w:t>
      </w:r>
      <w:r w:rsidR="00340D95">
        <w:rPr>
          <w:rFonts w:ascii="Times New Roman" w:hAnsi="Times New Roman" w:cs="Times New Roman"/>
          <w:sz w:val="24"/>
          <w:szCs w:val="24"/>
        </w:rPr>
        <w:t xml:space="preserve">by </w:t>
      </w:r>
      <w:r w:rsidR="00F04A4A">
        <w:rPr>
          <w:rFonts w:ascii="Times New Roman" w:hAnsi="Times New Roman" w:cs="Times New Roman"/>
          <w:sz w:val="24"/>
          <w:szCs w:val="24"/>
        </w:rPr>
        <w:t xml:space="preserve">a Judge Change Notice.  </w:t>
      </w:r>
    </w:p>
    <w:p w14:paraId="5BF7F61E" w14:textId="77777777" w:rsidR="00644B33" w:rsidRDefault="00644B33" w:rsidP="00D550B3">
      <w:pPr>
        <w:spacing w:after="0" w:line="360" w:lineRule="auto"/>
        <w:rPr>
          <w:rFonts w:ascii="Times New Roman" w:hAnsi="Times New Roman" w:cs="Times New Roman"/>
          <w:sz w:val="24"/>
          <w:szCs w:val="24"/>
        </w:rPr>
      </w:pPr>
    </w:p>
    <w:p w14:paraId="4CAE97B4" w14:textId="77777777" w:rsidR="00812BC6"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r w:rsidR="00340D95">
        <w:rPr>
          <w:rFonts w:ascii="Times New Roman" w:hAnsi="Times New Roman" w:cs="Times New Roman"/>
          <w:sz w:val="24"/>
          <w:szCs w:val="24"/>
        </w:rPr>
        <w:t xml:space="preserve">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3"/>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I deem it helpful to hold a post evidentiary hearing conference to give the parties an opportunity to address various procedural matters</w:t>
      </w:r>
      <w:r w:rsidR="002D2009">
        <w:rPr>
          <w:rFonts w:ascii="Times New Roman" w:hAnsi="Times New Roman" w:cs="Times New Roman"/>
          <w:sz w:val="24"/>
          <w:szCs w:val="24"/>
        </w:rPr>
        <w:t xml:space="preserve">.  </w:t>
      </w:r>
      <w:r w:rsidR="002D2009" w:rsidRPr="00DA07F0">
        <w:rPr>
          <w:rFonts w:ascii="Times New Roman" w:hAnsi="Times New Roman" w:cs="Times New Roman"/>
          <w:sz w:val="24"/>
          <w:szCs w:val="24"/>
        </w:rPr>
        <w:t xml:space="preserve">These matters </w:t>
      </w:r>
      <w:r w:rsidR="00340D95" w:rsidRPr="00DA07F0">
        <w:rPr>
          <w:rFonts w:ascii="Times New Roman" w:hAnsi="Times New Roman" w:cs="Times New Roman"/>
          <w:sz w:val="24"/>
          <w:szCs w:val="24"/>
        </w:rPr>
        <w:t>includ</w:t>
      </w:r>
      <w:r w:rsidR="002D2009" w:rsidRPr="00DA07F0">
        <w:rPr>
          <w:rFonts w:ascii="Times New Roman" w:hAnsi="Times New Roman" w:cs="Times New Roman"/>
          <w:sz w:val="24"/>
          <w:szCs w:val="24"/>
        </w:rPr>
        <w:t>e:</w:t>
      </w:r>
      <w:r w:rsidR="00DA07F0" w:rsidRPr="00DA07F0">
        <w:rPr>
          <w:rFonts w:ascii="Times New Roman" w:hAnsi="Times New Roman" w:cs="Times New Roman"/>
          <w:sz w:val="24"/>
          <w:szCs w:val="24"/>
        </w:rPr>
        <w:t xml:space="preserve">  </w:t>
      </w:r>
    </w:p>
    <w:p w14:paraId="5824953F" w14:textId="5817A913" w:rsidR="00F04A4A" w:rsidRPr="00DA07F0" w:rsidRDefault="002D2009" w:rsidP="00D550B3">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 xml:space="preserve">(a) whether either party seeks an </w:t>
      </w:r>
      <w:r w:rsidR="00340D95" w:rsidRPr="00DA07F0">
        <w:rPr>
          <w:rFonts w:ascii="Times New Roman" w:hAnsi="Times New Roman" w:cs="Times New Roman"/>
          <w:sz w:val="24"/>
          <w:szCs w:val="24"/>
        </w:rPr>
        <w:t xml:space="preserve">opportunity to re-open the evidentiary record to present additional evidence in light of </w:t>
      </w:r>
      <w:proofErr w:type="spellStart"/>
      <w:r w:rsidRPr="00DA07F0">
        <w:rPr>
          <w:rFonts w:ascii="Times New Roman" w:hAnsi="Times New Roman" w:cs="Times New Roman"/>
          <w:i/>
          <w:iCs/>
          <w:sz w:val="24"/>
          <w:szCs w:val="24"/>
        </w:rPr>
        <w:t>Povacz</w:t>
      </w:r>
      <w:proofErr w:type="spellEnd"/>
      <w:r w:rsidRPr="00DA07F0">
        <w:rPr>
          <w:rFonts w:ascii="Times New Roman" w:hAnsi="Times New Roman" w:cs="Times New Roman"/>
          <w:i/>
          <w:iCs/>
          <w:sz w:val="24"/>
          <w:szCs w:val="24"/>
        </w:rPr>
        <w:t xml:space="preserve"> II, </w:t>
      </w:r>
      <w:r w:rsidRPr="00DA07F0">
        <w:rPr>
          <w:rFonts w:ascii="Times New Roman" w:hAnsi="Times New Roman" w:cs="Times New Roman"/>
          <w:sz w:val="24"/>
          <w:szCs w:val="24"/>
        </w:rPr>
        <w:t xml:space="preserve">as </w:t>
      </w:r>
      <w:proofErr w:type="gramStart"/>
      <w:r w:rsidRPr="00DA07F0">
        <w:rPr>
          <w:rFonts w:ascii="Times New Roman" w:hAnsi="Times New Roman" w:cs="Times New Roman"/>
          <w:sz w:val="24"/>
          <w:szCs w:val="24"/>
        </w:rPr>
        <w:t>well</w:t>
      </w:r>
      <w:r w:rsidRPr="00DA07F0">
        <w:rPr>
          <w:rFonts w:ascii="Times New Roman" w:hAnsi="Times New Roman" w:cs="Times New Roman"/>
          <w:i/>
          <w:iCs/>
          <w:sz w:val="24"/>
          <w:szCs w:val="24"/>
        </w:rPr>
        <w:t xml:space="preserve"> </w:t>
      </w:r>
      <w:r w:rsidRPr="00DA07F0">
        <w:rPr>
          <w:rFonts w:ascii="Times New Roman" w:hAnsi="Times New Roman" w:cs="Times New Roman"/>
          <w:sz w:val="24"/>
          <w:szCs w:val="24"/>
        </w:rPr>
        <w:t xml:space="preserve"> as</w:t>
      </w:r>
      <w:proofErr w:type="gramEnd"/>
      <w:r w:rsidRPr="00DA07F0">
        <w:rPr>
          <w:rFonts w:ascii="Times New Roman" w:hAnsi="Times New Roman" w:cs="Times New Roman"/>
          <w:sz w:val="24"/>
          <w:szCs w:val="24"/>
        </w:rPr>
        <w:t xml:space="preserve"> the </w:t>
      </w:r>
      <w:r w:rsidR="00340D95" w:rsidRPr="00DA07F0">
        <w:rPr>
          <w:rFonts w:ascii="Times New Roman" w:hAnsi="Times New Roman" w:cs="Times New Roman"/>
          <w:sz w:val="24"/>
          <w:szCs w:val="24"/>
        </w:rPr>
        <w:t>other appellate cases discussed in the</w:t>
      </w:r>
      <w:r w:rsidR="00644B33">
        <w:rPr>
          <w:rFonts w:ascii="Times New Roman" w:hAnsi="Times New Roman" w:cs="Times New Roman"/>
          <w:sz w:val="24"/>
          <w:szCs w:val="24"/>
        </w:rPr>
        <w:t xml:space="preserve"> </w:t>
      </w:r>
      <w:r w:rsidR="00340D95" w:rsidRPr="00DA07F0">
        <w:rPr>
          <w:rFonts w:ascii="Times New Roman" w:hAnsi="Times New Roman" w:cs="Times New Roman"/>
          <w:i/>
          <w:iCs/>
          <w:sz w:val="24"/>
          <w:szCs w:val="24"/>
        </w:rPr>
        <w:t>2023 Order</w:t>
      </w:r>
      <w:r w:rsidR="00340D95" w:rsidRPr="00DA07F0">
        <w:rPr>
          <w:rFonts w:ascii="Times New Roman" w:hAnsi="Times New Roman" w:cs="Times New Roman"/>
          <w:sz w:val="24"/>
          <w:szCs w:val="24"/>
        </w:rPr>
        <w:t xml:space="preserve">.  In particular, the parties are directed to page 5 of the </w:t>
      </w:r>
      <w:r w:rsidR="00340D95"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w:t>
      </w:r>
      <w:r w:rsidR="00340D95" w:rsidRPr="00DA07F0">
        <w:rPr>
          <w:rFonts w:ascii="Times New Roman" w:hAnsi="Times New Roman" w:cs="Times New Roman"/>
          <w:sz w:val="24"/>
          <w:szCs w:val="24"/>
        </w:rPr>
        <w:lastRenderedPageBreak/>
        <w:t xml:space="preserve">Commission </w:t>
      </w:r>
      <w:r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Pr="00DA07F0">
        <w:rPr>
          <w:rFonts w:ascii="Times New Roman" w:hAnsi="Times New Roman" w:cs="Times New Roman"/>
          <w:sz w:val="24"/>
          <w:szCs w:val="24"/>
        </w:rPr>
        <w:t>, as explained by the Pennsylvania Supreme Court; (b) whether either party requests additional time to file a Reply Brief; and (c) whether there is any other procedural matter either party would like to address.</w:t>
      </w:r>
    </w:p>
    <w:p w14:paraId="53550A69" w14:textId="77777777" w:rsidR="000B539D" w:rsidRPr="00DA07F0" w:rsidRDefault="000B539D" w:rsidP="00F04A4A">
      <w:pPr>
        <w:pStyle w:val="BodyTextIndent"/>
        <w:ind w:firstLine="0"/>
        <w:jc w:val="center"/>
        <w:rPr>
          <w:sz w:val="24"/>
          <w:szCs w:val="24"/>
          <w:u w:val="single"/>
        </w:rPr>
      </w:pPr>
    </w:p>
    <w:p w14:paraId="6B0D4B45" w14:textId="0BBB9AF2" w:rsidR="00F04A4A" w:rsidRPr="00DA07F0" w:rsidRDefault="002D2009" w:rsidP="00F04A4A">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0784ADED" w14:textId="36CDA16E" w:rsidR="009E5BFC" w:rsidRDefault="002D2009"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F04A4A" w:rsidRPr="00DA07F0">
        <w:rPr>
          <w:rFonts w:ascii="Times New Roman" w:hAnsi="Times New Roman" w:cs="Times New Roman"/>
          <w:sz w:val="24"/>
          <w:szCs w:val="24"/>
        </w:rPr>
        <w:t xml:space="preserve">That </w:t>
      </w:r>
      <w:r w:rsidRPr="00DA07F0">
        <w:rPr>
          <w:rFonts w:ascii="Times New Roman" w:hAnsi="Times New Roman" w:cs="Times New Roman"/>
          <w:sz w:val="24"/>
          <w:szCs w:val="24"/>
        </w:rPr>
        <w:t xml:space="preserve">a </w:t>
      </w:r>
      <w:r w:rsidR="00DA07F0" w:rsidRPr="00DA07F0">
        <w:rPr>
          <w:rFonts w:ascii="Times New Roman" w:hAnsi="Times New Roman" w:cs="Times New Roman"/>
          <w:sz w:val="24"/>
          <w:szCs w:val="24"/>
        </w:rPr>
        <w:t xml:space="preserve">post-evidentiary hearing conference will be </w:t>
      </w:r>
      <w:r w:rsidR="009E5BFC">
        <w:rPr>
          <w:rFonts w:ascii="Times New Roman" w:hAnsi="Times New Roman" w:cs="Times New Roman"/>
          <w:sz w:val="24"/>
          <w:szCs w:val="24"/>
        </w:rPr>
        <w:t xml:space="preserve">held on the date and </w:t>
      </w:r>
    </w:p>
    <w:p w14:paraId="4DF749D7" w14:textId="4461E369" w:rsidR="00F04A4A" w:rsidRPr="00DA07F0" w:rsidRDefault="009E5BFC" w:rsidP="009E5BFC">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time, and by the manner, </w:t>
      </w:r>
      <w:r w:rsidR="00DA07F0" w:rsidRPr="00DA07F0">
        <w:rPr>
          <w:rFonts w:ascii="Times New Roman" w:hAnsi="Times New Roman" w:cs="Times New Roman"/>
          <w:sz w:val="24"/>
          <w:szCs w:val="24"/>
        </w:rPr>
        <w:t>issued to the parties by a separate Hearing Notice.</w:t>
      </w:r>
    </w:p>
    <w:p w14:paraId="4F6DBA3C" w14:textId="77777777" w:rsidR="00DA07F0" w:rsidRPr="00DA07F0" w:rsidRDefault="00DA07F0" w:rsidP="00DA07F0">
      <w:pPr>
        <w:spacing w:after="0" w:line="360" w:lineRule="auto"/>
        <w:ind w:left="1440"/>
        <w:rPr>
          <w:rFonts w:ascii="Times New Roman" w:hAnsi="Times New Roman" w:cs="Times New Roman"/>
          <w:sz w:val="24"/>
          <w:szCs w:val="24"/>
        </w:rPr>
      </w:pPr>
    </w:p>
    <w:p w14:paraId="5369C26C" w14:textId="1B547A29" w:rsidR="00CD77F0" w:rsidRPr="00DA07F0" w:rsidRDefault="00DA07F0" w:rsidP="00CD77F0">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at said conference:</w:t>
      </w:r>
    </w:p>
    <w:p w14:paraId="6026CF11" w14:textId="26B66F77" w:rsidR="00915777" w:rsidRPr="00DA07F0" w:rsidRDefault="00DA07F0" w:rsidP="00EA0B47">
      <w:pPr>
        <w:spacing w:after="0" w:line="240" w:lineRule="auto"/>
        <w:ind w:left="1440" w:firstLine="720"/>
        <w:rPr>
          <w:rFonts w:ascii="Times New Roman" w:hAnsi="Times New Roman" w:cs="Times New Roman"/>
          <w:sz w:val="24"/>
          <w:szCs w:val="24"/>
        </w:rPr>
      </w:pPr>
      <w:r w:rsidRPr="00DA07F0">
        <w:rPr>
          <w:rFonts w:ascii="Times New Roman" w:hAnsi="Times New Roman" w:cs="Times New Roman"/>
          <w:sz w:val="24"/>
          <w:szCs w:val="24"/>
        </w:rPr>
        <w:t xml:space="preserve">(a) </w:t>
      </w:r>
      <w:r w:rsidR="00644B33">
        <w:rPr>
          <w:rFonts w:ascii="Times New Roman" w:hAnsi="Times New Roman" w:cs="Times New Roman"/>
          <w:sz w:val="24"/>
          <w:szCs w:val="24"/>
        </w:rPr>
        <w:t xml:space="preserve">  </w:t>
      </w:r>
      <w:r w:rsidRPr="00DA07F0">
        <w:rPr>
          <w:rFonts w:ascii="Times New Roman" w:hAnsi="Times New Roman" w:cs="Times New Roman"/>
          <w:sz w:val="24"/>
          <w:szCs w:val="24"/>
        </w:rPr>
        <w:t xml:space="preserve">whether either party seeks an opportunity to re-open the evidentiary record to present additional evidence </w:t>
      </w:r>
      <w:proofErr w:type="gramStart"/>
      <w:r w:rsidRPr="00DA07F0">
        <w:rPr>
          <w:rFonts w:ascii="Times New Roman" w:hAnsi="Times New Roman" w:cs="Times New Roman"/>
          <w:sz w:val="24"/>
          <w:szCs w:val="24"/>
        </w:rPr>
        <w:t>in light of</w:t>
      </w:r>
      <w:proofErr w:type="gramEnd"/>
      <w:r w:rsidRPr="00DA07F0">
        <w:rPr>
          <w:rFonts w:ascii="Times New Roman" w:hAnsi="Times New Roman" w:cs="Times New Roman"/>
          <w:sz w:val="24"/>
          <w:szCs w:val="24"/>
        </w:rPr>
        <w:t xml:space="preserve"> </w:t>
      </w:r>
      <w:proofErr w:type="spellStart"/>
      <w:r w:rsidRPr="00DA07F0">
        <w:rPr>
          <w:rFonts w:ascii="Times New Roman" w:hAnsi="Times New Roman" w:cs="Times New Roman"/>
          <w:i/>
          <w:iCs/>
          <w:sz w:val="24"/>
          <w:szCs w:val="24"/>
        </w:rPr>
        <w:t>Povacz</w:t>
      </w:r>
      <w:proofErr w:type="spellEnd"/>
      <w:r w:rsidRPr="00DA07F0">
        <w:rPr>
          <w:rFonts w:ascii="Times New Roman" w:hAnsi="Times New Roman" w:cs="Times New Roman"/>
          <w:i/>
          <w:iCs/>
          <w:sz w:val="24"/>
          <w:szCs w:val="24"/>
        </w:rPr>
        <w:t xml:space="preserve"> II, </w:t>
      </w:r>
      <w:r w:rsidRPr="00DA07F0">
        <w:rPr>
          <w:rFonts w:ascii="Times New Roman" w:hAnsi="Times New Roman" w:cs="Times New Roman"/>
          <w:sz w:val="24"/>
          <w:szCs w:val="24"/>
        </w:rPr>
        <w:t xml:space="preserve">as well as the other appellate cases discussed in the Commission’s </w:t>
      </w:r>
      <w:r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In particular, the parties are directed to page 5 of the </w:t>
      </w:r>
      <w:r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at which the Commission notes the customer’s burden of proof, as explained by the Pennsylvania Supreme </w:t>
      </w:r>
      <w:proofErr w:type="gramStart"/>
      <w:r w:rsidRPr="00DA07F0">
        <w:rPr>
          <w:rFonts w:ascii="Times New Roman" w:hAnsi="Times New Roman" w:cs="Times New Roman"/>
          <w:sz w:val="24"/>
          <w:szCs w:val="24"/>
        </w:rPr>
        <w:t>Court</w:t>
      </w:r>
      <w:r w:rsidR="009E5BFC">
        <w:rPr>
          <w:rFonts w:ascii="Times New Roman" w:hAnsi="Times New Roman" w:cs="Times New Roman"/>
          <w:sz w:val="24"/>
          <w:szCs w:val="24"/>
        </w:rPr>
        <w:t>;</w:t>
      </w:r>
      <w:proofErr w:type="gramEnd"/>
      <w:r w:rsidRPr="00DA07F0">
        <w:rPr>
          <w:rFonts w:ascii="Times New Roman" w:hAnsi="Times New Roman" w:cs="Times New Roman"/>
          <w:sz w:val="24"/>
          <w:szCs w:val="24"/>
        </w:rPr>
        <w:t xml:space="preserve"> </w:t>
      </w:r>
    </w:p>
    <w:p w14:paraId="5633B9CB" w14:textId="77777777" w:rsidR="00EA0B47" w:rsidRDefault="00EA0B47" w:rsidP="00CD77F0">
      <w:pPr>
        <w:spacing w:after="0" w:line="240" w:lineRule="auto"/>
        <w:ind w:left="2160"/>
        <w:rPr>
          <w:rFonts w:ascii="Times New Roman" w:hAnsi="Times New Roman" w:cs="Times New Roman"/>
          <w:sz w:val="24"/>
          <w:szCs w:val="24"/>
        </w:rPr>
      </w:pPr>
    </w:p>
    <w:p w14:paraId="084C4CF1" w14:textId="525306AB" w:rsidR="004C6075" w:rsidRDefault="00DA07F0" w:rsidP="00CD77F0">
      <w:pPr>
        <w:spacing w:after="0" w:line="240" w:lineRule="auto"/>
        <w:ind w:left="2160"/>
        <w:rPr>
          <w:rFonts w:ascii="Times New Roman" w:hAnsi="Times New Roman" w:cs="Times New Roman"/>
          <w:sz w:val="24"/>
          <w:szCs w:val="24"/>
        </w:rPr>
      </w:pPr>
      <w:r w:rsidRPr="00DA07F0">
        <w:rPr>
          <w:rFonts w:ascii="Times New Roman" w:hAnsi="Times New Roman" w:cs="Times New Roman"/>
          <w:sz w:val="24"/>
          <w:szCs w:val="24"/>
        </w:rPr>
        <w:t xml:space="preserve">(b) </w:t>
      </w:r>
      <w:r w:rsidR="00644B33">
        <w:rPr>
          <w:rFonts w:ascii="Times New Roman" w:hAnsi="Times New Roman" w:cs="Times New Roman"/>
          <w:sz w:val="24"/>
          <w:szCs w:val="24"/>
        </w:rPr>
        <w:t xml:space="preserve">  </w:t>
      </w:r>
      <w:r w:rsidRPr="00DA07F0">
        <w:rPr>
          <w:rFonts w:ascii="Times New Roman" w:hAnsi="Times New Roman" w:cs="Times New Roman"/>
          <w:sz w:val="24"/>
          <w:szCs w:val="24"/>
        </w:rPr>
        <w:t xml:space="preserve">whether either party requests additional time to file a Reply Brief; and </w:t>
      </w:r>
    </w:p>
    <w:p w14:paraId="281C1A4D" w14:textId="77777777" w:rsidR="00CD77F0" w:rsidRPr="00DA07F0" w:rsidRDefault="00CD77F0" w:rsidP="00CD77F0">
      <w:pPr>
        <w:spacing w:after="0" w:line="240" w:lineRule="auto"/>
        <w:ind w:left="2160"/>
        <w:rPr>
          <w:rFonts w:ascii="Times New Roman" w:hAnsi="Times New Roman" w:cs="Times New Roman"/>
          <w:sz w:val="24"/>
          <w:szCs w:val="24"/>
        </w:rPr>
      </w:pPr>
    </w:p>
    <w:p w14:paraId="1E3E6853" w14:textId="5929C88C" w:rsidR="00BD3343" w:rsidRDefault="00DA07F0" w:rsidP="00CD77F0">
      <w:pPr>
        <w:spacing w:after="0" w:line="360" w:lineRule="auto"/>
        <w:ind w:left="1440" w:firstLine="720"/>
        <w:rPr>
          <w:rFonts w:ascii="Times New Roman" w:hAnsi="Times New Roman" w:cs="Times New Roman"/>
          <w:sz w:val="24"/>
          <w:szCs w:val="24"/>
        </w:rPr>
      </w:pPr>
      <w:r w:rsidRPr="00DA07F0">
        <w:rPr>
          <w:rFonts w:ascii="Times New Roman" w:hAnsi="Times New Roman" w:cs="Times New Roman"/>
          <w:sz w:val="24"/>
          <w:szCs w:val="24"/>
        </w:rPr>
        <w:t xml:space="preserve">(c) </w:t>
      </w:r>
      <w:r w:rsidR="00644B33">
        <w:rPr>
          <w:rFonts w:ascii="Times New Roman" w:hAnsi="Times New Roman" w:cs="Times New Roman"/>
          <w:sz w:val="24"/>
          <w:szCs w:val="24"/>
        </w:rPr>
        <w:t xml:space="preserve">  </w:t>
      </w:r>
      <w:r w:rsidRPr="00DA07F0">
        <w:rPr>
          <w:rFonts w:ascii="Times New Roman" w:hAnsi="Times New Roman" w:cs="Times New Roman"/>
          <w:sz w:val="24"/>
          <w:szCs w:val="24"/>
        </w:rPr>
        <w:t>any other procedural matter either party would like to address.</w:t>
      </w:r>
    </w:p>
    <w:p w14:paraId="1208C68B" w14:textId="77777777" w:rsidR="00CD77F0" w:rsidRDefault="00CD77F0" w:rsidP="00CD77F0">
      <w:pPr>
        <w:spacing w:after="0" w:line="360" w:lineRule="auto"/>
        <w:ind w:left="1440" w:firstLine="720"/>
        <w:rPr>
          <w:rFonts w:ascii="Times New Roman" w:hAnsi="Times New Roman" w:cs="Times New Roman"/>
          <w:sz w:val="24"/>
          <w:szCs w:val="24"/>
        </w:rPr>
      </w:pP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P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70CCBDD4"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31523F" w:rsidRPr="00DA07F0">
        <w:rPr>
          <w:rFonts w:ascii="Times New Roman" w:eastAsia="Times New Roman" w:hAnsi="Times New Roman" w:cs="Times New Roman"/>
          <w:sz w:val="24"/>
          <w:szCs w:val="24"/>
          <w:u w:val="single"/>
        </w:rPr>
        <w:t>December 12</w:t>
      </w:r>
      <w:r w:rsidR="002C1C9D" w:rsidRPr="00DA07F0">
        <w:rPr>
          <w:rFonts w:ascii="Times New Roman" w:eastAsia="Times New Roman" w:hAnsi="Times New Roman" w:cs="Times New Roman"/>
          <w:sz w:val="24"/>
          <w:szCs w:val="24"/>
          <w:u w:val="single"/>
        </w:rPr>
        <w:t>, 202</w:t>
      </w:r>
      <w:r w:rsidR="0031523F" w:rsidRPr="00DA07F0">
        <w:rPr>
          <w:rFonts w:ascii="Times New Roman" w:eastAsia="Times New Roman" w:hAnsi="Times New Roman" w:cs="Times New Roman"/>
          <w:sz w:val="24"/>
          <w:szCs w:val="24"/>
          <w:u w:val="single"/>
        </w:rPr>
        <w:t>3</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23E7B7F6"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31523F" w:rsidRPr="00DA07F0">
        <w:rPr>
          <w:rFonts w:ascii="Times New Roman" w:eastAsia="Times New Roman" w:hAnsi="Times New Roman" w:cs="Times New Roman"/>
          <w:sz w:val="24"/>
          <w:szCs w:val="24"/>
        </w:rPr>
        <w:t>Gail M. Chiodo</w:t>
      </w:r>
    </w:p>
    <w:p w14:paraId="33854325" w14:textId="77777777" w:rsidR="00A66F7E"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66F7E" w:rsidSect="00A66F7E">
          <w:footerReference w:type="default" r:id="rId8"/>
          <w:pgSz w:w="12240" w:h="15840"/>
          <w:pgMar w:top="1296" w:right="1440" w:bottom="1296" w:left="1440" w:header="720" w:footer="720" w:gutter="0"/>
          <w:cols w:space="720"/>
          <w:titlePg/>
          <w:docGrid w:linePitch="360"/>
        </w:sect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4C5D203B" w14:textId="77777777" w:rsidR="00A66F7E" w:rsidRDefault="00A66F7E" w:rsidP="00A66F7E">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C-2018-3006031 - MICHAEL JENNINGS v. WEST PENN POWER COMPANY</w:t>
      </w:r>
      <w:r>
        <w:rPr>
          <w:rFonts w:ascii="Microsoft Sans Serif" w:eastAsia="Microsoft Sans Serif" w:hAnsi="Microsoft Sans Serif" w:cs="Microsoft Sans Serif"/>
          <w:b/>
          <w:sz w:val="24"/>
          <w:u w:val="single"/>
        </w:rPr>
        <w:cr/>
      </w:r>
    </w:p>
    <w:p w14:paraId="2BAA4729" w14:textId="77777777" w:rsidR="00A66F7E" w:rsidRPr="005D7EFD" w:rsidRDefault="00A66F7E" w:rsidP="00A66F7E">
      <w:pPr>
        <w:spacing w:after="0"/>
        <w:rPr>
          <w:rFonts w:ascii="Microsoft Sans Serif" w:eastAsia="Microsoft Sans Serif" w:hAnsi="Microsoft Sans Serif" w:cs="Microsoft Sans Serif"/>
          <w:bCs/>
          <w:i/>
          <w:iCs/>
          <w:sz w:val="24"/>
        </w:rPr>
      </w:pPr>
      <w:r w:rsidRPr="005D7EFD">
        <w:rPr>
          <w:rFonts w:ascii="Microsoft Sans Serif" w:eastAsia="Microsoft Sans Serif" w:hAnsi="Microsoft Sans Serif" w:cs="Microsoft Sans Serif"/>
          <w:bCs/>
          <w:i/>
          <w:iCs/>
          <w:sz w:val="24"/>
        </w:rPr>
        <w:t xml:space="preserve">Revised </w:t>
      </w:r>
      <w:proofErr w:type="gramStart"/>
      <w:r>
        <w:rPr>
          <w:rFonts w:ascii="Microsoft Sans Serif" w:eastAsia="Microsoft Sans Serif" w:hAnsi="Microsoft Sans Serif" w:cs="Microsoft Sans Serif"/>
          <w:bCs/>
          <w:i/>
          <w:iCs/>
          <w:sz w:val="24"/>
        </w:rPr>
        <w:t>10/26</w:t>
      </w:r>
      <w:r w:rsidRPr="005D7EFD">
        <w:rPr>
          <w:rFonts w:ascii="Microsoft Sans Serif" w:eastAsia="Microsoft Sans Serif" w:hAnsi="Microsoft Sans Serif" w:cs="Microsoft Sans Serif"/>
          <w:bCs/>
          <w:i/>
          <w:iCs/>
          <w:sz w:val="24"/>
        </w:rPr>
        <w:t>/20</w:t>
      </w:r>
      <w:proofErr w:type="gramEnd"/>
    </w:p>
    <w:p w14:paraId="3E78AD90" w14:textId="77777777" w:rsidR="00A66F7E" w:rsidRDefault="00A66F7E" w:rsidP="00A66F7E">
      <w:pPr>
        <w:spacing w:after="0" w:line="240" w:lineRule="auto"/>
        <w:rPr>
          <w:rFonts w:ascii="Microsoft Sans Serif" w:eastAsia="Microsoft Sans Serif" w:hAnsi="Microsoft Sans Serif" w:cs="Microsoft Sans Serif"/>
          <w:b/>
          <w:sz w:val="24"/>
          <w:u w:val="single"/>
        </w:rPr>
      </w:pPr>
    </w:p>
    <w:p w14:paraId="36A73399" w14:textId="77777777" w:rsidR="00A66F7E" w:rsidRDefault="00A66F7E" w:rsidP="00A66F7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MICHAEL JENNINGS</w:t>
      </w:r>
      <w:r>
        <w:rPr>
          <w:rFonts w:ascii="Microsoft Sans Serif" w:eastAsia="Microsoft Sans Serif" w:hAnsi="Microsoft Sans Serif" w:cs="Microsoft Sans Serif"/>
          <w:sz w:val="24"/>
        </w:rPr>
        <w:cr/>
        <w:t>200 BROOK HOLLOW RD</w:t>
      </w:r>
      <w:r>
        <w:rPr>
          <w:rFonts w:ascii="Microsoft Sans Serif" w:eastAsia="Microsoft Sans Serif" w:hAnsi="Microsoft Sans Serif" w:cs="Microsoft Sans Serif"/>
          <w:sz w:val="24"/>
        </w:rPr>
        <w:cr/>
        <w:t>MOUNT PLEASANT PA  15666</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-613-4262</w:t>
      </w:r>
      <w:r w:rsidRPr="00D732B9">
        <w:rPr>
          <w:rFonts w:ascii="Microsoft Sans Serif" w:eastAsia="Microsoft Sans Serif" w:hAnsi="Microsoft Sans Serif" w:cs="Microsoft Sans Serif"/>
          <w:b/>
          <w:sz w:val="24"/>
        </w:rPr>
        <w:cr/>
      </w:r>
      <w:r w:rsidRPr="00EE4E8F">
        <w:rPr>
          <w:rFonts w:ascii="Microsoft Sans Serif" w:eastAsia="Microsoft Sans Serif" w:hAnsi="Microsoft Sans Serif" w:cs="Microsoft Sans Serif"/>
          <w:bCs/>
          <w:sz w:val="24"/>
        </w:rPr>
        <w:t>lilmac2@zoominternet.net</w:t>
      </w:r>
    </w:p>
    <w:p w14:paraId="47733698" w14:textId="77777777" w:rsidR="00A66F7E" w:rsidRDefault="00A66F7E" w:rsidP="00A66F7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2A024009" w14:textId="77777777" w:rsidR="00A66F7E" w:rsidRDefault="00A66F7E" w:rsidP="00A66F7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caps/>
          <w:sz w:val="24"/>
        </w:rPr>
        <w:t>2800 Pottsville Pike</w:t>
      </w:r>
      <w:r w:rsidRPr="00D732B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D732B9">
        <w:rPr>
          <w:rFonts w:ascii="Microsoft Sans Serif" w:eastAsia="Microsoft Sans Serif" w:hAnsi="Microsoft Sans Serif" w:cs="Microsoft Sans Serif"/>
          <w:b/>
          <w:sz w:val="24"/>
        </w:rPr>
        <w:t>921</w:t>
      </w:r>
      <w:r>
        <w:rPr>
          <w:rFonts w:ascii="Microsoft Sans Serif" w:eastAsia="Microsoft Sans Serif" w:hAnsi="Microsoft Sans Serif" w:cs="Microsoft Sans Serif"/>
          <w:b/>
          <w:sz w:val="24"/>
        </w:rPr>
        <w:t>-</w:t>
      </w:r>
      <w:r w:rsidRPr="00D732B9">
        <w:rPr>
          <w:rFonts w:ascii="Microsoft Sans Serif" w:eastAsia="Microsoft Sans Serif" w:hAnsi="Microsoft Sans Serif" w:cs="Microsoft Sans Serif"/>
          <w:b/>
          <w:sz w:val="24"/>
        </w:rPr>
        <w:t>6203</w:t>
      </w:r>
      <w:r w:rsidRPr="00D732B9">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335F5271" w14:textId="77777777" w:rsidR="00A66F7E" w:rsidRDefault="00A66F7E" w:rsidP="00A66F7E">
      <w:pPr>
        <w:spacing w:after="0" w:line="240" w:lineRule="auto"/>
        <w:rPr>
          <w:rFonts w:ascii="Microsoft Sans Serif" w:eastAsia="Microsoft Sans Serif" w:hAnsi="Microsoft Sans Serif" w:cs="Microsoft Sans Serif"/>
          <w:bCs/>
          <w:iCs/>
          <w:sz w:val="24"/>
          <w:szCs w:val="20"/>
        </w:rPr>
      </w:pPr>
      <w:r w:rsidRPr="00C606A5">
        <w:rPr>
          <w:rFonts w:ascii="Microsoft Sans Serif" w:eastAsia="Microsoft Sans Serif" w:hAnsi="Microsoft Sans Serif" w:cs="Microsoft Sans Serif"/>
          <w:bCs/>
          <w:iCs/>
          <w:sz w:val="24"/>
          <w:szCs w:val="20"/>
        </w:rPr>
        <w:t xml:space="preserve">Accepts </w:t>
      </w:r>
      <w:proofErr w:type="gramStart"/>
      <w:r w:rsidRPr="00C606A5">
        <w:rPr>
          <w:rFonts w:ascii="Microsoft Sans Serif" w:eastAsia="Microsoft Sans Serif" w:hAnsi="Microsoft Sans Serif" w:cs="Microsoft Sans Serif"/>
          <w:bCs/>
          <w:iCs/>
          <w:sz w:val="24"/>
          <w:szCs w:val="20"/>
        </w:rPr>
        <w:t>eService</w:t>
      </w:r>
      <w:proofErr w:type="gramEnd"/>
    </w:p>
    <w:p w14:paraId="6AEA833A" w14:textId="77777777" w:rsidR="00A66F7E" w:rsidRPr="00712F9D" w:rsidRDefault="00A66F7E" w:rsidP="00A66F7E">
      <w:pPr>
        <w:spacing w:after="0" w:line="240" w:lineRule="auto"/>
        <w:rPr>
          <w:rFonts w:ascii="Microsoft Sans Serif" w:eastAsia="Microsoft Sans Serif" w:hAnsi="Microsoft Sans Serif" w:cs="Microsoft Sans Serif"/>
          <w:sz w:val="24"/>
        </w:rPr>
      </w:pPr>
      <w:r w:rsidRPr="00712F9D">
        <w:rPr>
          <w:rFonts w:ascii="Arial" w:eastAsia="Times New Roman" w:hAnsi="Arial" w:cs="Arial"/>
        </w:rPr>
        <w:t>tgiesler@firstenergycorp.com</w:t>
      </w:r>
    </w:p>
    <w:p w14:paraId="41B94188" w14:textId="77777777" w:rsidR="00A66F7E" w:rsidRPr="00712F9D" w:rsidRDefault="00A66F7E" w:rsidP="00A66F7E">
      <w:pPr>
        <w:spacing w:after="0" w:line="240" w:lineRule="auto"/>
        <w:rPr>
          <w:rFonts w:ascii="Microsoft Sans Serif" w:eastAsia="Microsoft Sans Serif" w:hAnsi="Microsoft Sans Serif" w:cs="Microsoft Sans Serif"/>
          <w:sz w:val="24"/>
        </w:rPr>
      </w:pPr>
      <w:r w:rsidRPr="00712F9D">
        <w:rPr>
          <w:rFonts w:ascii="Arial" w:eastAsia="Times New Roman" w:hAnsi="Arial" w:cs="Arial"/>
        </w:rPr>
        <w:t>llepkoski@firstenergycorp.com</w:t>
      </w:r>
    </w:p>
    <w:p w14:paraId="7B13C2D0" w14:textId="77777777" w:rsidR="00A66F7E" w:rsidRPr="00C606A5" w:rsidRDefault="00A66F7E" w:rsidP="00A66F7E">
      <w:pPr>
        <w:spacing w:after="0" w:line="240" w:lineRule="auto"/>
        <w:rPr>
          <w:bCs/>
          <w:iCs/>
        </w:rPr>
      </w:pPr>
    </w:p>
    <w:p w14:paraId="40259F8C" w14:textId="77777777" w:rsidR="00A66F7E" w:rsidRPr="00C606A5" w:rsidRDefault="00A66F7E" w:rsidP="00A66F7E">
      <w:pPr>
        <w:spacing w:after="0" w:line="240" w:lineRule="auto"/>
        <w:rPr>
          <w:rFonts w:ascii="Microsoft Sans Serif" w:eastAsia="Microsoft Sans Serif" w:hAnsi="Microsoft Sans Serif" w:cs="Microsoft Sans Serif"/>
          <w:bCs/>
          <w:iCs/>
          <w:sz w:val="24"/>
        </w:rPr>
      </w:pPr>
      <w:r w:rsidRPr="00C606A5">
        <w:rPr>
          <w:rFonts w:ascii="Microsoft Sans Serif" w:eastAsia="Microsoft Sans Serif" w:hAnsi="Microsoft Sans Serif" w:cs="Microsoft Sans Serif"/>
          <w:bCs/>
          <w:iCs/>
          <w:sz w:val="24"/>
        </w:rPr>
        <w:t>CURTIS S RENNER</w:t>
      </w:r>
    </w:p>
    <w:p w14:paraId="7E668C9B" w14:textId="77777777" w:rsidR="00A66F7E" w:rsidRPr="00C606A5" w:rsidRDefault="00A66F7E" w:rsidP="00A66F7E">
      <w:pPr>
        <w:spacing w:after="0" w:line="240" w:lineRule="auto"/>
        <w:rPr>
          <w:rFonts w:ascii="Microsoft Sans Serif" w:eastAsia="Microsoft Sans Serif" w:hAnsi="Microsoft Sans Serif" w:cs="Microsoft Sans Serif"/>
          <w:bCs/>
          <w:iCs/>
          <w:sz w:val="24"/>
        </w:rPr>
      </w:pPr>
      <w:r w:rsidRPr="00C606A5">
        <w:rPr>
          <w:rFonts w:ascii="Microsoft Sans Serif" w:eastAsia="Microsoft Sans Serif" w:hAnsi="Microsoft Sans Serif" w:cs="Microsoft Sans Serif"/>
          <w:bCs/>
          <w:iCs/>
          <w:sz w:val="24"/>
        </w:rPr>
        <w:t>WATSON &amp; RENNER</w:t>
      </w:r>
    </w:p>
    <w:p w14:paraId="3F2D12D7" w14:textId="77777777" w:rsidR="00A66F7E" w:rsidRPr="00C606A5" w:rsidRDefault="00A66F7E" w:rsidP="00A66F7E">
      <w:pPr>
        <w:spacing w:after="0" w:line="240" w:lineRule="auto"/>
        <w:rPr>
          <w:rFonts w:ascii="Microsoft Sans Serif" w:eastAsia="Microsoft Sans Serif" w:hAnsi="Microsoft Sans Serif" w:cs="Microsoft Sans Serif"/>
          <w:bCs/>
          <w:iCs/>
          <w:sz w:val="24"/>
        </w:rPr>
      </w:pPr>
      <w:r w:rsidRPr="00C606A5">
        <w:rPr>
          <w:rFonts w:ascii="Microsoft Sans Serif" w:eastAsia="Microsoft Sans Serif" w:hAnsi="Microsoft Sans Serif" w:cs="Microsoft Sans Serif"/>
          <w:bCs/>
          <w:iCs/>
          <w:sz w:val="24"/>
        </w:rPr>
        <w:t>1901 PENNSYLVANIA AVE NW SUITE 1005-ENS</w:t>
      </w:r>
    </w:p>
    <w:p w14:paraId="3F3897C0" w14:textId="77777777" w:rsidR="00A66F7E" w:rsidRPr="00C606A5" w:rsidRDefault="00A66F7E" w:rsidP="00A66F7E">
      <w:pPr>
        <w:spacing w:after="0" w:line="240" w:lineRule="auto"/>
        <w:rPr>
          <w:rFonts w:ascii="Microsoft Sans Serif" w:eastAsia="Microsoft Sans Serif" w:hAnsi="Microsoft Sans Serif" w:cs="Microsoft Sans Serif"/>
          <w:bCs/>
          <w:iCs/>
          <w:sz w:val="24"/>
        </w:rPr>
      </w:pPr>
      <w:r w:rsidRPr="00C606A5">
        <w:rPr>
          <w:rFonts w:ascii="Microsoft Sans Serif" w:eastAsia="Microsoft Sans Serif" w:hAnsi="Microsoft Sans Serif" w:cs="Microsoft Sans Serif"/>
          <w:bCs/>
          <w:iCs/>
          <w:sz w:val="24"/>
        </w:rPr>
        <w:t>WASHINGTON DC  20006</w:t>
      </w:r>
    </w:p>
    <w:p w14:paraId="79226BD3" w14:textId="77777777" w:rsidR="00A66F7E" w:rsidRPr="00C606A5" w:rsidRDefault="00A66F7E" w:rsidP="00A66F7E">
      <w:pPr>
        <w:spacing w:after="0" w:line="240" w:lineRule="auto"/>
        <w:rPr>
          <w:rFonts w:ascii="Microsoft Sans Serif" w:eastAsia="Microsoft Sans Serif" w:hAnsi="Microsoft Sans Serif" w:cs="Microsoft Sans Serif"/>
          <w:b/>
          <w:iCs/>
          <w:sz w:val="24"/>
        </w:rPr>
      </w:pPr>
      <w:r w:rsidRPr="00C606A5">
        <w:rPr>
          <w:rFonts w:ascii="Microsoft Sans Serif" w:eastAsia="Microsoft Sans Serif" w:hAnsi="Microsoft Sans Serif" w:cs="Microsoft Sans Serif"/>
          <w:b/>
          <w:iCs/>
          <w:sz w:val="24"/>
        </w:rPr>
        <w:t>202</w:t>
      </w:r>
      <w:r>
        <w:rPr>
          <w:rFonts w:ascii="Microsoft Sans Serif" w:eastAsia="Microsoft Sans Serif" w:hAnsi="Microsoft Sans Serif" w:cs="Microsoft Sans Serif"/>
          <w:b/>
          <w:iCs/>
          <w:sz w:val="24"/>
        </w:rPr>
        <w:t>-</w:t>
      </w:r>
      <w:r w:rsidRPr="00C606A5">
        <w:rPr>
          <w:rFonts w:ascii="Microsoft Sans Serif" w:eastAsia="Microsoft Sans Serif" w:hAnsi="Microsoft Sans Serif" w:cs="Microsoft Sans Serif"/>
          <w:b/>
          <w:iCs/>
          <w:sz w:val="24"/>
        </w:rPr>
        <w:t>737</w:t>
      </w:r>
      <w:r>
        <w:rPr>
          <w:rFonts w:ascii="Microsoft Sans Serif" w:eastAsia="Microsoft Sans Serif" w:hAnsi="Microsoft Sans Serif" w:cs="Microsoft Sans Serif"/>
          <w:b/>
          <w:iCs/>
          <w:sz w:val="24"/>
        </w:rPr>
        <w:t>-</w:t>
      </w:r>
      <w:r w:rsidRPr="00C606A5">
        <w:rPr>
          <w:rFonts w:ascii="Microsoft Sans Serif" w:eastAsia="Microsoft Sans Serif" w:hAnsi="Microsoft Sans Serif" w:cs="Microsoft Sans Serif"/>
          <w:b/>
          <w:iCs/>
          <w:sz w:val="24"/>
        </w:rPr>
        <w:t>6302</w:t>
      </w:r>
    </w:p>
    <w:p w14:paraId="388F7E01" w14:textId="77777777" w:rsidR="00A66F7E" w:rsidRPr="00C606A5" w:rsidRDefault="00A66F7E" w:rsidP="00A66F7E">
      <w:pPr>
        <w:spacing w:after="0" w:line="240" w:lineRule="auto"/>
        <w:rPr>
          <w:rFonts w:ascii="Microsoft Sans Serif" w:eastAsia="Microsoft Sans Serif" w:hAnsi="Microsoft Sans Serif" w:cs="Microsoft Sans Serif"/>
          <w:b/>
          <w:iCs/>
          <w:sz w:val="24"/>
        </w:rPr>
      </w:pPr>
      <w:r w:rsidRPr="00C606A5">
        <w:rPr>
          <w:rFonts w:ascii="Microsoft Sans Serif" w:eastAsia="Microsoft Sans Serif" w:hAnsi="Microsoft Sans Serif" w:cs="Microsoft Sans Serif"/>
          <w:bCs/>
          <w:iCs/>
          <w:sz w:val="24"/>
          <w:szCs w:val="20"/>
        </w:rPr>
        <w:t xml:space="preserve">Accepts </w:t>
      </w:r>
      <w:proofErr w:type="gramStart"/>
      <w:r w:rsidRPr="00C606A5">
        <w:rPr>
          <w:rFonts w:ascii="Microsoft Sans Serif" w:eastAsia="Microsoft Sans Serif" w:hAnsi="Microsoft Sans Serif" w:cs="Microsoft Sans Serif"/>
          <w:bCs/>
          <w:iCs/>
          <w:sz w:val="24"/>
          <w:szCs w:val="20"/>
        </w:rPr>
        <w:t>eService</w:t>
      </w:r>
      <w:proofErr w:type="gramEnd"/>
    </w:p>
    <w:p w14:paraId="73E1CC0B" w14:textId="77777777" w:rsidR="00A66F7E" w:rsidRPr="00712F9D" w:rsidRDefault="00A66F7E" w:rsidP="00A66F7E">
      <w:pPr>
        <w:spacing w:after="0" w:line="240" w:lineRule="auto"/>
        <w:rPr>
          <w:rFonts w:ascii="Microsoft Sans Serif" w:eastAsia="Times New Roman" w:hAnsi="Microsoft Sans Serif" w:cs="Microsoft Sans Serif"/>
          <w:sz w:val="24"/>
          <w:szCs w:val="24"/>
        </w:rPr>
      </w:pPr>
      <w:r w:rsidRPr="00712F9D">
        <w:rPr>
          <w:rFonts w:ascii="Microsoft Sans Serif" w:eastAsia="Times New Roman" w:hAnsi="Microsoft Sans Serif" w:cs="Microsoft Sans Serif"/>
          <w:sz w:val="24"/>
          <w:szCs w:val="24"/>
        </w:rPr>
        <w:t>crenner@w-r.com</w:t>
      </w:r>
    </w:p>
    <w:p w14:paraId="385DC07A" w14:textId="77777777" w:rsidR="00A66F7E" w:rsidRPr="00C606A5" w:rsidRDefault="00A66F7E" w:rsidP="00A66F7E">
      <w:pPr>
        <w:spacing w:after="0" w:line="240" w:lineRule="auto"/>
        <w:rPr>
          <w:rFonts w:ascii="Microsoft Sans Serif" w:eastAsia="Times New Roman" w:hAnsi="Microsoft Sans Serif" w:cs="Microsoft Sans Serif"/>
          <w:sz w:val="24"/>
          <w:szCs w:val="24"/>
        </w:rPr>
      </w:pPr>
    </w:p>
    <w:p w14:paraId="7FADD32C" w14:textId="77777777" w:rsidR="00A66F7E" w:rsidRDefault="00A66F7E" w:rsidP="00A66F7E"/>
    <w:p w14:paraId="3D9E0C7E" w14:textId="77777777"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A91597" w:rsidRPr="00DA07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AEB9" w14:textId="77777777" w:rsidR="00BE66D7" w:rsidRDefault="00BE66D7" w:rsidP="00DC6465">
      <w:pPr>
        <w:spacing w:after="0" w:line="240" w:lineRule="auto"/>
      </w:pPr>
      <w:r>
        <w:separator/>
      </w:r>
    </w:p>
  </w:endnote>
  <w:endnote w:type="continuationSeparator" w:id="0">
    <w:p w14:paraId="6DA97785" w14:textId="77777777" w:rsidR="00BE66D7" w:rsidRDefault="00BE66D7"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2764E17C" w14:textId="6368615D" w:rsidR="00DC0EE5" w:rsidRPr="00DC0EE5" w:rsidRDefault="00DC0EE5">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03C2" w14:textId="7C30E7CE" w:rsidR="00A66F7E" w:rsidRPr="00DC0EE5" w:rsidRDefault="00A66F7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0D9A" w14:textId="77777777" w:rsidR="00BE66D7" w:rsidRDefault="00BE66D7" w:rsidP="00DC6465">
      <w:pPr>
        <w:spacing w:after="0" w:line="240" w:lineRule="auto"/>
      </w:pPr>
      <w:r>
        <w:separator/>
      </w:r>
    </w:p>
  </w:footnote>
  <w:footnote w:type="continuationSeparator" w:id="0">
    <w:p w14:paraId="4679E042" w14:textId="77777777" w:rsidR="00BE66D7" w:rsidRDefault="00BE66D7" w:rsidP="00DC6465">
      <w:pPr>
        <w:spacing w:after="0" w:line="240" w:lineRule="auto"/>
      </w:pPr>
      <w:r>
        <w:continuationSeparator/>
      </w:r>
    </w:p>
  </w:footnote>
  <w:footnote w:id="1">
    <w:p w14:paraId="42ACA9B6" w14:textId="3A54A788" w:rsidR="004C6075" w:rsidRPr="004678A5" w:rsidRDefault="004C6075" w:rsidP="004C6075">
      <w:pPr>
        <w:spacing w:after="0" w:line="240" w:lineRule="auto"/>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e-Served on the parties.</w:t>
      </w:r>
      <w:r>
        <w:rPr>
          <w:rFonts w:ascii="Times New Roman" w:hAnsi="Times New Roman" w:cs="Times New Roman"/>
          <w:sz w:val="20"/>
          <w:szCs w:val="20"/>
        </w:rPr>
        <w:t xml:space="preserve"> </w:t>
      </w:r>
    </w:p>
  </w:footnote>
  <w:footnote w:id="2">
    <w:p w14:paraId="44CCC8EC" w14:textId="77777777" w:rsidR="009E5BFC" w:rsidRDefault="009E5BFC" w:rsidP="009E5BFC">
      <w:pPr>
        <w:pStyle w:val="FootnoteText"/>
        <w:rPr>
          <w:rFonts w:ascii="Times New Roman" w:hAnsi="Times New Roman" w:cs="Times New Roman"/>
        </w:rPr>
      </w:pPr>
      <w:r>
        <w:rPr>
          <w:rStyle w:val="FootnoteReference"/>
        </w:rPr>
        <w:footnoteRef/>
      </w:r>
      <w:r>
        <w:t xml:space="preserve"> </w:t>
      </w:r>
      <w:r>
        <w:tab/>
      </w:r>
      <w:r w:rsidRPr="00672D7B">
        <w:rPr>
          <w:rFonts w:ascii="Times New Roman" w:hAnsi="Times New Roman" w:cs="Times New Roman"/>
        </w:rPr>
        <w:t xml:space="preserve">The Complainant’s Main Brief </w:t>
      </w:r>
      <w:r>
        <w:rPr>
          <w:rFonts w:ascii="Times New Roman" w:hAnsi="Times New Roman" w:cs="Times New Roman"/>
        </w:rPr>
        <w:t xml:space="preserve">is </w:t>
      </w:r>
      <w:r w:rsidRPr="00672D7B">
        <w:rPr>
          <w:rFonts w:ascii="Times New Roman" w:hAnsi="Times New Roman" w:cs="Times New Roman"/>
        </w:rPr>
        <w:t>238 pages, inclusive of appendices, proposed findings of facts, conclusions of law, and ordering paragraphs</w:t>
      </w:r>
      <w:r>
        <w:rPr>
          <w:rFonts w:ascii="Times New Roman" w:hAnsi="Times New Roman" w:cs="Times New Roman"/>
        </w:rPr>
        <w:t>.  The Complainant’s Corrected Brief amends one sentence on p. 58 of this Brief.  T</w:t>
      </w:r>
      <w:r w:rsidRPr="00672D7B">
        <w:rPr>
          <w:rFonts w:ascii="Times New Roman" w:hAnsi="Times New Roman" w:cs="Times New Roman"/>
        </w:rPr>
        <w:t>he Respondent’s Main Brief</w:t>
      </w:r>
      <w:r>
        <w:rPr>
          <w:rFonts w:ascii="Times New Roman" w:hAnsi="Times New Roman" w:cs="Times New Roman"/>
        </w:rPr>
        <w:t xml:space="preserve"> is 32 pages, also inclusive of proposed findings of facts, conclusions of law, and ordering paragraphs.</w:t>
      </w:r>
    </w:p>
    <w:p w14:paraId="7F44DFAF" w14:textId="77777777" w:rsidR="009E5BFC" w:rsidRPr="00915777" w:rsidRDefault="009E5BFC" w:rsidP="009E5BFC">
      <w:pPr>
        <w:pStyle w:val="FootnoteText"/>
        <w:rPr>
          <w:rFonts w:ascii="Times New Roman" w:hAnsi="Times New Roman" w:cs="Times New Roman"/>
        </w:rPr>
      </w:pPr>
    </w:p>
  </w:footnote>
  <w:footnote w:id="3">
    <w:p w14:paraId="5260D3A4" w14:textId="372FBD96" w:rsidR="002D2009" w:rsidRPr="00340D95" w:rsidRDefault="002D2009" w:rsidP="002D2009">
      <w:pPr>
        <w:pStyle w:val="FootnoteText"/>
        <w:rPr>
          <w:rFonts w:ascii="Times New Roman" w:hAnsi="Times New Roman" w:cs="Times New Roman"/>
          <w:i/>
          <w:iCs/>
        </w:rPr>
      </w:pPr>
      <w:r w:rsidRPr="00340D95">
        <w:rPr>
          <w:rStyle w:val="FootnoteReference"/>
          <w:rFonts w:ascii="Times New Roman" w:hAnsi="Times New Roman" w:cs="Times New Roman"/>
          <w:sz w:val="24"/>
          <w:szCs w:val="24"/>
        </w:rPr>
        <w:footnoteRef/>
      </w:r>
      <w:r w:rsidRPr="00340D95">
        <w:rPr>
          <w:rFonts w:ascii="Times New Roman" w:hAnsi="Times New Roman" w:cs="Times New Roman"/>
          <w:sz w:val="24"/>
          <w:szCs w:val="24"/>
          <w:lang w:val="it-IT"/>
        </w:rPr>
        <w:t xml:space="preserve"> </w:t>
      </w:r>
      <w:r w:rsidRPr="00340D95">
        <w:rPr>
          <w:lang w:val="it-IT"/>
        </w:rPr>
        <w:tab/>
      </w:r>
      <w:r w:rsidRPr="00340D95">
        <w:rPr>
          <w:rFonts w:ascii="Times New Roman" w:hAnsi="Times New Roman" w:cs="Times New Roman"/>
          <w:i/>
          <w:iCs/>
          <w:lang w:val="it-IT"/>
        </w:rPr>
        <w:t xml:space="preserve">Povacz, et al. v. Pa. Pub. </w:t>
      </w:r>
      <w:r w:rsidRPr="002D2009">
        <w:rPr>
          <w:rFonts w:ascii="Times New Roman" w:hAnsi="Times New Roman" w:cs="Times New Roman"/>
          <w:i/>
          <w:iCs/>
        </w:rPr>
        <w:t xml:space="preserve">Util. </w:t>
      </w:r>
      <w:r w:rsidRPr="00340D95">
        <w:rPr>
          <w:rFonts w:ascii="Times New Roman" w:hAnsi="Times New Roman" w:cs="Times New Roman"/>
          <w:i/>
          <w:iCs/>
        </w:rPr>
        <w:t xml:space="preserve">Comm’n, </w:t>
      </w:r>
      <w:r w:rsidRPr="002D2009">
        <w:rPr>
          <w:rFonts w:ascii="Times New Roman" w:hAnsi="Times New Roman" w:cs="Times New Roman"/>
        </w:rPr>
        <w:t>280 A.3d 975 (Pa. 2002</w:t>
      </w:r>
      <w:r w:rsidRPr="00340D95">
        <w:rPr>
          <w:rFonts w:ascii="Times New Roman" w:hAnsi="Times New Roman" w:cs="Times New Roman"/>
        </w:rPr>
        <w:t>)</w:t>
      </w:r>
      <w:r w:rsidR="00EA0B47">
        <w:rPr>
          <w:rFonts w:ascii="Times New Roman" w:hAnsi="Times New Roman" w:cs="Times New Roman"/>
        </w:rPr>
        <w:t xml:space="preserve">.  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5F72"/>
    <w:rsid w:val="000532E3"/>
    <w:rsid w:val="00060991"/>
    <w:rsid w:val="000864A0"/>
    <w:rsid w:val="000B3D4E"/>
    <w:rsid w:val="000B539D"/>
    <w:rsid w:val="000E4900"/>
    <w:rsid w:val="001003C3"/>
    <w:rsid w:val="001C409E"/>
    <w:rsid w:val="002733FC"/>
    <w:rsid w:val="002C1C9D"/>
    <w:rsid w:val="002D2009"/>
    <w:rsid w:val="002E42CE"/>
    <w:rsid w:val="002F1EC4"/>
    <w:rsid w:val="0031523F"/>
    <w:rsid w:val="00340D95"/>
    <w:rsid w:val="003427A9"/>
    <w:rsid w:val="003D7F5D"/>
    <w:rsid w:val="00457B8F"/>
    <w:rsid w:val="004678A5"/>
    <w:rsid w:val="004A1045"/>
    <w:rsid w:val="004C6075"/>
    <w:rsid w:val="004F4EE2"/>
    <w:rsid w:val="004F75D4"/>
    <w:rsid w:val="005234C8"/>
    <w:rsid w:val="005B220E"/>
    <w:rsid w:val="0061300A"/>
    <w:rsid w:val="00644B33"/>
    <w:rsid w:val="00672D7B"/>
    <w:rsid w:val="00687033"/>
    <w:rsid w:val="006914D8"/>
    <w:rsid w:val="006F2CE2"/>
    <w:rsid w:val="007B5C79"/>
    <w:rsid w:val="00812BC6"/>
    <w:rsid w:val="0082409C"/>
    <w:rsid w:val="00872DEE"/>
    <w:rsid w:val="00875468"/>
    <w:rsid w:val="008B432E"/>
    <w:rsid w:val="00915777"/>
    <w:rsid w:val="009A4E22"/>
    <w:rsid w:val="009B01C3"/>
    <w:rsid w:val="009E5BFC"/>
    <w:rsid w:val="009F0467"/>
    <w:rsid w:val="00A05554"/>
    <w:rsid w:val="00A66F7E"/>
    <w:rsid w:val="00A91597"/>
    <w:rsid w:val="00AB3416"/>
    <w:rsid w:val="00B57454"/>
    <w:rsid w:val="00B73457"/>
    <w:rsid w:val="00B878AA"/>
    <w:rsid w:val="00B94872"/>
    <w:rsid w:val="00BC09FC"/>
    <w:rsid w:val="00BC2CFC"/>
    <w:rsid w:val="00BC4FBE"/>
    <w:rsid w:val="00BD3343"/>
    <w:rsid w:val="00BE66D7"/>
    <w:rsid w:val="00C77197"/>
    <w:rsid w:val="00CA25F0"/>
    <w:rsid w:val="00CD77F0"/>
    <w:rsid w:val="00CE1993"/>
    <w:rsid w:val="00D550B3"/>
    <w:rsid w:val="00D67119"/>
    <w:rsid w:val="00DA07F0"/>
    <w:rsid w:val="00DC0EE5"/>
    <w:rsid w:val="00DC6465"/>
    <w:rsid w:val="00DD1991"/>
    <w:rsid w:val="00E00A1B"/>
    <w:rsid w:val="00E03441"/>
    <w:rsid w:val="00E04149"/>
    <w:rsid w:val="00E04C8D"/>
    <w:rsid w:val="00E66814"/>
    <w:rsid w:val="00EA0B47"/>
    <w:rsid w:val="00EC1A68"/>
    <w:rsid w:val="00ED4299"/>
    <w:rsid w:val="00F04A4A"/>
    <w:rsid w:val="00F21AFB"/>
    <w:rsid w:val="00F923A1"/>
    <w:rsid w:val="00FA1C2D"/>
    <w:rsid w:val="00FD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semiHidden/>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2023-12-12T18:48:00Z</cp:lastPrinted>
  <dcterms:created xsi:type="dcterms:W3CDTF">2023-12-12T19:01:00Z</dcterms:created>
  <dcterms:modified xsi:type="dcterms:W3CDTF">2023-12-12T19:01:00Z</dcterms:modified>
</cp:coreProperties>
</file>