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8DD2" w14:textId="77777777" w:rsidR="006B3145" w:rsidRPr="006B3145" w:rsidRDefault="006B3145" w:rsidP="006B3145">
      <w:pPr>
        <w:tabs>
          <w:tab w:val="clear" w:pos="1440"/>
          <w:tab w:val="left" w:pos="5400"/>
          <w:tab w:val="right" w:pos="8640"/>
        </w:tabs>
        <w:spacing w:after="0" w:line="240" w:lineRule="auto"/>
        <w:contextualSpacing/>
        <w:jc w:val="center"/>
        <w:rPr>
          <w:rFonts w:eastAsia="Calibri"/>
          <w:b/>
          <w:kern w:val="0"/>
          <w14:ligatures w14:val="none"/>
        </w:rPr>
      </w:pPr>
      <w:r w:rsidRPr="006B3145">
        <w:rPr>
          <w:rFonts w:eastAsia="Calibri"/>
          <w:b/>
          <w:caps/>
          <w:kern w:val="0"/>
          <w14:ligatures w14:val="none"/>
        </w:rPr>
        <w:t>Before the</w:t>
      </w:r>
    </w:p>
    <w:p w14:paraId="2B557EC4" w14:textId="77777777" w:rsidR="006B3145" w:rsidRPr="006B3145" w:rsidRDefault="006B3145" w:rsidP="006B3145">
      <w:pPr>
        <w:tabs>
          <w:tab w:val="clear" w:pos="1440"/>
        </w:tabs>
        <w:spacing w:after="0" w:line="240" w:lineRule="auto"/>
        <w:jc w:val="center"/>
        <w:rPr>
          <w:rFonts w:eastAsia="Calibri"/>
          <w:b/>
          <w:kern w:val="0"/>
          <w14:ligatures w14:val="none"/>
        </w:rPr>
      </w:pPr>
      <w:r w:rsidRPr="006B3145">
        <w:rPr>
          <w:rFonts w:eastAsia="Calibri"/>
          <w:b/>
          <w:kern w:val="0"/>
          <w14:ligatures w14:val="none"/>
        </w:rPr>
        <w:t>PENNSYLVANIA PUBLIC UTILITY COMMISSION</w:t>
      </w:r>
    </w:p>
    <w:p w14:paraId="09ECF801" w14:textId="77777777" w:rsidR="006B3145" w:rsidRPr="006B3145" w:rsidRDefault="006B3145" w:rsidP="006B3145">
      <w:pPr>
        <w:tabs>
          <w:tab w:val="clear" w:pos="1440"/>
        </w:tabs>
        <w:spacing w:after="0" w:line="240" w:lineRule="auto"/>
        <w:jc w:val="center"/>
        <w:rPr>
          <w:rFonts w:eastAsia="Calibri"/>
          <w:b/>
          <w:kern w:val="0"/>
          <w14:ligatures w14:val="none"/>
        </w:rPr>
      </w:pPr>
    </w:p>
    <w:p w14:paraId="62F2E6D3" w14:textId="77777777" w:rsidR="006B3145" w:rsidRPr="006B3145" w:rsidRDefault="006B3145" w:rsidP="006B3145">
      <w:pPr>
        <w:tabs>
          <w:tab w:val="clear" w:pos="1440"/>
        </w:tabs>
        <w:spacing w:after="0" w:line="240" w:lineRule="auto"/>
        <w:jc w:val="center"/>
        <w:rPr>
          <w:rFonts w:eastAsia="Calibri"/>
          <w:b/>
          <w:kern w:val="0"/>
          <w:u w:val="single"/>
          <w14:ligatures w14:val="none"/>
        </w:rPr>
      </w:pPr>
    </w:p>
    <w:p w14:paraId="1B8E09CA" w14:textId="77777777" w:rsidR="006B3145" w:rsidRPr="006B3145" w:rsidRDefault="006B3145" w:rsidP="006B3145">
      <w:pPr>
        <w:tabs>
          <w:tab w:val="clear" w:pos="1440"/>
        </w:tabs>
        <w:spacing w:after="0" w:line="240" w:lineRule="auto"/>
        <w:jc w:val="center"/>
        <w:rPr>
          <w:rFonts w:eastAsia="Calibri"/>
          <w:b/>
          <w:kern w:val="0"/>
          <w:u w:val="single"/>
          <w14:ligatures w14:val="none"/>
        </w:rPr>
      </w:pPr>
    </w:p>
    <w:p w14:paraId="331A5BC2" w14:textId="65866940" w:rsidR="006B3145" w:rsidRPr="006B3145" w:rsidRDefault="006B3145" w:rsidP="006B3145">
      <w:pPr>
        <w:tabs>
          <w:tab w:val="clear" w:pos="1440"/>
        </w:tabs>
        <w:spacing w:after="0" w:line="240" w:lineRule="auto"/>
        <w:jc w:val="both"/>
        <w:rPr>
          <w:rFonts w:eastAsia="Calibri"/>
          <w:kern w:val="0"/>
          <w14:ligatures w14:val="none"/>
        </w:rPr>
      </w:pPr>
      <w:r>
        <w:rPr>
          <w:rFonts w:eastAsia="Calibri"/>
          <w:kern w:val="0"/>
          <w14:ligatures w14:val="none"/>
        </w:rPr>
        <w:t>Andrea Fenimore</w:t>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t>:</w:t>
      </w:r>
      <w:r w:rsidRPr="006B3145">
        <w:rPr>
          <w:rFonts w:eastAsia="Calibri"/>
          <w:kern w:val="0"/>
          <w14:ligatures w14:val="none"/>
        </w:rPr>
        <w:tab/>
      </w:r>
      <w:bookmarkStart w:id="0" w:name="_Hlk153264019"/>
      <w:r w:rsidRPr="006B3145">
        <w:rPr>
          <w:rFonts w:eastAsia="Calibri"/>
          <w:kern w:val="0"/>
          <w14:ligatures w14:val="none"/>
        </w:rPr>
        <w:t>C-2023-30</w:t>
      </w:r>
      <w:r w:rsidR="00B03D7B">
        <w:rPr>
          <w:rFonts w:eastAsia="Calibri"/>
          <w:kern w:val="0"/>
          <w14:ligatures w14:val="none"/>
        </w:rPr>
        <w:t>30605</w:t>
      </w:r>
    </w:p>
    <w:bookmarkEnd w:id="0"/>
    <w:p w14:paraId="153EDEFF" w14:textId="77777777" w:rsidR="006B3145" w:rsidRPr="006B3145" w:rsidRDefault="006B3145" w:rsidP="006B3145">
      <w:pPr>
        <w:tabs>
          <w:tab w:val="clear" w:pos="1440"/>
        </w:tabs>
        <w:spacing w:after="0" w:line="240" w:lineRule="auto"/>
        <w:jc w:val="both"/>
        <w:rPr>
          <w:rFonts w:eastAsia="Calibri"/>
          <w:kern w:val="0"/>
          <w14:ligatures w14:val="none"/>
        </w:rPr>
      </w:pP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t>:</w:t>
      </w:r>
      <w:r w:rsidRPr="006B3145">
        <w:rPr>
          <w:rFonts w:eastAsia="Calibri"/>
          <w:kern w:val="0"/>
          <w14:ligatures w14:val="none"/>
        </w:rPr>
        <w:tab/>
      </w:r>
    </w:p>
    <w:p w14:paraId="27FD94FC" w14:textId="77777777" w:rsidR="006B3145" w:rsidRPr="006B3145" w:rsidRDefault="006B3145" w:rsidP="006B3145">
      <w:pPr>
        <w:tabs>
          <w:tab w:val="clear" w:pos="1440"/>
        </w:tabs>
        <w:spacing w:after="0" w:line="240" w:lineRule="auto"/>
        <w:jc w:val="both"/>
        <w:rPr>
          <w:rFonts w:eastAsia="Calibri"/>
          <w:kern w:val="0"/>
          <w14:ligatures w14:val="none"/>
        </w:rPr>
      </w:pPr>
      <w:r w:rsidRPr="006B3145">
        <w:rPr>
          <w:rFonts w:eastAsia="Calibri"/>
          <w:kern w:val="0"/>
          <w14:ligatures w14:val="none"/>
        </w:rPr>
        <w:tab/>
        <w:t>v.</w:t>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t>:</w:t>
      </w:r>
      <w:r w:rsidRPr="006B3145">
        <w:rPr>
          <w:rFonts w:eastAsia="Calibri"/>
          <w:kern w:val="0"/>
          <w14:ligatures w14:val="none"/>
        </w:rPr>
        <w:tab/>
      </w:r>
      <w:r w:rsidRPr="006B3145">
        <w:rPr>
          <w:rFonts w:eastAsia="Calibri"/>
          <w:kern w:val="0"/>
          <w14:ligatures w14:val="none"/>
        </w:rPr>
        <w:tab/>
      </w:r>
    </w:p>
    <w:p w14:paraId="464951CD" w14:textId="77777777" w:rsidR="006B3145" w:rsidRPr="006B3145" w:rsidRDefault="006B3145" w:rsidP="006B3145">
      <w:pPr>
        <w:tabs>
          <w:tab w:val="clear" w:pos="1440"/>
        </w:tabs>
        <w:spacing w:after="0" w:line="240" w:lineRule="auto"/>
        <w:jc w:val="both"/>
        <w:rPr>
          <w:rFonts w:eastAsia="Calibri"/>
          <w:kern w:val="0"/>
          <w14:ligatures w14:val="none"/>
        </w:rPr>
      </w:pP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t>:</w:t>
      </w:r>
    </w:p>
    <w:p w14:paraId="05D3FF8A" w14:textId="769B25F4" w:rsidR="006B3145" w:rsidRPr="006B3145" w:rsidRDefault="006B3145" w:rsidP="006B3145">
      <w:pPr>
        <w:tabs>
          <w:tab w:val="clear" w:pos="1440"/>
        </w:tabs>
        <w:spacing w:after="0" w:line="240" w:lineRule="auto"/>
        <w:jc w:val="both"/>
        <w:rPr>
          <w:rFonts w:eastAsia="Calibri"/>
          <w:kern w:val="0"/>
          <w14:ligatures w14:val="none"/>
        </w:rPr>
      </w:pPr>
      <w:r>
        <w:rPr>
          <w:rFonts w:eastAsia="Calibri"/>
          <w:kern w:val="0"/>
          <w14:ligatures w14:val="none"/>
        </w:rPr>
        <w:t>Pennsylvania Electric Company</w:t>
      </w:r>
      <w:r w:rsidRPr="006B3145">
        <w:rPr>
          <w:rFonts w:eastAsia="Calibri"/>
          <w:kern w:val="0"/>
          <w14:ligatures w14:val="none"/>
        </w:rPr>
        <w:tab/>
      </w:r>
      <w:r w:rsidRPr="006B3145">
        <w:rPr>
          <w:rFonts w:eastAsia="Calibri"/>
          <w:kern w:val="0"/>
          <w14:ligatures w14:val="none"/>
        </w:rPr>
        <w:tab/>
      </w:r>
      <w:r w:rsidRPr="006B3145">
        <w:rPr>
          <w:rFonts w:eastAsia="Calibri"/>
          <w:kern w:val="0"/>
          <w14:ligatures w14:val="none"/>
        </w:rPr>
        <w:tab/>
        <w:t>:</w:t>
      </w:r>
    </w:p>
    <w:p w14:paraId="30FF1159" w14:textId="77777777" w:rsidR="006B3145" w:rsidRPr="006B3145" w:rsidRDefault="006B3145" w:rsidP="006B3145">
      <w:pPr>
        <w:tabs>
          <w:tab w:val="clear" w:pos="1440"/>
        </w:tabs>
        <w:spacing w:after="0" w:line="240" w:lineRule="auto"/>
        <w:jc w:val="both"/>
        <w:rPr>
          <w:rFonts w:eastAsia="Calibri"/>
          <w:kern w:val="0"/>
          <w14:ligatures w14:val="none"/>
        </w:rPr>
      </w:pPr>
    </w:p>
    <w:p w14:paraId="4449505C" w14:textId="2C1941BE" w:rsidR="006B3145" w:rsidRPr="006B3145" w:rsidRDefault="006B3145" w:rsidP="006B3145">
      <w:pPr>
        <w:tabs>
          <w:tab w:val="clear" w:pos="1440"/>
        </w:tabs>
        <w:spacing w:after="0" w:line="240" w:lineRule="auto"/>
        <w:jc w:val="both"/>
        <w:rPr>
          <w:rFonts w:eastAsia="Calibri"/>
          <w:kern w:val="0"/>
          <w14:ligatures w14:val="none"/>
        </w:rPr>
      </w:pPr>
    </w:p>
    <w:p w14:paraId="6E481210" w14:textId="77777777" w:rsidR="007F79D3" w:rsidRDefault="007F79D3" w:rsidP="008D69D2">
      <w:pPr>
        <w:spacing w:after="0" w:line="240" w:lineRule="auto"/>
      </w:pPr>
    </w:p>
    <w:p w14:paraId="710BADD2" w14:textId="54139272" w:rsidR="007F79D3" w:rsidRPr="00CD3083" w:rsidRDefault="007F79D3" w:rsidP="007B11DD">
      <w:pPr>
        <w:spacing w:after="0" w:line="240" w:lineRule="auto"/>
        <w:jc w:val="center"/>
        <w:rPr>
          <w:b/>
          <w:bCs/>
        </w:rPr>
      </w:pPr>
      <w:r w:rsidRPr="00CD3083">
        <w:rPr>
          <w:b/>
          <w:bCs/>
        </w:rPr>
        <w:t>INTERIM ORDER</w:t>
      </w:r>
    </w:p>
    <w:p w14:paraId="4E60B8B4" w14:textId="041367DD" w:rsidR="007F79D3" w:rsidRDefault="007B11DD" w:rsidP="00223406">
      <w:pPr>
        <w:spacing w:after="0"/>
        <w:jc w:val="center"/>
        <w:rPr>
          <w:b/>
          <w:bCs/>
          <w:u w:val="single"/>
        </w:rPr>
      </w:pPr>
      <w:r w:rsidRPr="00CD3083">
        <w:rPr>
          <w:b/>
          <w:bCs/>
          <w:u w:val="single"/>
        </w:rPr>
        <w:t>ESTABLISHING AN INITIAL LITIGATION SCHEDULE</w:t>
      </w:r>
    </w:p>
    <w:p w14:paraId="00956A1B" w14:textId="77777777" w:rsidR="00223406" w:rsidRPr="00223406" w:rsidRDefault="00223406" w:rsidP="00223406">
      <w:pPr>
        <w:spacing w:after="0"/>
        <w:jc w:val="center"/>
      </w:pPr>
    </w:p>
    <w:p w14:paraId="2A803572" w14:textId="3790DF41" w:rsidR="007F79D3" w:rsidRDefault="007F79D3" w:rsidP="006B3145">
      <w:pPr>
        <w:spacing w:after="0"/>
      </w:pPr>
      <w:r>
        <w:tab/>
      </w:r>
      <w:r w:rsidRPr="0090508F">
        <w:t xml:space="preserve">On </w:t>
      </w:r>
      <w:r w:rsidR="001F2AC6">
        <w:t xml:space="preserve">January 12, </w:t>
      </w:r>
      <w:r w:rsidR="00223406">
        <w:t>2022, Andrea</w:t>
      </w:r>
      <w:r w:rsidR="001F2AC6">
        <w:t xml:space="preserve"> Fenimore (Complainant)</w:t>
      </w:r>
      <w:r w:rsidRPr="0090508F">
        <w:t xml:space="preserve"> filed a </w:t>
      </w:r>
      <w:r w:rsidR="001F2AC6">
        <w:t xml:space="preserve">formal </w:t>
      </w:r>
      <w:r w:rsidRPr="0090508F">
        <w:t xml:space="preserve">complaint against </w:t>
      </w:r>
      <w:r w:rsidR="005C2158">
        <w:t>Pennsylvania</w:t>
      </w:r>
      <w:r w:rsidR="00455CDC">
        <w:t xml:space="preserve"> Electric Company (Penelec or Respondent)</w:t>
      </w:r>
      <w:r w:rsidR="002D16EB">
        <w:t xml:space="preserve">. She checked the box noting that she is having a reliability, safety or quality problems and </w:t>
      </w:r>
      <w:r w:rsidR="004C48F3" w:rsidRPr="0090508F">
        <w:t>all</w:t>
      </w:r>
      <w:r w:rsidR="004C48F3">
        <w:t>eged</w:t>
      </w:r>
      <w:r w:rsidRPr="0090508F">
        <w:t>, among other things, that the smart meter installed at her home is causing</w:t>
      </w:r>
      <w:r w:rsidR="00A70717">
        <w:t xml:space="preserve"> her to have</w:t>
      </w:r>
      <w:r w:rsidRPr="0090508F">
        <w:t xml:space="preserve"> insomnia.  As relief, she requests the Penelec remove the smart meter and restore her analog meter.</w:t>
      </w:r>
      <w:r>
        <w:t xml:space="preserve"> </w:t>
      </w:r>
    </w:p>
    <w:p w14:paraId="411C9CF6" w14:textId="77777777" w:rsidR="00223406" w:rsidRDefault="00223406" w:rsidP="006B3145">
      <w:pPr>
        <w:spacing w:after="0"/>
      </w:pPr>
    </w:p>
    <w:p w14:paraId="7A520308" w14:textId="6E55C05F" w:rsidR="007F79D3" w:rsidRDefault="007F79D3" w:rsidP="006B3145">
      <w:pPr>
        <w:spacing w:after="0"/>
      </w:pPr>
      <w:r>
        <w:tab/>
        <w:t>On November 4, 2020, in view of the appellate court litigation surrounding smart meters, the Commission issued a general stay of all smart meter proceedings pending before it.</w:t>
      </w:r>
      <w:r w:rsidR="00A70717">
        <w:t xml:space="preserve">  By letter dated February 11, 2022, Penelec</w:t>
      </w:r>
      <w:r w:rsidR="004A2CDB">
        <w:t xml:space="preserve"> noted that the Commission stay was in place and that it would file an answer to the complaint when the stay </w:t>
      </w:r>
      <w:r w:rsidR="001250EF">
        <w:t>was lifted by the Commission.</w:t>
      </w:r>
    </w:p>
    <w:p w14:paraId="77879D4D" w14:textId="77777777" w:rsidR="00AD6F65" w:rsidRDefault="00AD6F65" w:rsidP="006B3145">
      <w:pPr>
        <w:spacing w:after="0"/>
      </w:pPr>
    </w:p>
    <w:p w14:paraId="2EDAC557" w14:textId="77777777" w:rsidR="00AD6F65" w:rsidRDefault="007F79D3" w:rsidP="006B3145">
      <w:pPr>
        <w:spacing w:after="0"/>
      </w:pPr>
      <w:r w:rsidRPr="007F79D3">
        <w:tab/>
        <w:t xml:space="preserve">On August 16, 2022, the Pennsylvania issued a decision in </w:t>
      </w:r>
      <w:r w:rsidRPr="007F79D3">
        <w:rPr>
          <w:i/>
          <w:iCs/>
        </w:rPr>
        <w:t>Povacz. v. Pa. Public Utility Commission</w:t>
      </w:r>
      <w:r w:rsidRPr="007F79D3">
        <w:t>.</w:t>
      </w:r>
      <w:r w:rsidRPr="007F79D3">
        <w:rPr>
          <w:vertAlign w:val="superscript"/>
        </w:rPr>
        <w:footnoteReference w:id="1"/>
      </w:r>
      <w:r w:rsidRPr="007F79D3">
        <w:rPr>
          <w:i/>
          <w:iCs/>
        </w:rPr>
        <w:t xml:space="preserve"> </w:t>
      </w:r>
      <w:r w:rsidRPr="007F79D3">
        <w:t xml:space="preserve"> In </w:t>
      </w:r>
      <w:r w:rsidRPr="007F79D3">
        <w:rPr>
          <w:i/>
          <w:iCs/>
        </w:rPr>
        <w:t>Povacz II</w:t>
      </w:r>
      <w:r w:rsidRPr="007F79D3">
        <w:t>, the Pennsylvania Supreme Court resolved many of the outstanding legal issues in many smart meter cases.  The court held, among other things, that under Act 129, customers have no right to refuse smart meter installation.</w:t>
      </w:r>
      <w:r w:rsidRPr="007F79D3">
        <w:rPr>
          <w:vertAlign w:val="superscript"/>
        </w:rPr>
        <w:footnoteReference w:id="2"/>
      </w:r>
      <w:r w:rsidRPr="007F79D3">
        <w:t xml:space="preserve">  The court further clarified the burden of proof required to support a claim that the installation of a smart meter </w:t>
      </w:r>
      <w:r w:rsidRPr="007F79D3">
        <w:lastRenderedPageBreak/>
        <w:t>violates the safe and reasonable service requirement of Section 1501 of the Public Utility Code.</w:t>
      </w:r>
      <w:r w:rsidRPr="007F79D3">
        <w:rPr>
          <w:vertAlign w:val="superscript"/>
        </w:rPr>
        <w:footnoteReference w:id="3"/>
      </w:r>
      <w:r w:rsidRPr="007F79D3">
        <w:t xml:space="preserve"> </w:t>
      </w:r>
      <w:r>
        <w:t xml:space="preserve"> </w:t>
      </w:r>
      <w:r w:rsidR="00C30DF3">
        <w:t>Specifically, the court held that to prove that</w:t>
      </w:r>
      <w:r w:rsidR="00D238DF">
        <w:t xml:space="preserve"> a smart meter is unsafe</w:t>
      </w:r>
      <w:r w:rsidR="003F3EC1">
        <w:t xml:space="preserve"> service under Section 1501, a complainant must support that allegation with medical or expert testimony.</w:t>
      </w:r>
    </w:p>
    <w:p w14:paraId="2AB62D39" w14:textId="28AA786D" w:rsidR="007F79D3" w:rsidRPr="007F79D3" w:rsidRDefault="007F79D3" w:rsidP="006B3145">
      <w:pPr>
        <w:spacing w:after="0"/>
      </w:pPr>
      <w:r w:rsidRPr="007F79D3">
        <w:t xml:space="preserve"> </w:t>
      </w:r>
    </w:p>
    <w:p w14:paraId="29F1B408" w14:textId="04340D45" w:rsidR="007F79D3" w:rsidRDefault="007F79D3" w:rsidP="006B3145">
      <w:pPr>
        <w:spacing w:after="0"/>
      </w:pPr>
      <w:r w:rsidRPr="007F79D3">
        <w:tab/>
        <w:t>A copy of the Supreme Court’s decision can b</w:t>
      </w:r>
      <w:r w:rsidR="00341EB5">
        <w:t>e</w:t>
      </w:r>
      <w:r w:rsidRPr="007F79D3">
        <w:t xml:space="preserve"> downloaded here:  </w:t>
      </w:r>
      <w:hyperlink r:id="rId8" w:history="1">
        <w:r w:rsidRPr="007F79D3">
          <w:rPr>
            <w:color w:val="0000FF" w:themeColor="hyperlink"/>
            <w:u w:val="single"/>
          </w:rPr>
          <w:t>https://www.pacourts.us/assets/opinions/SUPREME/out/J-77-A-L-2021mo.pdf</w:t>
        </w:r>
      </w:hyperlink>
      <w:r w:rsidRPr="007F79D3">
        <w:t xml:space="preserve"> </w:t>
      </w:r>
    </w:p>
    <w:p w14:paraId="11B53EE0" w14:textId="77777777" w:rsidR="00AD6F65" w:rsidRPr="007F79D3" w:rsidRDefault="00AD6F65" w:rsidP="006B3145">
      <w:pPr>
        <w:spacing w:after="0"/>
      </w:pPr>
    </w:p>
    <w:p w14:paraId="389465F5" w14:textId="77777777" w:rsidR="007F79D3" w:rsidRDefault="007F79D3" w:rsidP="006B3145">
      <w:pPr>
        <w:spacing w:after="0"/>
      </w:pPr>
      <w:r w:rsidRPr="007F79D3">
        <w:tab/>
        <w:t>By order entered November 14, 2023, the Commission lifted the general stay of smart meter proceedings and directed the Office of Administrative Law Judge to proceed with pending formal complaint proceedings as directed by the presiding administrative law judge.</w:t>
      </w:r>
    </w:p>
    <w:p w14:paraId="52CA687E" w14:textId="77777777" w:rsidR="00486F43" w:rsidRPr="007F79D3" w:rsidRDefault="00486F43" w:rsidP="006B3145">
      <w:pPr>
        <w:spacing w:after="0"/>
      </w:pPr>
    </w:p>
    <w:p w14:paraId="301833AF" w14:textId="3A1779A6" w:rsidR="007F79D3" w:rsidRDefault="007F79D3" w:rsidP="006B3145">
      <w:pPr>
        <w:spacing w:after="0"/>
      </w:pPr>
      <w:r w:rsidRPr="007F79D3">
        <w:tab/>
        <w:t>By notice dated November 17, 2023, the Office of Administrative Law Judge assigned this matter to me.</w:t>
      </w:r>
    </w:p>
    <w:p w14:paraId="4703C8AF" w14:textId="77777777" w:rsidR="00486F43" w:rsidRDefault="00486F43" w:rsidP="006B3145">
      <w:pPr>
        <w:spacing w:after="0"/>
      </w:pPr>
    </w:p>
    <w:p w14:paraId="73D2B483" w14:textId="7FA40F61" w:rsidR="009F7C29" w:rsidRDefault="009F7C29" w:rsidP="006B3145">
      <w:pPr>
        <w:spacing w:after="0"/>
      </w:pPr>
      <w:r>
        <w:tab/>
        <w:t>Penelec filed an answer to the Complaint on December 4, 2023.</w:t>
      </w:r>
      <w:r w:rsidR="006E19F2">
        <w:t xml:space="preserve">  Penelec admitted that a smart meter was installed at the Complainant’s service address.  Penelec went on to state that it was required by law to install the smart meter</w:t>
      </w:r>
      <w:r w:rsidR="008030AA">
        <w:t xml:space="preserve"> and noted that it was willing to discuss </w:t>
      </w:r>
      <w:proofErr w:type="gramStart"/>
      <w:r w:rsidR="008030AA">
        <w:t>an accommodation</w:t>
      </w:r>
      <w:proofErr w:type="gramEnd"/>
      <w:r w:rsidR="008030AA">
        <w:t xml:space="preserve"> with the Complainant</w:t>
      </w:r>
      <w:r w:rsidR="009031A8">
        <w:t xml:space="preserve"> as provided for in its tariff.</w:t>
      </w:r>
    </w:p>
    <w:p w14:paraId="0C0B08CD" w14:textId="77777777" w:rsidR="00486F43" w:rsidRDefault="00486F43" w:rsidP="006B3145">
      <w:pPr>
        <w:spacing w:after="0"/>
      </w:pPr>
    </w:p>
    <w:p w14:paraId="14419337" w14:textId="457E0027" w:rsidR="00CE1777" w:rsidRDefault="00345BF1" w:rsidP="00CE1777">
      <w:pPr>
        <w:spacing w:after="0"/>
      </w:pPr>
      <w:r>
        <w:tab/>
        <w:t xml:space="preserve">Normally, </w:t>
      </w:r>
      <w:r w:rsidR="00FF15BC">
        <w:t xml:space="preserve">it is Commission practice to schedule a </w:t>
      </w:r>
      <w:r>
        <w:t>consumer complaint for a hearing once the answer to the complaint has been filed.  However, given the passage of time and the controversy surrounding smart meter proceedings, I believe a departure from normal practice is justified.</w:t>
      </w:r>
      <w:r w:rsidR="002170AF">
        <w:t xml:space="preserve">  In the ordering paragraphs below, the parties will be ordered to identify any medical or scientific experts they may wish to</w:t>
      </w:r>
      <w:r w:rsidR="00CF5669">
        <w:t xml:space="preserve"> testify at the hearing.  The Parties will also be directed to confer and agree on mutually agreeable hearing dates or present an alternative recommendation for litigation. </w:t>
      </w:r>
    </w:p>
    <w:p w14:paraId="4C79D0AD" w14:textId="77777777" w:rsidR="00CE1777" w:rsidRDefault="00CE1777" w:rsidP="00EE31F9">
      <w:pPr>
        <w:spacing w:after="0"/>
      </w:pPr>
      <w:r>
        <w:tab/>
      </w:r>
    </w:p>
    <w:p w14:paraId="630C38A9" w14:textId="77777777" w:rsidR="00CE1777" w:rsidRDefault="00CE1777" w:rsidP="00EE31F9">
      <w:pPr>
        <w:spacing w:after="0"/>
      </w:pPr>
    </w:p>
    <w:p w14:paraId="524E6A53" w14:textId="66E698B6" w:rsidR="00852214" w:rsidRDefault="00CE1777" w:rsidP="00486F43">
      <w:pPr>
        <w:keepNext/>
        <w:spacing w:after="0"/>
      </w:pPr>
      <w:r>
        <w:lastRenderedPageBreak/>
        <w:tab/>
      </w:r>
      <w:r w:rsidR="00CF5669">
        <w:t xml:space="preserve">The </w:t>
      </w:r>
      <w:r w:rsidR="0058375B">
        <w:t>Parties are authorized to request and exchange information</w:t>
      </w:r>
      <w:r w:rsidR="002F57E1">
        <w:t xml:space="preserve"> in accordance with the Commission’s rules of Discovery. </w:t>
      </w:r>
      <w:r w:rsidR="007A4FFD">
        <w:t xml:space="preserve"> The Commission’s rules of procedure can be found here:  </w:t>
      </w:r>
      <w:r w:rsidR="00E4054D">
        <w:br/>
      </w:r>
      <w:hyperlink r:id="rId9" w:history="1">
        <w:r w:rsidR="00E4054D" w:rsidRPr="005B3211">
          <w:rPr>
            <w:rStyle w:val="Hyperlink"/>
          </w:rPr>
          <w:t>https://www.pacodeandbulletin.gov/Display/pacode?titleNumber=052&amp;file=/secure/pacode/data/052/052toc.html&amp;searchunitkeywords=&amp;operator=OR&amp;title=null</w:t>
        </w:r>
      </w:hyperlink>
      <w:r w:rsidR="00852214">
        <w:t xml:space="preserve"> </w:t>
      </w:r>
      <w:r w:rsidR="00E4054D">
        <w:br/>
      </w:r>
    </w:p>
    <w:p w14:paraId="316C9F53" w14:textId="71A2347D" w:rsidR="007D0501" w:rsidRDefault="00D5728F" w:rsidP="006B3145">
      <w:pPr>
        <w:spacing w:after="0"/>
      </w:pPr>
      <w:r>
        <w:tab/>
      </w:r>
      <w:r w:rsidRPr="00D5728F">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et seq.  The Parties must not send </w:t>
      </w:r>
      <w:r>
        <w:t>me</w:t>
      </w:r>
      <w:r w:rsidRPr="00D5728F">
        <w:t xml:space="preserve">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w:t>
      </w:r>
      <w:r w:rsidR="00E4054D">
        <w:t>I will direct you to p</w:t>
      </w:r>
      <w:r w:rsidRPr="00D5728F">
        <w:t>ursue informal discovery.</w:t>
      </w:r>
    </w:p>
    <w:p w14:paraId="5D9D99FA" w14:textId="77777777" w:rsidR="002E1293" w:rsidRDefault="002E1293" w:rsidP="006B3145">
      <w:pPr>
        <w:spacing w:after="0"/>
      </w:pPr>
    </w:p>
    <w:p w14:paraId="6866934E" w14:textId="4D340AA5" w:rsidR="00345BF1" w:rsidRDefault="00852214" w:rsidP="006B3145">
      <w:pPr>
        <w:spacing w:after="0"/>
      </w:pPr>
      <w:r>
        <w:tab/>
      </w:r>
      <w:r w:rsidR="002F57E1">
        <w:t>It is expected that the Parties will cooperate</w:t>
      </w:r>
      <w:r w:rsidR="007A4FFD">
        <w:t>.</w:t>
      </w:r>
    </w:p>
    <w:p w14:paraId="76D9CC3C" w14:textId="77777777" w:rsidR="002E1293" w:rsidRDefault="002E1293" w:rsidP="006B3145">
      <w:pPr>
        <w:spacing w:after="0"/>
      </w:pPr>
    </w:p>
    <w:p w14:paraId="5D420581" w14:textId="37435F8B" w:rsidR="00345BF1" w:rsidRDefault="002C7235" w:rsidP="006B3145">
      <w:pPr>
        <w:spacing w:after="0"/>
      </w:pPr>
      <w:r>
        <w:tab/>
      </w:r>
      <w:r w:rsidR="00345BF1">
        <w:t>THEREFORE,</w:t>
      </w:r>
    </w:p>
    <w:p w14:paraId="2D81753C" w14:textId="77777777" w:rsidR="002C7235" w:rsidRDefault="002C7235" w:rsidP="006B3145">
      <w:pPr>
        <w:spacing w:after="0"/>
      </w:pPr>
    </w:p>
    <w:p w14:paraId="1639931D" w14:textId="2EB52ECA" w:rsidR="00345BF1" w:rsidRDefault="002C7235" w:rsidP="006B3145">
      <w:pPr>
        <w:spacing w:after="0"/>
      </w:pPr>
      <w:r>
        <w:tab/>
      </w:r>
      <w:r w:rsidR="00345BF1">
        <w:t>IT IS ORDERED:</w:t>
      </w:r>
    </w:p>
    <w:p w14:paraId="1F54B71E" w14:textId="77777777" w:rsidR="002C7235" w:rsidRDefault="002C7235" w:rsidP="006B3145">
      <w:pPr>
        <w:spacing w:after="0"/>
      </w:pPr>
    </w:p>
    <w:p w14:paraId="0B718567" w14:textId="1892A372" w:rsidR="00345BF1" w:rsidRDefault="00556A67" w:rsidP="002C7235">
      <w:pPr>
        <w:pStyle w:val="ListParagraph"/>
        <w:numPr>
          <w:ilvl w:val="0"/>
          <w:numId w:val="43"/>
        </w:numPr>
        <w:jc w:val="both"/>
      </w:pPr>
      <w:r>
        <w:t xml:space="preserve">That on or before </w:t>
      </w:r>
      <w:r w:rsidR="00F042C3" w:rsidRPr="002C7235">
        <w:rPr>
          <w:b/>
          <w:bCs/>
        </w:rPr>
        <w:t>February 12, 2024</w:t>
      </w:r>
      <w:r w:rsidR="00A26826">
        <w:t xml:space="preserve">, any Party </w:t>
      </w:r>
      <w:r w:rsidR="00240954" w:rsidRPr="00240954">
        <w:t xml:space="preserve">wishing to present expert testimony (including but not limited to medical, technical, etc.) must provide to the other Party in writing, the name and business address of that expert </w:t>
      </w:r>
      <w:r w:rsidR="00240954" w:rsidRPr="002C7235">
        <w:rPr>
          <w:b/>
          <w:bCs/>
          <w:u w:val="single"/>
        </w:rPr>
        <w:t xml:space="preserve">and </w:t>
      </w:r>
      <w:r w:rsidR="00240954" w:rsidRPr="00240954">
        <w:t>a written summary of the expected testimony of that expert.</w:t>
      </w:r>
      <w:r w:rsidR="00014BE8">
        <w:t xml:space="preserve">  </w:t>
      </w:r>
      <w:r w:rsidR="00363549">
        <w:t>Each Party shall provide notice to me that they have identified and expert and provided</w:t>
      </w:r>
      <w:r w:rsidR="00720B93">
        <w:t xml:space="preserve"> the other Party the</w:t>
      </w:r>
      <w:r w:rsidR="00ED02D5">
        <w:t xml:space="preserve"> expert information and summary of expected testimony by email to </w:t>
      </w:r>
      <w:hyperlink r:id="rId10" w:history="1">
        <w:r w:rsidR="00ED02D5" w:rsidRPr="005B3211">
          <w:rPr>
            <w:rStyle w:val="Hyperlink"/>
          </w:rPr>
          <w:t>malong@pa.gov</w:t>
        </w:r>
      </w:hyperlink>
      <w:r w:rsidR="00ED02D5">
        <w:t xml:space="preserve">. </w:t>
      </w:r>
    </w:p>
    <w:p w14:paraId="47D38498" w14:textId="77777777" w:rsidR="002C7235" w:rsidRDefault="002C7235" w:rsidP="002C7235">
      <w:pPr>
        <w:spacing w:after="0"/>
        <w:jc w:val="both"/>
      </w:pPr>
    </w:p>
    <w:p w14:paraId="30CDAC4D" w14:textId="08AE64D8" w:rsidR="002C7235" w:rsidRDefault="0060623C" w:rsidP="002C7235">
      <w:pPr>
        <w:pStyle w:val="ListParagraph"/>
        <w:numPr>
          <w:ilvl w:val="0"/>
          <w:numId w:val="43"/>
        </w:numPr>
        <w:spacing w:after="0"/>
        <w:jc w:val="both"/>
      </w:pPr>
      <w:r>
        <w:lastRenderedPageBreak/>
        <w:t xml:space="preserve">That </w:t>
      </w:r>
      <w:r w:rsidR="001A140C">
        <w:t>the</w:t>
      </w:r>
      <w:r w:rsidR="00666CA5" w:rsidRPr="00666CA5">
        <w:t xml:space="preserve"> Parties shall confer </w:t>
      </w:r>
      <w:proofErr w:type="gramStart"/>
      <w:r w:rsidR="00666CA5" w:rsidRPr="00666CA5">
        <w:t>in an attempt to</w:t>
      </w:r>
      <w:proofErr w:type="gramEnd"/>
      <w:r w:rsidR="00666CA5" w:rsidRPr="00666CA5">
        <w:t xml:space="preserve"> agree upon proposed dates for a hearing in this case to be held in May</w:t>
      </w:r>
      <w:r w:rsidR="00112972">
        <w:t xml:space="preserve"> or June</w:t>
      </w:r>
      <w:r w:rsidR="00666CA5" w:rsidRPr="00666CA5">
        <w:t xml:space="preserve"> of 2024. </w:t>
      </w:r>
    </w:p>
    <w:p w14:paraId="4A31AEA3" w14:textId="77777777" w:rsidR="002C7235" w:rsidRDefault="002C7235" w:rsidP="002E1293">
      <w:pPr>
        <w:spacing w:after="0"/>
        <w:ind w:left="1080" w:hanging="360"/>
        <w:jc w:val="both"/>
      </w:pPr>
    </w:p>
    <w:p w14:paraId="56D6F218" w14:textId="351770A9" w:rsidR="002C7235" w:rsidRDefault="001A140C" w:rsidP="002E1293">
      <w:pPr>
        <w:pStyle w:val="ListParagraph"/>
        <w:numPr>
          <w:ilvl w:val="0"/>
          <w:numId w:val="43"/>
        </w:numPr>
        <w:spacing w:after="0" w:afterAutospacing="0"/>
        <w:jc w:val="both"/>
      </w:pPr>
      <w:r>
        <w:t xml:space="preserve">That counsel for the Company shall file a joint status report on or before </w:t>
      </w:r>
      <w:r w:rsidRPr="002C7235">
        <w:rPr>
          <w:b/>
          <w:bCs/>
        </w:rPr>
        <w:t>March 29, 2024</w:t>
      </w:r>
      <w:r w:rsidR="00AA2D48" w:rsidRPr="002C7235">
        <w:rPr>
          <w:b/>
          <w:bCs/>
        </w:rPr>
        <w:t>.</w:t>
      </w:r>
      <w:r w:rsidR="00AA2D48">
        <w:t xml:space="preserve"> </w:t>
      </w:r>
      <w:r w:rsidR="00666CA5" w:rsidRPr="00666CA5">
        <w:t xml:space="preserve"> The status report shall identify the agreed upon hearing date, to consist of three consecutive </w:t>
      </w:r>
      <w:proofErr w:type="gramStart"/>
      <w:r w:rsidR="00666CA5" w:rsidRPr="00666CA5">
        <w:t>days</w:t>
      </w:r>
      <w:proofErr w:type="gramEnd"/>
      <w:r w:rsidR="00666CA5" w:rsidRPr="00666CA5">
        <w:t xml:space="preserve"> and whether the Parties are requesting a telephone or in-person hearing.  In the event the Parties are unable to agree upon a hearing date, </w:t>
      </w:r>
      <w:r w:rsidR="00AA2D48">
        <w:t>the Parties shall include dates that they are NOT available in May and June 2024.  T</w:t>
      </w:r>
      <w:r w:rsidR="00C33A18">
        <w:t>he Office of Administrative Law Judge will schedule a hearing</w:t>
      </w:r>
      <w:r w:rsidR="002528CD">
        <w:t xml:space="preserve"> </w:t>
      </w:r>
      <w:r w:rsidR="0003331B">
        <w:t>at a date and time consistent with my schedule and availability.</w:t>
      </w:r>
      <w:r w:rsidR="005D25D9">
        <w:t xml:space="preserve">  Requests for a </w:t>
      </w:r>
      <w:proofErr w:type="gramStart"/>
      <w:r w:rsidR="005D25D9">
        <w:t>continuance</w:t>
      </w:r>
      <w:proofErr w:type="gramEnd"/>
      <w:r w:rsidR="005D25D9">
        <w:t xml:space="preserve"> are not likely to be granted absent extraordinary circumstances.</w:t>
      </w:r>
    </w:p>
    <w:p w14:paraId="30F54A3E" w14:textId="77777777" w:rsidR="002C7235" w:rsidRDefault="002C7235" w:rsidP="002C7235">
      <w:pPr>
        <w:spacing w:after="0"/>
        <w:jc w:val="both"/>
      </w:pPr>
    </w:p>
    <w:p w14:paraId="212E3608" w14:textId="0293D65E" w:rsidR="006B3145" w:rsidRDefault="005D25D9" w:rsidP="00D774D1">
      <w:pPr>
        <w:spacing w:after="0"/>
        <w:ind w:left="1440"/>
        <w:jc w:val="both"/>
      </w:pPr>
      <w:r>
        <w:t>4.</w:t>
      </w:r>
      <w:r>
        <w:tab/>
      </w:r>
      <w:r w:rsidR="00067D28" w:rsidRPr="00067D28">
        <w:t>If the Complainant no longer wish</w:t>
      </w:r>
      <w:r w:rsidR="00067D28">
        <w:t>es</w:t>
      </w:r>
      <w:r w:rsidR="00067D28" w:rsidRPr="00067D28">
        <w:t xml:space="preserve"> to pursue </w:t>
      </w:r>
      <w:r w:rsidR="00067D28">
        <w:t>the</w:t>
      </w:r>
      <w:r w:rsidR="00067D28" w:rsidRPr="00067D28">
        <w:t xml:space="preserve"> complaint, they may withdraw it by filing a brief letter explaining their wish to withdraw the complaint.  A letter withdrawing the complaint should be filed with the Commission’s Secretary’s Bureau and served on opposing counsel.  A copy shall be emailed to the presiding administrative law judge at </w:t>
      </w:r>
      <w:hyperlink r:id="rId11" w:history="1">
        <w:r w:rsidR="00014BE8" w:rsidRPr="005B3211">
          <w:rPr>
            <w:rStyle w:val="Hyperlink"/>
          </w:rPr>
          <w:t>malong@pa.gov</w:t>
        </w:r>
      </w:hyperlink>
      <w:r w:rsidR="00067D28" w:rsidRPr="00067D28">
        <w:t>.</w:t>
      </w:r>
      <w:r w:rsidR="00014BE8">
        <w:t xml:space="preserve"> </w:t>
      </w:r>
    </w:p>
    <w:p w14:paraId="4EBAC0B0" w14:textId="77777777" w:rsidR="006B3145" w:rsidRDefault="006B3145" w:rsidP="006B3145">
      <w:pPr>
        <w:spacing w:after="0"/>
      </w:pPr>
    </w:p>
    <w:p w14:paraId="3E7733FA" w14:textId="77777777" w:rsidR="006B3145" w:rsidRDefault="006B3145" w:rsidP="006B3145">
      <w:pPr>
        <w:spacing w:after="0"/>
      </w:pPr>
    </w:p>
    <w:p w14:paraId="1027A00E" w14:textId="77777777" w:rsidR="002C7235" w:rsidRDefault="002C7235" w:rsidP="006B3145">
      <w:pPr>
        <w:spacing w:after="0"/>
      </w:pPr>
    </w:p>
    <w:p w14:paraId="2EABD823" w14:textId="3589337D" w:rsidR="006B3145" w:rsidRDefault="006B3145" w:rsidP="006B3145">
      <w:pPr>
        <w:spacing w:after="0" w:line="240" w:lineRule="auto"/>
      </w:pPr>
      <w:r w:rsidRPr="006B3145">
        <w:t>Date</w:t>
      </w:r>
      <w:r>
        <w:t xml:space="preserve">: </w:t>
      </w:r>
      <w:r>
        <w:rPr>
          <w:u w:val="single"/>
        </w:rPr>
        <w:t>December 12, 2023</w:t>
      </w:r>
      <w:r>
        <w:tab/>
      </w:r>
      <w:r>
        <w:tab/>
      </w:r>
      <w:r>
        <w:tab/>
      </w:r>
      <w:r>
        <w:tab/>
      </w:r>
      <w:r w:rsidRPr="00630B3A">
        <w:rPr>
          <w:u w:val="single"/>
        </w:rPr>
        <w:t>_______/s/_______________________</w:t>
      </w:r>
    </w:p>
    <w:p w14:paraId="6D900BC8" w14:textId="7F6683D3" w:rsidR="00630B3A" w:rsidRPr="00630B3A" w:rsidRDefault="00630B3A" w:rsidP="006B3145">
      <w:pPr>
        <w:spacing w:after="0" w:line="240" w:lineRule="auto"/>
      </w:pPr>
      <w:r>
        <w:tab/>
      </w:r>
      <w:r>
        <w:tab/>
      </w:r>
      <w:r>
        <w:tab/>
      </w:r>
      <w:r>
        <w:tab/>
      </w:r>
      <w:r>
        <w:tab/>
      </w:r>
      <w:r>
        <w:tab/>
      </w:r>
      <w:r w:rsidRPr="00630B3A">
        <w:t>Mary D. Long</w:t>
      </w:r>
    </w:p>
    <w:p w14:paraId="09CF098E" w14:textId="40E8E080" w:rsidR="00630B3A" w:rsidRPr="00630B3A" w:rsidRDefault="00630B3A" w:rsidP="006B3145">
      <w:pPr>
        <w:spacing w:after="0" w:line="240" w:lineRule="auto"/>
      </w:pPr>
      <w:r w:rsidRPr="00630B3A">
        <w:tab/>
      </w:r>
      <w:r w:rsidRPr="00630B3A">
        <w:tab/>
      </w:r>
      <w:r w:rsidRPr="00630B3A">
        <w:tab/>
      </w:r>
      <w:r w:rsidRPr="00630B3A">
        <w:tab/>
      </w:r>
      <w:r w:rsidRPr="00630B3A">
        <w:tab/>
      </w:r>
      <w:r w:rsidRPr="00630B3A">
        <w:tab/>
        <w:t>Administrative Law Judge</w:t>
      </w:r>
    </w:p>
    <w:p w14:paraId="73AE111F" w14:textId="77777777" w:rsidR="002C7235" w:rsidRDefault="002C7235" w:rsidP="002C7235">
      <w:pPr>
        <w:spacing w:after="0"/>
        <w:rPr>
          <w:rFonts w:ascii="Microsoft Sans Serif" w:eastAsia="Microsoft Sans Serif" w:hAnsi="Microsoft Sans Serif" w:cs="Microsoft Sans Serif"/>
          <w:b/>
          <w:u w:val="single"/>
        </w:rPr>
        <w:sectPr w:rsidR="002C7235" w:rsidSect="007407AC">
          <w:pgSz w:w="12240" w:h="15840"/>
          <w:pgMar w:top="1440" w:right="1440" w:bottom="1440" w:left="1440" w:header="720" w:footer="720" w:gutter="0"/>
          <w:cols w:space="720"/>
          <w:docGrid w:linePitch="360"/>
        </w:sectPr>
      </w:pPr>
    </w:p>
    <w:p w14:paraId="2FD88DEC" w14:textId="77777777" w:rsidR="00630B3A" w:rsidRDefault="00630B3A" w:rsidP="002C7235">
      <w:pPr>
        <w:spacing w:after="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C-2022-3030605 - ANDREA FENIMORE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ANDREA FENIMORE</w:t>
      </w:r>
      <w:r>
        <w:rPr>
          <w:rFonts w:ascii="Microsoft Sans Serif" w:eastAsia="Microsoft Sans Serif" w:hAnsi="Microsoft Sans Serif" w:cs="Microsoft Sans Serif"/>
        </w:rPr>
        <w:cr/>
        <w:t xml:space="preserve">604 CHESTNUT STREET </w:t>
      </w:r>
      <w:r>
        <w:rPr>
          <w:rFonts w:ascii="Microsoft Sans Serif" w:eastAsia="Microsoft Sans Serif" w:hAnsi="Microsoft Sans Serif" w:cs="Microsoft Sans Serif"/>
        </w:rPr>
        <w:cr/>
        <w:t>JOHNSTOWN PA  15906</w:t>
      </w:r>
      <w:r>
        <w:rPr>
          <w:rFonts w:ascii="Microsoft Sans Serif" w:eastAsia="Microsoft Sans Serif" w:hAnsi="Microsoft Sans Serif" w:cs="Microsoft Sans Serif"/>
        </w:rPr>
        <w:cr/>
      </w:r>
      <w:r w:rsidRPr="00B22140">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B22140">
        <w:rPr>
          <w:rFonts w:ascii="Microsoft Sans Serif" w:eastAsia="Microsoft Sans Serif" w:hAnsi="Microsoft Sans Serif" w:cs="Microsoft Sans Serif"/>
          <w:b/>
          <w:bCs/>
        </w:rPr>
        <w:t>539</w:t>
      </w:r>
      <w:r>
        <w:rPr>
          <w:rFonts w:ascii="Microsoft Sans Serif" w:eastAsia="Microsoft Sans Serif" w:hAnsi="Microsoft Sans Serif" w:cs="Microsoft Sans Serif"/>
          <w:b/>
          <w:bCs/>
        </w:rPr>
        <w:t>.</w:t>
      </w:r>
      <w:r w:rsidRPr="00B22140">
        <w:rPr>
          <w:rFonts w:ascii="Microsoft Sans Serif" w:eastAsia="Microsoft Sans Serif" w:hAnsi="Microsoft Sans Serif" w:cs="Microsoft Sans Serif"/>
          <w:b/>
          <w:bCs/>
        </w:rPr>
        <w:t>5395</w:t>
      </w:r>
      <w:r>
        <w:rPr>
          <w:rFonts w:ascii="Microsoft Sans Serif" w:eastAsia="Microsoft Sans Serif" w:hAnsi="Microsoft Sans Serif" w:cs="Microsoft Sans Serif"/>
        </w:rPr>
        <w:cr/>
      </w:r>
      <w:r w:rsidRPr="00B22140">
        <w:rPr>
          <w:rFonts w:ascii="Microsoft Sans Serif" w:eastAsia="Microsoft Sans Serif" w:hAnsi="Microsoft Sans Serif" w:cs="Microsoft Sans Serif"/>
          <w:i/>
          <w:iCs/>
        </w:rPr>
        <w:t xml:space="preserve">Served via first class </w:t>
      </w:r>
      <w:proofErr w:type="gramStart"/>
      <w:r w:rsidRPr="00B22140">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1C96EB4" w14:textId="77777777" w:rsidR="00630B3A" w:rsidRDefault="00630B3A" w:rsidP="00630B3A">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p>
    <w:p w14:paraId="47A8AC4F" w14:textId="77777777" w:rsidR="00630B3A" w:rsidRDefault="00630B3A" w:rsidP="00630B3A">
      <w:pPr>
        <w:spacing w:after="0"/>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B22140">
        <w:rPr>
          <w:rFonts w:ascii="Microsoft Sans Serif" w:eastAsia="Microsoft Sans Serif" w:hAnsi="Microsoft Sans Serif" w:cs="Microsoft Sans Serif"/>
          <w:b/>
          <w:bCs/>
        </w:rPr>
        <w:t>610.921.6658</w:t>
      </w:r>
      <w:r w:rsidRPr="00B22140">
        <w:rPr>
          <w:rFonts w:ascii="Microsoft Sans Serif" w:eastAsia="Microsoft Sans Serif" w:hAnsi="Microsoft Sans Serif" w:cs="Microsoft Sans Serif"/>
          <w:b/>
          <w:bCs/>
        </w:rPr>
        <w:cr/>
      </w:r>
      <w:hyperlink r:id="rId12" w:history="1">
        <w:r w:rsidRPr="009D7BD0">
          <w:rPr>
            <w:rStyle w:val="Hyperlink"/>
            <w:rFonts w:ascii="Microsoft Sans Serif" w:eastAsia="Microsoft Sans Serif" w:hAnsi="Microsoft Sans Serif" w:cs="Microsoft Sans Serif"/>
          </w:rPr>
          <w:t>PARegulatoryComplaints@firstenergycorp.com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269C2AB7" w14:textId="77777777" w:rsidR="006B3145" w:rsidRPr="006B3145" w:rsidRDefault="006B3145" w:rsidP="006B3145">
      <w:pPr>
        <w:spacing w:after="0"/>
      </w:pPr>
    </w:p>
    <w:sectPr w:rsidR="006B3145" w:rsidRPr="006B3145" w:rsidSect="00740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5C57" w14:textId="77777777" w:rsidR="00437D4B" w:rsidRDefault="00437D4B" w:rsidP="007F79D3">
      <w:pPr>
        <w:spacing w:after="0" w:line="240" w:lineRule="auto"/>
      </w:pPr>
      <w:r>
        <w:separator/>
      </w:r>
    </w:p>
  </w:endnote>
  <w:endnote w:type="continuationSeparator" w:id="0">
    <w:p w14:paraId="4104B0BC" w14:textId="77777777" w:rsidR="00437D4B" w:rsidRDefault="00437D4B" w:rsidP="007F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396F" w14:textId="77777777" w:rsidR="00437D4B" w:rsidRDefault="00437D4B" w:rsidP="007F79D3">
      <w:pPr>
        <w:spacing w:after="0" w:line="240" w:lineRule="auto"/>
      </w:pPr>
      <w:r>
        <w:separator/>
      </w:r>
    </w:p>
  </w:footnote>
  <w:footnote w:type="continuationSeparator" w:id="0">
    <w:p w14:paraId="7328AFFD" w14:textId="77777777" w:rsidR="00437D4B" w:rsidRDefault="00437D4B" w:rsidP="007F79D3">
      <w:pPr>
        <w:spacing w:after="0" w:line="240" w:lineRule="auto"/>
      </w:pPr>
      <w:r>
        <w:continuationSeparator/>
      </w:r>
    </w:p>
  </w:footnote>
  <w:footnote w:id="1">
    <w:p w14:paraId="2B838596" w14:textId="77777777" w:rsidR="007F79D3" w:rsidRPr="00BD7681" w:rsidRDefault="007F79D3" w:rsidP="007F79D3">
      <w:pPr>
        <w:pStyle w:val="FootnoteText"/>
      </w:pPr>
      <w:r>
        <w:tab/>
      </w:r>
      <w:r w:rsidRPr="00BD7681">
        <w:rPr>
          <w:rStyle w:val="FootnoteReference"/>
        </w:rPr>
        <w:footnoteRef/>
      </w:r>
      <w:r w:rsidRPr="00BD7681">
        <w:t xml:space="preserve"> </w:t>
      </w:r>
      <w:r w:rsidRPr="00BD7681">
        <w:tab/>
      </w:r>
      <w:r w:rsidRPr="009F389C">
        <w:t>Povacz, v. Pa. Public Utility Commission</w:t>
      </w:r>
      <w:r w:rsidRPr="00BD7681">
        <w:t>, 280 A.3d 975 (Pa. 2022)</w:t>
      </w:r>
      <w:r>
        <w:t>(</w:t>
      </w:r>
      <w:r w:rsidRPr="00E6740A">
        <w:t>Povacz II</w:t>
      </w:r>
      <w:r>
        <w:t>).</w:t>
      </w:r>
    </w:p>
  </w:footnote>
  <w:footnote w:id="2">
    <w:p w14:paraId="6FA88A21" w14:textId="77777777" w:rsidR="007F79D3" w:rsidRPr="00BD7681" w:rsidRDefault="007F79D3" w:rsidP="007F79D3">
      <w:pPr>
        <w:pStyle w:val="FootnoteText"/>
      </w:pPr>
      <w:r>
        <w:tab/>
      </w:r>
      <w:r w:rsidRPr="00BD7681">
        <w:rPr>
          <w:rStyle w:val="FootnoteReference"/>
        </w:rPr>
        <w:footnoteRef/>
      </w:r>
      <w:r w:rsidRPr="00BD7681">
        <w:t xml:space="preserve"> </w:t>
      </w:r>
      <w:r w:rsidRPr="00BD7681">
        <w:tab/>
      </w:r>
      <w:r w:rsidRPr="00BD7681">
        <w:rPr>
          <w:i/>
          <w:iCs/>
        </w:rPr>
        <w:t xml:space="preserve">Id. </w:t>
      </w:r>
      <w:r w:rsidRPr="00BD7681">
        <w:t xml:space="preserve">at 997.  </w:t>
      </w:r>
    </w:p>
  </w:footnote>
  <w:footnote w:id="3">
    <w:p w14:paraId="2FC80E7F" w14:textId="77777777" w:rsidR="007F79D3" w:rsidRDefault="007F79D3" w:rsidP="007F79D3">
      <w:pPr>
        <w:pStyle w:val="FootnoteText"/>
      </w:pPr>
      <w:r>
        <w:tab/>
      </w:r>
      <w:r>
        <w:rPr>
          <w:rStyle w:val="FootnoteReference"/>
        </w:rPr>
        <w:footnoteRef/>
      </w:r>
      <w:r>
        <w:t xml:space="preserve"> </w:t>
      </w:r>
      <w:r>
        <w:tab/>
        <w:t>66 Pa. C.S. § 1501.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C3462"/>
    <w:multiLevelType w:val="hybridMultilevel"/>
    <w:tmpl w:val="550AB944"/>
    <w:lvl w:ilvl="0" w:tplc="73EA74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2"/>
  </w:num>
  <w:num w:numId="2" w16cid:durableId="434331319">
    <w:abstractNumId w:val="22"/>
  </w:num>
  <w:num w:numId="3" w16cid:durableId="700204405">
    <w:abstractNumId w:val="30"/>
  </w:num>
  <w:num w:numId="4" w16cid:durableId="1443763581">
    <w:abstractNumId w:val="34"/>
  </w:num>
  <w:num w:numId="5" w16cid:durableId="1888641000">
    <w:abstractNumId w:val="12"/>
  </w:num>
  <w:num w:numId="6" w16cid:durableId="771897392">
    <w:abstractNumId w:val="8"/>
  </w:num>
  <w:num w:numId="7" w16cid:durableId="401686284">
    <w:abstractNumId w:val="6"/>
  </w:num>
  <w:num w:numId="8" w16cid:durableId="905720563">
    <w:abstractNumId w:val="33"/>
  </w:num>
  <w:num w:numId="9" w16cid:durableId="76749609">
    <w:abstractNumId w:val="3"/>
  </w:num>
  <w:num w:numId="10" w16cid:durableId="1172405981">
    <w:abstractNumId w:val="24"/>
  </w:num>
  <w:num w:numId="11" w16cid:durableId="1312253715">
    <w:abstractNumId w:val="29"/>
  </w:num>
  <w:num w:numId="12" w16cid:durableId="10184379">
    <w:abstractNumId w:val="18"/>
  </w:num>
  <w:num w:numId="13" w16cid:durableId="529227091">
    <w:abstractNumId w:val="26"/>
  </w:num>
  <w:num w:numId="14" w16cid:durableId="2083213294">
    <w:abstractNumId w:val="31"/>
  </w:num>
  <w:num w:numId="15" w16cid:durableId="103304739">
    <w:abstractNumId w:val="0"/>
  </w:num>
  <w:num w:numId="16" w16cid:durableId="1268391741">
    <w:abstractNumId w:val="23"/>
  </w:num>
  <w:num w:numId="17" w16cid:durableId="1737705955">
    <w:abstractNumId w:val="23"/>
  </w:num>
  <w:num w:numId="18" w16cid:durableId="2065447608">
    <w:abstractNumId w:val="11"/>
  </w:num>
  <w:num w:numId="19" w16cid:durableId="240335003">
    <w:abstractNumId w:val="19"/>
  </w:num>
  <w:num w:numId="20" w16cid:durableId="1699697877">
    <w:abstractNumId w:val="35"/>
  </w:num>
  <w:num w:numId="21" w16cid:durableId="1433433638">
    <w:abstractNumId w:val="16"/>
  </w:num>
  <w:num w:numId="22" w16cid:durableId="1235362085">
    <w:abstractNumId w:val="5"/>
  </w:num>
  <w:num w:numId="23" w16cid:durableId="1143349798">
    <w:abstractNumId w:val="17"/>
  </w:num>
  <w:num w:numId="24" w16cid:durableId="638923867">
    <w:abstractNumId w:val="39"/>
  </w:num>
  <w:num w:numId="25" w16cid:durableId="1407266254">
    <w:abstractNumId w:val="1"/>
  </w:num>
  <w:num w:numId="26" w16cid:durableId="1634946696">
    <w:abstractNumId w:val="7"/>
  </w:num>
  <w:num w:numId="27" w16cid:durableId="1395852139">
    <w:abstractNumId w:val="28"/>
  </w:num>
  <w:num w:numId="28" w16cid:durableId="1694070323">
    <w:abstractNumId w:val="15"/>
  </w:num>
  <w:num w:numId="29" w16cid:durableId="722409651">
    <w:abstractNumId w:val="10"/>
  </w:num>
  <w:num w:numId="30" w16cid:durableId="1882018023">
    <w:abstractNumId w:val="21"/>
  </w:num>
  <w:num w:numId="31" w16cid:durableId="1653749281">
    <w:abstractNumId w:val="37"/>
  </w:num>
  <w:num w:numId="32" w16cid:durableId="1057171494">
    <w:abstractNumId w:val="38"/>
  </w:num>
  <w:num w:numId="33" w16cid:durableId="1563904577">
    <w:abstractNumId w:val="27"/>
  </w:num>
  <w:num w:numId="34" w16cid:durableId="1325668127">
    <w:abstractNumId w:val="4"/>
  </w:num>
  <w:num w:numId="35" w16cid:durableId="1633827708">
    <w:abstractNumId w:val="20"/>
  </w:num>
  <w:num w:numId="36" w16cid:durableId="722096734">
    <w:abstractNumId w:val="2"/>
  </w:num>
  <w:num w:numId="37" w16cid:durableId="50353854">
    <w:abstractNumId w:val="13"/>
  </w:num>
  <w:num w:numId="38" w16cid:durableId="1740320400">
    <w:abstractNumId w:val="25"/>
  </w:num>
  <w:num w:numId="39" w16cid:durableId="1583250809">
    <w:abstractNumId w:val="14"/>
  </w:num>
  <w:num w:numId="40" w16cid:durableId="2027363711">
    <w:abstractNumId w:val="9"/>
  </w:num>
  <w:num w:numId="41" w16cid:durableId="203491476">
    <w:abstractNumId w:val="9"/>
  </w:num>
  <w:num w:numId="42" w16cid:durableId="2108693603">
    <w:abstractNumId w:val="9"/>
  </w:num>
  <w:num w:numId="43" w16cid:durableId="9335120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D3"/>
    <w:rsid w:val="0000181D"/>
    <w:rsid w:val="00004C37"/>
    <w:rsid w:val="000066B3"/>
    <w:rsid w:val="00014BE8"/>
    <w:rsid w:val="0003331B"/>
    <w:rsid w:val="00066D87"/>
    <w:rsid w:val="00067D28"/>
    <w:rsid w:val="00083973"/>
    <w:rsid w:val="000E3EDE"/>
    <w:rsid w:val="00107E82"/>
    <w:rsid w:val="00112972"/>
    <w:rsid w:val="001250EF"/>
    <w:rsid w:val="001A140C"/>
    <w:rsid w:val="001A21B6"/>
    <w:rsid w:val="001B1CBA"/>
    <w:rsid w:val="001C33B1"/>
    <w:rsid w:val="001D2AF7"/>
    <w:rsid w:val="001F2AC6"/>
    <w:rsid w:val="00207743"/>
    <w:rsid w:val="00213167"/>
    <w:rsid w:val="002170AF"/>
    <w:rsid w:val="00223406"/>
    <w:rsid w:val="00240954"/>
    <w:rsid w:val="002512F9"/>
    <w:rsid w:val="002528CD"/>
    <w:rsid w:val="00267405"/>
    <w:rsid w:val="002C697B"/>
    <w:rsid w:val="002C7235"/>
    <w:rsid w:val="002D16EB"/>
    <w:rsid w:val="002E1293"/>
    <w:rsid w:val="002F57E1"/>
    <w:rsid w:val="003145FA"/>
    <w:rsid w:val="00341EB5"/>
    <w:rsid w:val="00345BF1"/>
    <w:rsid w:val="00363549"/>
    <w:rsid w:val="00367A41"/>
    <w:rsid w:val="00393C92"/>
    <w:rsid w:val="003A1A41"/>
    <w:rsid w:val="003A3E09"/>
    <w:rsid w:val="003F3EC1"/>
    <w:rsid w:val="00417566"/>
    <w:rsid w:val="00437D4B"/>
    <w:rsid w:val="00455CDC"/>
    <w:rsid w:val="00486F43"/>
    <w:rsid w:val="004A2CDB"/>
    <w:rsid w:val="004C48F3"/>
    <w:rsid w:val="004D523C"/>
    <w:rsid w:val="00556A67"/>
    <w:rsid w:val="0058375B"/>
    <w:rsid w:val="005A1C17"/>
    <w:rsid w:val="005A20B8"/>
    <w:rsid w:val="005A2ABA"/>
    <w:rsid w:val="005C2158"/>
    <w:rsid w:val="005D180A"/>
    <w:rsid w:val="005D25D9"/>
    <w:rsid w:val="005E7B69"/>
    <w:rsid w:val="0060623C"/>
    <w:rsid w:val="00613EA9"/>
    <w:rsid w:val="0061775F"/>
    <w:rsid w:val="00630B3A"/>
    <w:rsid w:val="00666CA5"/>
    <w:rsid w:val="00696C0D"/>
    <w:rsid w:val="006B3145"/>
    <w:rsid w:val="006C6A0D"/>
    <w:rsid w:val="006E19F2"/>
    <w:rsid w:val="006F0329"/>
    <w:rsid w:val="006F4BA6"/>
    <w:rsid w:val="00700807"/>
    <w:rsid w:val="00712E58"/>
    <w:rsid w:val="00720B93"/>
    <w:rsid w:val="007407AC"/>
    <w:rsid w:val="00755D72"/>
    <w:rsid w:val="00792796"/>
    <w:rsid w:val="00796B64"/>
    <w:rsid w:val="007A4FFD"/>
    <w:rsid w:val="007B11DD"/>
    <w:rsid w:val="007D0501"/>
    <w:rsid w:val="007E6779"/>
    <w:rsid w:val="007F79D3"/>
    <w:rsid w:val="008030AA"/>
    <w:rsid w:val="00820B4C"/>
    <w:rsid w:val="0083239D"/>
    <w:rsid w:val="00852214"/>
    <w:rsid w:val="008529D2"/>
    <w:rsid w:val="00876890"/>
    <w:rsid w:val="0088105E"/>
    <w:rsid w:val="008D3DD7"/>
    <w:rsid w:val="008D69D2"/>
    <w:rsid w:val="009031A8"/>
    <w:rsid w:val="0090508F"/>
    <w:rsid w:val="00917DCA"/>
    <w:rsid w:val="00926DE3"/>
    <w:rsid w:val="009C7C72"/>
    <w:rsid w:val="009E300A"/>
    <w:rsid w:val="009F7C29"/>
    <w:rsid w:val="00A1343F"/>
    <w:rsid w:val="00A26826"/>
    <w:rsid w:val="00A47096"/>
    <w:rsid w:val="00A70717"/>
    <w:rsid w:val="00A74A63"/>
    <w:rsid w:val="00AA2D48"/>
    <w:rsid w:val="00AA2EC5"/>
    <w:rsid w:val="00AB4C73"/>
    <w:rsid w:val="00AD27C0"/>
    <w:rsid w:val="00AD6F65"/>
    <w:rsid w:val="00AE37E8"/>
    <w:rsid w:val="00AE6F47"/>
    <w:rsid w:val="00B03D7B"/>
    <w:rsid w:val="00B91E47"/>
    <w:rsid w:val="00BC6B21"/>
    <w:rsid w:val="00BD36E2"/>
    <w:rsid w:val="00C04D8A"/>
    <w:rsid w:val="00C30DF3"/>
    <w:rsid w:val="00C33A18"/>
    <w:rsid w:val="00C65884"/>
    <w:rsid w:val="00C87E57"/>
    <w:rsid w:val="00CD3083"/>
    <w:rsid w:val="00CE1777"/>
    <w:rsid w:val="00CF5669"/>
    <w:rsid w:val="00CF6143"/>
    <w:rsid w:val="00D14843"/>
    <w:rsid w:val="00D238DF"/>
    <w:rsid w:val="00D5728F"/>
    <w:rsid w:val="00D774D1"/>
    <w:rsid w:val="00DD5C37"/>
    <w:rsid w:val="00DF35D9"/>
    <w:rsid w:val="00E4054D"/>
    <w:rsid w:val="00E4239A"/>
    <w:rsid w:val="00E445B2"/>
    <w:rsid w:val="00E7108B"/>
    <w:rsid w:val="00EB027A"/>
    <w:rsid w:val="00EB73E7"/>
    <w:rsid w:val="00EC0E07"/>
    <w:rsid w:val="00EC1CBA"/>
    <w:rsid w:val="00ED02D5"/>
    <w:rsid w:val="00EE31F9"/>
    <w:rsid w:val="00EE7801"/>
    <w:rsid w:val="00F042C3"/>
    <w:rsid w:val="00F11A19"/>
    <w:rsid w:val="00F16554"/>
    <w:rsid w:val="00F544E1"/>
    <w:rsid w:val="00FB49A9"/>
    <w:rsid w:val="00FD5C10"/>
    <w:rsid w:val="00F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26E5"/>
  <w15:chartTrackingRefBased/>
  <w15:docId w15:val="{BA1FC3EE-1321-418E-8CEB-A15306A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A74A63"/>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A74A63"/>
    <w:rPr>
      <w:rFonts w:eastAsia="Times New Roman"/>
      <w:sz w:val="20"/>
    </w:rPr>
  </w:style>
  <w:style w:type="character" w:customStyle="1" w:styleId="FootnoteTextChar">
    <w:name w:val="Footnote Text Char"/>
    <w:basedOn w:val="DefaultParagraphFont"/>
    <w:link w:val="FootnoteText"/>
    <w:uiPriority w:val="99"/>
    <w:rsid w:val="00A74A63"/>
    <w:rPr>
      <w:rFonts w:eastAsia="Times New Roman" w:cstheme="minorBidi"/>
      <w:sz w:val="20"/>
      <w:szCs w:val="22"/>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character" w:styleId="FootnoteReference">
    <w:name w:val="footnote reference"/>
    <w:aliases w:val="o,fr"/>
    <w:uiPriority w:val="99"/>
    <w:unhideWhenUsed/>
    <w:rsid w:val="007F79D3"/>
    <w:rPr>
      <w:vertAlign w:val="superscript"/>
    </w:rPr>
  </w:style>
  <w:style w:type="character" w:styleId="Hyperlink">
    <w:name w:val="Hyperlink"/>
    <w:basedOn w:val="DefaultParagraphFont"/>
    <w:uiPriority w:val="99"/>
    <w:unhideWhenUsed/>
    <w:rsid w:val="00852214"/>
    <w:rPr>
      <w:color w:val="0000FF" w:themeColor="hyperlink"/>
      <w:u w:val="single"/>
    </w:rPr>
  </w:style>
  <w:style w:type="character" w:styleId="UnresolvedMention">
    <w:name w:val="Unresolved Mention"/>
    <w:basedOn w:val="DefaultParagraphFont"/>
    <w:uiPriority w:val="99"/>
    <w:semiHidden/>
    <w:unhideWhenUsed/>
    <w:rsid w:val="0085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urts.us/assets/opinions/SUPREME/out/J-77-A-L-2021m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egulatoryComplaints@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ong@pa.gov" TargetMode="External"/><Relationship Id="rId5" Type="http://schemas.openxmlformats.org/officeDocument/2006/relationships/webSettings" Target="webSettings.xml"/><Relationship Id="rId10" Type="http://schemas.openxmlformats.org/officeDocument/2006/relationships/hyperlink" Target="mailto:malong@pa.gov" TargetMode="External"/><Relationship Id="rId4" Type="http://schemas.openxmlformats.org/officeDocument/2006/relationships/settings" Target="settings.xml"/><Relationship Id="rId9" Type="http://schemas.openxmlformats.org/officeDocument/2006/relationships/hyperlink" Target="https://www.pacodeandbulletin.gov/Display/pacode?titleNumber=052&amp;file=/secure/pacode/data/052/052toc.html&amp;searchunitkeywords=&amp;operator=OR&amp;title=nu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F64A-D53D-4E6B-9C1D-970C9513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Foster, Laythan</cp:lastModifiedBy>
  <cp:revision>2</cp:revision>
  <dcterms:created xsi:type="dcterms:W3CDTF">2023-12-12T19:02:00Z</dcterms:created>
  <dcterms:modified xsi:type="dcterms:W3CDTF">2023-12-12T19:02:00Z</dcterms:modified>
</cp:coreProperties>
</file>