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F40BA5A" w14:textId="77777777" w:rsidR="00F923A1" w:rsidRPr="00F923A1" w:rsidRDefault="00F923A1" w:rsidP="00F923A1">
      <w:pPr>
        <w:spacing w:after="0" w:line="240" w:lineRule="auto"/>
        <w:jc w:val="center"/>
        <w:rPr>
          <w:rFonts w:ascii="Times New Roman" w:hAnsi="Times New Roman"/>
          <w:b/>
          <w:sz w:val="24"/>
        </w:rPr>
      </w:pPr>
      <w:r w:rsidRPr="00F923A1">
        <w:rPr>
          <w:rFonts w:ascii="Times New Roman" w:hAnsi="Times New Roman"/>
          <w:b/>
          <w:sz w:val="24"/>
        </w:rPr>
        <w:t>BEFORE THE</w:t>
      </w:r>
    </w:p>
    <w:p w14:paraId="4139C41F" w14:textId="77777777" w:rsidR="00F923A1" w:rsidRPr="00F923A1" w:rsidRDefault="00F923A1" w:rsidP="00F923A1">
      <w:pPr>
        <w:spacing w:after="0" w:line="240" w:lineRule="auto"/>
        <w:jc w:val="center"/>
        <w:rPr>
          <w:rFonts w:ascii="Times New Roman" w:hAnsi="Times New Roman"/>
          <w:b/>
          <w:sz w:val="24"/>
        </w:rPr>
      </w:pPr>
      <w:smartTag w:uri="urn:schemas-microsoft-com:office:smarttags" w:element="place">
        <w:smartTag w:uri="urn:schemas-microsoft-com:office:smarttags" w:element="State">
          <w:r w:rsidRPr="00F923A1">
            <w:rPr>
              <w:rFonts w:ascii="Times New Roman" w:hAnsi="Times New Roman"/>
              <w:b/>
              <w:sz w:val="24"/>
            </w:rPr>
            <w:t>PENNSYLVANIA</w:t>
          </w:r>
        </w:smartTag>
      </w:smartTag>
      <w:r w:rsidRPr="00F923A1">
        <w:rPr>
          <w:rFonts w:ascii="Times New Roman" w:hAnsi="Times New Roman"/>
          <w:b/>
          <w:sz w:val="24"/>
        </w:rPr>
        <w:t xml:space="preserve"> PUBLIC UTILITY COMMISSION</w:t>
      </w:r>
    </w:p>
    <w:p w14:paraId="6025B74C" w14:textId="77777777" w:rsidR="00F923A1" w:rsidRPr="00F923A1" w:rsidRDefault="00F923A1" w:rsidP="00F923A1">
      <w:pPr>
        <w:spacing w:after="0" w:line="240" w:lineRule="auto"/>
        <w:jc w:val="center"/>
        <w:rPr>
          <w:rFonts w:ascii="Times New Roman" w:hAnsi="Times New Roman"/>
          <w:b/>
          <w:sz w:val="24"/>
        </w:rPr>
      </w:pPr>
    </w:p>
    <w:p w14:paraId="21F5B6E1"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6A75882A" w14:textId="77777777" w:rsidR="00F923A1" w:rsidRPr="00F923A1" w:rsidRDefault="00F923A1" w:rsidP="00F923A1">
      <w:pPr>
        <w:spacing w:after="0" w:line="240" w:lineRule="auto"/>
        <w:rPr>
          <w:rFonts w:ascii="Times New Roman" w:eastAsia="Calibri" w:hAnsi="Times New Roman" w:cs="Times New Roman"/>
          <w:b/>
          <w:sz w:val="24"/>
          <w:szCs w:val="24"/>
          <w:u w:val="single"/>
        </w:rPr>
      </w:pPr>
    </w:p>
    <w:p w14:paraId="39F59677" w14:textId="2CACB4E6" w:rsidR="00F923A1" w:rsidRPr="00F923A1" w:rsidRDefault="009E0DCD" w:rsidP="00F923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Donna DeSanto Ott</w:t>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t>:</w:t>
      </w:r>
      <w:r w:rsidR="00F923A1" w:rsidRPr="00F923A1">
        <w:rPr>
          <w:rFonts w:ascii="Times New Roman" w:eastAsia="Calibri" w:hAnsi="Times New Roman" w:cs="Times New Roman"/>
          <w:sz w:val="24"/>
          <w:szCs w:val="24"/>
        </w:rPr>
        <w:tab/>
      </w:r>
    </w:p>
    <w:p w14:paraId="1D9A1997" w14:textId="77777777"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p>
    <w:p w14:paraId="3BD47ED6" w14:textId="3800B5BB" w:rsidR="00F923A1" w:rsidRPr="00F923A1" w:rsidRDefault="00F923A1" w:rsidP="00F923A1">
      <w:pPr>
        <w:spacing w:after="0" w:line="240" w:lineRule="auto"/>
        <w:rPr>
          <w:rFonts w:ascii="Times New Roman" w:eastAsia="Calibri" w:hAnsi="Times New Roman" w:cs="Times New Roman"/>
          <w:sz w:val="24"/>
          <w:szCs w:val="24"/>
        </w:rPr>
      </w:pPr>
      <w:r w:rsidRPr="00F923A1">
        <w:rPr>
          <w:rFonts w:ascii="Times New Roman" w:eastAsia="Calibri" w:hAnsi="Times New Roman" w:cs="Times New Roman"/>
          <w:sz w:val="24"/>
          <w:szCs w:val="24"/>
        </w:rPr>
        <w:tab/>
        <w:t>v.</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C-2018-300</w:t>
      </w:r>
      <w:r w:rsidR="009E0DCD">
        <w:rPr>
          <w:rFonts w:ascii="Times New Roman" w:eastAsia="Calibri" w:hAnsi="Times New Roman" w:cs="Times New Roman"/>
          <w:sz w:val="24"/>
          <w:szCs w:val="24"/>
        </w:rPr>
        <w:t>5829</w:t>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r>
      <w:r w:rsidRPr="00F923A1">
        <w:rPr>
          <w:rFonts w:ascii="Times New Roman" w:eastAsia="Calibri" w:hAnsi="Times New Roman" w:cs="Times New Roman"/>
          <w:sz w:val="24"/>
          <w:szCs w:val="24"/>
        </w:rPr>
        <w:tab/>
        <w:t>:</w:t>
      </w:r>
    </w:p>
    <w:p w14:paraId="6212AE6F" w14:textId="5F8C0E3E" w:rsidR="00F923A1" w:rsidRPr="00F923A1" w:rsidRDefault="009E0DCD" w:rsidP="00F923A1">
      <w:pPr>
        <w:spacing w:after="0" w:line="240" w:lineRule="auto"/>
        <w:rPr>
          <w:rFonts w:ascii="Times New Roman" w:eastAsia="Calibri" w:hAnsi="Times New Roman" w:cs="Times New Roman"/>
          <w:sz w:val="24"/>
          <w:szCs w:val="24"/>
        </w:rPr>
      </w:pPr>
      <w:r>
        <w:rPr>
          <w:rFonts w:ascii="Times New Roman" w:eastAsia="Calibri" w:hAnsi="Times New Roman" w:cs="Times New Roman"/>
          <w:sz w:val="24"/>
          <w:szCs w:val="24"/>
        </w:rPr>
        <w:t xml:space="preserve">Metropolitan Edison </w:t>
      </w:r>
      <w:r w:rsidR="00F923A1" w:rsidRPr="00F923A1">
        <w:rPr>
          <w:rFonts w:ascii="Times New Roman" w:eastAsia="Calibri" w:hAnsi="Times New Roman" w:cs="Times New Roman"/>
          <w:sz w:val="24"/>
          <w:szCs w:val="24"/>
        </w:rPr>
        <w:t>Company</w:t>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r>
      <w:r w:rsidR="00F923A1" w:rsidRPr="00F923A1">
        <w:rPr>
          <w:rFonts w:ascii="Times New Roman" w:eastAsia="Calibri" w:hAnsi="Times New Roman" w:cs="Times New Roman"/>
          <w:sz w:val="24"/>
          <w:szCs w:val="24"/>
        </w:rPr>
        <w:tab/>
        <w:t>:</w:t>
      </w:r>
    </w:p>
    <w:p w14:paraId="01BAB83D" w14:textId="77777777" w:rsidR="00F923A1" w:rsidRPr="00F923A1" w:rsidRDefault="00F923A1" w:rsidP="00F923A1">
      <w:pPr>
        <w:spacing w:after="0" w:line="240" w:lineRule="auto"/>
        <w:jc w:val="center"/>
        <w:rPr>
          <w:rFonts w:ascii="Times New Roman" w:hAnsi="Times New Roman"/>
          <w:b/>
          <w:sz w:val="24"/>
        </w:rPr>
      </w:pPr>
    </w:p>
    <w:p w14:paraId="733A9C74" w14:textId="77777777" w:rsidR="00F923A1" w:rsidRPr="00F923A1" w:rsidRDefault="00F923A1" w:rsidP="00F923A1">
      <w:pPr>
        <w:spacing w:after="0" w:line="240" w:lineRule="auto"/>
        <w:jc w:val="center"/>
        <w:rPr>
          <w:rFonts w:ascii="Times New Roman" w:hAnsi="Times New Roman"/>
          <w:b/>
          <w:sz w:val="24"/>
        </w:rPr>
      </w:pPr>
    </w:p>
    <w:p w14:paraId="2A90F300" w14:textId="77777777" w:rsidR="00F923A1" w:rsidRPr="00F923A1" w:rsidRDefault="00F923A1" w:rsidP="00F923A1">
      <w:pPr>
        <w:spacing w:after="0" w:line="240" w:lineRule="auto"/>
        <w:jc w:val="center"/>
        <w:rPr>
          <w:rFonts w:ascii="Times New Roman" w:hAnsi="Times New Roman"/>
          <w:b/>
          <w:sz w:val="24"/>
        </w:rPr>
      </w:pPr>
    </w:p>
    <w:p w14:paraId="67DE9A46" w14:textId="7729CD3E" w:rsidR="00F923A1" w:rsidRDefault="00FA1C2D" w:rsidP="00F923A1">
      <w:pPr>
        <w:tabs>
          <w:tab w:val="center" w:pos="4680"/>
        </w:tabs>
        <w:suppressAutoHyphens/>
        <w:spacing w:after="0" w:line="240" w:lineRule="auto"/>
        <w:jc w:val="center"/>
        <w:rPr>
          <w:rFonts w:ascii="Times New Roman" w:hAnsi="Times New Roman" w:cs="Times New Roman"/>
          <w:b/>
          <w:bCs/>
          <w:spacing w:val="-3"/>
          <w:sz w:val="24"/>
          <w:szCs w:val="24"/>
        </w:rPr>
      </w:pPr>
      <w:r w:rsidRPr="00DC6465">
        <w:rPr>
          <w:rFonts w:ascii="Times New Roman" w:hAnsi="Times New Roman" w:cs="Times New Roman"/>
          <w:b/>
          <w:bCs/>
          <w:spacing w:val="-3"/>
          <w:sz w:val="24"/>
          <w:szCs w:val="24"/>
        </w:rPr>
        <w:t>ORDER</w:t>
      </w:r>
    </w:p>
    <w:p w14:paraId="379A9C19" w14:textId="71FEC774" w:rsidR="00F923A1" w:rsidRDefault="001003C3" w:rsidP="00F923A1">
      <w:pPr>
        <w:tabs>
          <w:tab w:val="center" w:pos="4680"/>
        </w:tabs>
        <w:suppressAutoHyphens/>
        <w:spacing w:after="0" w:line="240" w:lineRule="auto"/>
        <w:jc w:val="center"/>
        <w:rPr>
          <w:rFonts w:ascii="Times New Roman" w:hAnsi="Times New Roman" w:cs="Times New Roman"/>
          <w:b/>
          <w:bCs/>
          <w:spacing w:val="-3"/>
          <w:sz w:val="24"/>
          <w:szCs w:val="24"/>
          <w:u w:val="single"/>
        </w:rPr>
      </w:pPr>
      <w:r>
        <w:rPr>
          <w:rFonts w:ascii="Times New Roman" w:hAnsi="Times New Roman" w:cs="Times New Roman"/>
          <w:b/>
          <w:bCs/>
          <w:spacing w:val="-3"/>
          <w:sz w:val="24"/>
          <w:szCs w:val="24"/>
          <w:u w:val="single"/>
        </w:rPr>
        <w:t>POST EVIDENTIARY HEARING CONFERENCE</w:t>
      </w:r>
    </w:p>
    <w:p w14:paraId="3861C6B4" w14:textId="77777777" w:rsidR="00FA1C2D" w:rsidRPr="001003C3" w:rsidRDefault="00FA1C2D" w:rsidP="00A66F7E">
      <w:pPr>
        <w:tabs>
          <w:tab w:val="center" w:pos="4680"/>
        </w:tabs>
        <w:suppressAutoHyphens/>
        <w:spacing w:after="0" w:line="360" w:lineRule="auto"/>
        <w:jc w:val="center"/>
        <w:rPr>
          <w:rFonts w:ascii="Times New Roman" w:hAnsi="Times New Roman" w:cs="Times New Roman"/>
          <w:b/>
          <w:bCs/>
          <w:spacing w:val="-3"/>
          <w:sz w:val="24"/>
          <w:szCs w:val="24"/>
          <w:u w:val="single"/>
        </w:rPr>
      </w:pPr>
    </w:p>
    <w:p w14:paraId="277A0C8D" w14:textId="77777777" w:rsidR="00A66F7E" w:rsidRDefault="001003C3" w:rsidP="009A4E22">
      <w:pPr>
        <w:spacing w:after="0" w:line="360" w:lineRule="auto"/>
        <w:ind w:left="720" w:firstLine="720"/>
        <w:rPr>
          <w:rFonts w:ascii="Times New Roman" w:hAnsi="Times New Roman" w:cs="Times New Roman"/>
          <w:bCs/>
          <w:sz w:val="24"/>
          <w:szCs w:val="24"/>
        </w:rPr>
      </w:pPr>
      <w:r w:rsidRPr="001003C3">
        <w:rPr>
          <w:rFonts w:ascii="Times New Roman" w:hAnsi="Times New Roman" w:cs="Times New Roman"/>
          <w:bCs/>
          <w:sz w:val="24"/>
          <w:szCs w:val="24"/>
        </w:rPr>
        <w:t xml:space="preserve">This Order is issued pursuant to the </w:t>
      </w:r>
      <w:r>
        <w:rPr>
          <w:rFonts w:ascii="Times New Roman" w:hAnsi="Times New Roman" w:cs="Times New Roman"/>
          <w:bCs/>
          <w:sz w:val="24"/>
          <w:szCs w:val="24"/>
        </w:rPr>
        <w:t>Commission’s Order entered</w:t>
      </w:r>
      <w:r w:rsidR="009A4E22">
        <w:rPr>
          <w:rFonts w:ascii="Times New Roman" w:hAnsi="Times New Roman" w:cs="Times New Roman"/>
          <w:bCs/>
          <w:sz w:val="24"/>
          <w:szCs w:val="24"/>
        </w:rPr>
        <w:t xml:space="preserve"> on </w:t>
      </w:r>
    </w:p>
    <w:p w14:paraId="658F41C8" w14:textId="65A92110" w:rsidR="004678A5" w:rsidRPr="009A4E22" w:rsidRDefault="009A4E22" w:rsidP="004678A5">
      <w:pPr>
        <w:spacing w:after="0" w:line="360" w:lineRule="auto"/>
        <w:rPr>
          <w:rFonts w:ascii="Times New Roman" w:hAnsi="Times New Roman" w:cs="Times New Roman"/>
          <w:bCs/>
          <w:sz w:val="24"/>
          <w:szCs w:val="24"/>
        </w:rPr>
      </w:pPr>
      <w:r>
        <w:rPr>
          <w:rFonts w:ascii="Times New Roman" w:hAnsi="Times New Roman" w:cs="Times New Roman"/>
          <w:bCs/>
          <w:sz w:val="24"/>
          <w:szCs w:val="24"/>
        </w:rPr>
        <w:t xml:space="preserve">November 14, 2023, at </w:t>
      </w:r>
      <w:bookmarkStart w:id="0" w:name="_Hlk153272387"/>
      <w:r w:rsidRPr="009A4E22">
        <w:rPr>
          <w:rFonts w:ascii="Times New Roman" w:hAnsi="Times New Roman" w:cs="Times New Roman"/>
          <w:bCs/>
          <w:i/>
          <w:iCs/>
          <w:sz w:val="24"/>
          <w:szCs w:val="24"/>
        </w:rPr>
        <w:t>Smart Meter Procurement and Installation</w:t>
      </w:r>
      <w:r>
        <w:rPr>
          <w:rFonts w:ascii="Times New Roman" w:hAnsi="Times New Roman" w:cs="Times New Roman"/>
          <w:bCs/>
          <w:sz w:val="24"/>
          <w:szCs w:val="24"/>
        </w:rPr>
        <w:t>, No. M-2009-2092655 (Order entered 11/14/2023)</w:t>
      </w:r>
      <w:r w:rsidR="000B539D">
        <w:rPr>
          <w:rFonts w:ascii="Times New Roman" w:hAnsi="Times New Roman" w:cs="Times New Roman"/>
          <w:bCs/>
          <w:sz w:val="24"/>
          <w:szCs w:val="24"/>
        </w:rPr>
        <w:t xml:space="preserve"> (</w:t>
      </w:r>
      <w:r w:rsidR="000B539D" w:rsidRPr="000B539D">
        <w:rPr>
          <w:rFonts w:ascii="Times New Roman" w:hAnsi="Times New Roman" w:cs="Times New Roman"/>
          <w:bCs/>
          <w:i/>
          <w:iCs/>
          <w:sz w:val="24"/>
          <w:szCs w:val="24"/>
        </w:rPr>
        <w:t>2023 Order</w:t>
      </w:r>
      <w:r w:rsidR="000B539D">
        <w:rPr>
          <w:rFonts w:ascii="Times New Roman" w:hAnsi="Times New Roman" w:cs="Times New Roman"/>
          <w:bCs/>
          <w:sz w:val="24"/>
          <w:szCs w:val="24"/>
        </w:rPr>
        <w:t>)</w:t>
      </w:r>
      <w:bookmarkEnd w:id="0"/>
      <w:r w:rsidR="004C6075">
        <w:rPr>
          <w:rFonts w:ascii="Times New Roman" w:hAnsi="Times New Roman" w:cs="Times New Roman"/>
          <w:bCs/>
          <w:sz w:val="24"/>
          <w:szCs w:val="24"/>
        </w:rPr>
        <w:t xml:space="preserve">.  This Order </w:t>
      </w:r>
      <w:r w:rsidR="009A378C">
        <w:rPr>
          <w:rFonts w:ascii="Times New Roman" w:hAnsi="Times New Roman" w:cs="Times New Roman"/>
          <w:bCs/>
          <w:sz w:val="24"/>
          <w:szCs w:val="24"/>
        </w:rPr>
        <w:t>directs that</w:t>
      </w:r>
      <w:r>
        <w:rPr>
          <w:rFonts w:ascii="Times New Roman" w:hAnsi="Times New Roman" w:cs="Times New Roman"/>
          <w:bCs/>
          <w:sz w:val="24"/>
          <w:szCs w:val="24"/>
        </w:rPr>
        <w:t xml:space="preserve"> a post evidentiary hearing conference</w:t>
      </w:r>
      <w:r w:rsidR="004678A5">
        <w:rPr>
          <w:rFonts w:ascii="Times New Roman" w:hAnsi="Times New Roman" w:cs="Times New Roman"/>
          <w:bCs/>
          <w:sz w:val="24"/>
          <w:szCs w:val="24"/>
        </w:rPr>
        <w:t xml:space="preserve"> </w:t>
      </w:r>
      <w:r w:rsidR="009A378C">
        <w:rPr>
          <w:rFonts w:ascii="Times New Roman" w:hAnsi="Times New Roman" w:cs="Times New Roman"/>
          <w:bCs/>
          <w:sz w:val="24"/>
          <w:szCs w:val="24"/>
        </w:rPr>
        <w:t xml:space="preserve">will be held </w:t>
      </w:r>
      <w:r w:rsidR="004678A5">
        <w:rPr>
          <w:rFonts w:ascii="Times New Roman" w:hAnsi="Times New Roman" w:cs="Times New Roman"/>
          <w:bCs/>
          <w:sz w:val="24"/>
          <w:szCs w:val="24"/>
        </w:rPr>
        <w:t xml:space="preserve">for the </w:t>
      </w:r>
      <w:r w:rsidR="0031523F">
        <w:rPr>
          <w:rFonts w:ascii="Times New Roman" w:hAnsi="Times New Roman" w:cs="Times New Roman"/>
          <w:bCs/>
          <w:sz w:val="24"/>
          <w:szCs w:val="24"/>
        </w:rPr>
        <w:t>purpose</w:t>
      </w:r>
      <w:r w:rsidR="004678A5">
        <w:rPr>
          <w:rFonts w:ascii="Times New Roman" w:hAnsi="Times New Roman" w:cs="Times New Roman"/>
          <w:bCs/>
          <w:sz w:val="24"/>
          <w:szCs w:val="24"/>
        </w:rPr>
        <w:t xml:space="preserve"> </w:t>
      </w:r>
      <w:r w:rsidR="002F1EC4">
        <w:rPr>
          <w:rFonts w:ascii="Times New Roman" w:hAnsi="Times New Roman" w:cs="Times New Roman"/>
          <w:bCs/>
          <w:sz w:val="24"/>
          <w:szCs w:val="24"/>
        </w:rPr>
        <w:t xml:space="preserve">discussed </w:t>
      </w:r>
      <w:r w:rsidR="004678A5">
        <w:rPr>
          <w:rFonts w:ascii="Times New Roman" w:hAnsi="Times New Roman" w:cs="Times New Roman"/>
          <w:bCs/>
          <w:sz w:val="24"/>
          <w:szCs w:val="24"/>
        </w:rPr>
        <w:t>below</w:t>
      </w:r>
      <w:r w:rsidR="004C6075">
        <w:rPr>
          <w:rFonts w:ascii="Times New Roman" w:hAnsi="Times New Roman" w:cs="Times New Roman"/>
          <w:bCs/>
          <w:sz w:val="24"/>
          <w:szCs w:val="24"/>
        </w:rPr>
        <w:t xml:space="preserve"> and reflected in the Ordering paragraphs</w:t>
      </w:r>
      <w:r>
        <w:rPr>
          <w:rFonts w:ascii="Times New Roman" w:hAnsi="Times New Roman" w:cs="Times New Roman"/>
          <w:bCs/>
          <w:sz w:val="24"/>
          <w:szCs w:val="24"/>
        </w:rPr>
        <w:t>.</w:t>
      </w:r>
      <w:r w:rsidR="004C6075">
        <w:rPr>
          <w:rStyle w:val="FootnoteReference"/>
          <w:rFonts w:ascii="Times New Roman" w:hAnsi="Times New Roman" w:cs="Times New Roman"/>
          <w:bCs/>
          <w:sz w:val="24"/>
          <w:szCs w:val="24"/>
        </w:rPr>
        <w:footnoteReference w:id="1"/>
      </w:r>
      <w:r>
        <w:rPr>
          <w:rFonts w:ascii="Times New Roman" w:hAnsi="Times New Roman" w:cs="Times New Roman"/>
          <w:bCs/>
          <w:sz w:val="24"/>
          <w:szCs w:val="24"/>
        </w:rPr>
        <w:t xml:space="preserve">  </w:t>
      </w:r>
    </w:p>
    <w:p w14:paraId="7477F7CE" w14:textId="77777777" w:rsidR="001003C3" w:rsidRDefault="001003C3" w:rsidP="001003C3">
      <w:pPr>
        <w:spacing w:after="0" w:line="360" w:lineRule="auto"/>
        <w:rPr>
          <w:rFonts w:ascii="Times New Roman" w:hAnsi="Times New Roman" w:cs="Times New Roman"/>
          <w:bCs/>
          <w:sz w:val="24"/>
          <w:szCs w:val="24"/>
        </w:rPr>
      </w:pPr>
    </w:p>
    <w:p w14:paraId="1808EF2C" w14:textId="4577B450" w:rsidR="00C77197" w:rsidRPr="00F04A4A" w:rsidRDefault="00F04A4A" w:rsidP="00C77197">
      <w:pPr>
        <w:spacing w:after="0" w:line="360" w:lineRule="auto"/>
        <w:rPr>
          <w:rFonts w:ascii="Times New Roman" w:eastAsia="Times New Roman" w:hAnsi="Times New Roman" w:cs="Times New Roman"/>
          <w:i/>
          <w:iCs/>
          <w:sz w:val="24"/>
          <w:szCs w:val="24"/>
          <w:u w:val="single"/>
        </w:rPr>
      </w:pPr>
      <w:r>
        <w:rPr>
          <w:rFonts w:ascii="Times New Roman" w:eastAsia="Times New Roman" w:hAnsi="Times New Roman" w:cs="Times New Roman"/>
          <w:i/>
          <w:iCs/>
          <w:sz w:val="24"/>
          <w:szCs w:val="24"/>
          <w:u w:val="single"/>
        </w:rPr>
        <w:t xml:space="preserve">Abbreviated Procedural </w:t>
      </w:r>
      <w:r w:rsidR="00C77197" w:rsidRPr="00F04A4A">
        <w:rPr>
          <w:rFonts w:ascii="Times New Roman" w:eastAsia="Times New Roman" w:hAnsi="Times New Roman" w:cs="Times New Roman"/>
          <w:i/>
          <w:iCs/>
          <w:sz w:val="24"/>
          <w:szCs w:val="24"/>
          <w:u w:val="single"/>
        </w:rPr>
        <w:t>Background</w:t>
      </w:r>
    </w:p>
    <w:p w14:paraId="07473C92" w14:textId="77777777" w:rsidR="00644B33" w:rsidRDefault="00644B33" w:rsidP="00CE1993">
      <w:pPr>
        <w:spacing w:after="0" w:line="360" w:lineRule="auto"/>
        <w:ind w:firstLine="1440"/>
        <w:rPr>
          <w:rFonts w:ascii="Times New Roman" w:eastAsia="Times New Roman" w:hAnsi="Times New Roman" w:cs="Times New Roman"/>
          <w:sz w:val="24"/>
          <w:szCs w:val="24"/>
        </w:rPr>
      </w:pPr>
    </w:p>
    <w:p w14:paraId="73407806" w14:textId="785FF4EB" w:rsidR="002F1EC4" w:rsidRDefault="009A4E22" w:rsidP="00CE1993">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By way of </w:t>
      </w:r>
      <w:r w:rsidR="00EC1A68">
        <w:rPr>
          <w:rFonts w:ascii="Times New Roman" w:eastAsia="Times New Roman" w:hAnsi="Times New Roman" w:cs="Times New Roman"/>
          <w:sz w:val="24"/>
          <w:szCs w:val="24"/>
        </w:rPr>
        <w:t xml:space="preserve">brief </w:t>
      </w:r>
      <w:r>
        <w:rPr>
          <w:rFonts w:ascii="Times New Roman" w:eastAsia="Times New Roman" w:hAnsi="Times New Roman" w:cs="Times New Roman"/>
          <w:sz w:val="24"/>
          <w:szCs w:val="24"/>
        </w:rPr>
        <w:t xml:space="preserve">background, </w:t>
      </w:r>
      <w:r w:rsidR="00EC1A68">
        <w:rPr>
          <w:rFonts w:ascii="Times New Roman" w:eastAsia="Times New Roman" w:hAnsi="Times New Roman" w:cs="Times New Roman"/>
          <w:sz w:val="24"/>
          <w:szCs w:val="24"/>
        </w:rPr>
        <w:t>o</w:t>
      </w:r>
      <w:r w:rsidR="004678A5">
        <w:rPr>
          <w:rFonts w:ascii="Times New Roman" w:eastAsia="Times New Roman" w:hAnsi="Times New Roman" w:cs="Times New Roman"/>
          <w:sz w:val="24"/>
          <w:szCs w:val="24"/>
        </w:rPr>
        <w:t xml:space="preserve">n </w:t>
      </w:r>
      <w:r w:rsidR="009E0DCD">
        <w:rPr>
          <w:rFonts w:ascii="Times New Roman" w:eastAsia="Times New Roman" w:hAnsi="Times New Roman" w:cs="Times New Roman"/>
          <w:sz w:val="24"/>
          <w:szCs w:val="24"/>
        </w:rPr>
        <w:t>November 7, 2018, Donna DeSanto Ott</w:t>
      </w:r>
      <w:r w:rsidR="004678A5">
        <w:rPr>
          <w:rFonts w:ascii="Times New Roman" w:eastAsia="Times New Roman" w:hAnsi="Times New Roman" w:cs="Times New Roman"/>
          <w:sz w:val="24"/>
          <w:szCs w:val="24"/>
        </w:rPr>
        <w:t xml:space="preserve"> </w:t>
      </w:r>
      <w:r w:rsidR="00EC1A68">
        <w:rPr>
          <w:rFonts w:ascii="Times New Roman" w:eastAsia="Times New Roman" w:hAnsi="Times New Roman" w:cs="Times New Roman"/>
          <w:sz w:val="24"/>
          <w:szCs w:val="24"/>
        </w:rPr>
        <w:t xml:space="preserve">(Complainant) </w:t>
      </w:r>
      <w:r w:rsidR="004678A5">
        <w:rPr>
          <w:rFonts w:ascii="Times New Roman" w:eastAsia="Times New Roman" w:hAnsi="Times New Roman" w:cs="Times New Roman"/>
          <w:sz w:val="24"/>
          <w:szCs w:val="24"/>
        </w:rPr>
        <w:t xml:space="preserve">filed a </w:t>
      </w:r>
      <w:r w:rsidR="002F1EC4">
        <w:rPr>
          <w:rFonts w:ascii="Times New Roman" w:eastAsia="Times New Roman" w:hAnsi="Times New Roman" w:cs="Times New Roman"/>
          <w:sz w:val="24"/>
          <w:szCs w:val="24"/>
        </w:rPr>
        <w:t>F</w:t>
      </w:r>
      <w:r w:rsidR="004678A5">
        <w:rPr>
          <w:rFonts w:ascii="Times New Roman" w:eastAsia="Times New Roman" w:hAnsi="Times New Roman" w:cs="Times New Roman"/>
          <w:sz w:val="24"/>
          <w:szCs w:val="24"/>
        </w:rPr>
        <w:t xml:space="preserve">ormal </w:t>
      </w:r>
      <w:r w:rsidR="002F1EC4">
        <w:rPr>
          <w:rFonts w:ascii="Times New Roman" w:eastAsia="Times New Roman" w:hAnsi="Times New Roman" w:cs="Times New Roman"/>
          <w:sz w:val="24"/>
          <w:szCs w:val="24"/>
        </w:rPr>
        <w:t>C</w:t>
      </w:r>
      <w:r w:rsidR="004678A5">
        <w:rPr>
          <w:rFonts w:ascii="Times New Roman" w:eastAsia="Times New Roman" w:hAnsi="Times New Roman" w:cs="Times New Roman"/>
          <w:sz w:val="24"/>
          <w:szCs w:val="24"/>
        </w:rPr>
        <w:t xml:space="preserve">omplaint </w:t>
      </w:r>
      <w:r w:rsidR="002F1EC4">
        <w:rPr>
          <w:rFonts w:ascii="Times New Roman" w:eastAsia="Times New Roman" w:hAnsi="Times New Roman" w:cs="Times New Roman"/>
          <w:sz w:val="24"/>
          <w:szCs w:val="24"/>
        </w:rPr>
        <w:t xml:space="preserve">(Complaint) </w:t>
      </w:r>
      <w:r w:rsidR="004678A5">
        <w:rPr>
          <w:rFonts w:ascii="Times New Roman" w:eastAsia="Times New Roman" w:hAnsi="Times New Roman" w:cs="Times New Roman"/>
          <w:sz w:val="24"/>
          <w:szCs w:val="24"/>
        </w:rPr>
        <w:t xml:space="preserve">against </w:t>
      </w:r>
      <w:r w:rsidR="009E0DCD">
        <w:rPr>
          <w:rFonts w:ascii="Times New Roman" w:eastAsia="Times New Roman" w:hAnsi="Times New Roman" w:cs="Times New Roman"/>
          <w:sz w:val="24"/>
          <w:szCs w:val="24"/>
        </w:rPr>
        <w:t>Metropolitan Edison</w:t>
      </w:r>
      <w:r w:rsidR="00EC1A68">
        <w:rPr>
          <w:rFonts w:ascii="Times New Roman" w:eastAsia="Times New Roman" w:hAnsi="Times New Roman" w:cs="Times New Roman"/>
          <w:sz w:val="24"/>
          <w:szCs w:val="24"/>
        </w:rPr>
        <w:t xml:space="preserve"> Company (Respondent) objecting to the installation of a smart meter </w:t>
      </w:r>
      <w:r w:rsidR="00915777">
        <w:rPr>
          <w:rFonts w:ascii="Times New Roman" w:eastAsia="Times New Roman" w:hAnsi="Times New Roman" w:cs="Times New Roman"/>
          <w:sz w:val="24"/>
          <w:szCs w:val="24"/>
        </w:rPr>
        <w:t>on</w:t>
      </w:r>
      <w:r w:rsidR="00EC1A68">
        <w:rPr>
          <w:rFonts w:ascii="Times New Roman" w:eastAsia="Times New Roman" w:hAnsi="Times New Roman" w:cs="Times New Roman"/>
          <w:sz w:val="24"/>
          <w:szCs w:val="24"/>
        </w:rPr>
        <w:t xml:space="preserve"> h</w:t>
      </w:r>
      <w:r w:rsidR="009E0DCD">
        <w:rPr>
          <w:rFonts w:ascii="Times New Roman" w:eastAsia="Times New Roman" w:hAnsi="Times New Roman" w:cs="Times New Roman"/>
          <w:sz w:val="24"/>
          <w:szCs w:val="24"/>
        </w:rPr>
        <w:t xml:space="preserve">er </w:t>
      </w:r>
      <w:r w:rsidR="000B539D">
        <w:rPr>
          <w:rFonts w:ascii="Times New Roman" w:eastAsia="Times New Roman" w:hAnsi="Times New Roman" w:cs="Times New Roman"/>
          <w:sz w:val="24"/>
          <w:szCs w:val="24"/>
        </w:rPr>
        <w:t>property</w:t>
      </w:r>
      <w:r w:rsidR="00EC1A68">
        <w:rPr>
          <w:rFonts w:ascii="Times New Roman" w:eastAsia="Times New Roman" w:hAnsi="Times New Roman" w:cs="Times New Roman"/>
          <w:sz w:val="24"/>
          <w:szCs w:val="24"/>
        </w:rPr>
        <w:t>.  M</w:t>
      </w:r>
      <w:r w:rsidR="00CA17A1">
        <w:rPr>
          <w:rFonts w:ascii="Times New Roman" w:eastAsia="Times New Roman" w:hAnsi="Times New Roman" w:cs="Times New Roman"/>
          <w:sz w:val="24"/>
          <w:szCs w:val="24"/>
        </w:rPr>
        <w:t>s. Ott</w:t>
      </w:r>
      <w:r w:rsidR="00EC1A68">
        <w:rPr>
          <w:rFonts w:ascii="Times New Roman" w:eastAsia="Times New Roman" w:hAnsi="Times New Roman" w:cs="Times New Roman"/>
          <w:sz w:val="24"/>
          <w:szCs w:val="24"/>
        </w:rPr>
        <w:t xml:space="preserve"> alleged, </w:t>
      </w:r>
      <w:r w:rsidR="00EC1A68" w:rsidRPr="00EC1A68">
        <w:rPr>
          <w:rFonts w:ascii="Times New Roman" w:eastAsia="Times New Roman" w:hAnsi="Times New Roman" w:cs="Times New Roman"/>
          <w:i/>
          <w:iCs/>
          <w:sz w:val="24"/>
          <w:szCs w:val="24"/>
        </w:rPr>
        <w:t>inter alia</w:t>
      </w:r>
      <w:r w:rsidR="00EC1A68">
        <w:rPr>
          <w:rFonts w:ascii="Times New Roman" w:eastAsia="Times New Roman" w:hAnsi="Times New Roman" w:cs="Times New Roman"/>
          <w:sz w:val="24"/>
          <w:szCs w:val="24"/>
        </w:rPr>
        <w:t xml:space="preserve">, that </w:t>
      </w:r>
      <w:r w:rsidR="002F1EC4">
        <w:rPr>
          <w:rFonts w:ascii="Times New Roman" w:eastAsia="Times New Roman" w:hAnsi="Times New Roman" w:cs="Times New Roman"/>
          <w:sz w:val="24"/>
          <w:szCs w:val="24"/>
        </w:rPr>
        <w:t xml:space="preserve">for various reasons </w:t>
      </w:r>
      <w:r w:rsidR="00EC1A68">
        <w:rPr>
          <w:rFonts w:ascii="Times New Roman" w:eastAsia="Times New Roman" w:hAnsi="Times New Roman" w:cs="Times New Roman"/>
          <w:sz w:val="24"/>
          <w:szCs w:val="24"/>
        </w:rPr>
        <w:t xml:space="preserve">the installation of a smart meter </w:t>
      </w:r>
      <w:r w:rsidR="00CA17A1">
        <w:rPr>
          <w:rFonts w:ascii="Times New Roman" w:eastAsia="Times New Roman" w:hAnsi="Times New Roman" w:cs="Times New Roman"/>
          <w:sz w:val="24"/>
          <w:szCs w:val="24"/>
        </w:rPr>
        <w:t xml:space="preserve">is </w:t>
      </w:r>
      <w:r w:rsidR="00EC1A68">
        <w:rPr>
          <w:rFonts w:ascii="Times New Roman" w:eastAsia="Times New Roman" w:hAnsi="Times New Roman" w:cs="Times New Roman"/>
          <w:sz w:val="24"/>
          <w:szCs w:val="24"/>
        </w:rPr>
        <w:t xml:space="preserve">unsafe </w:t>
      </w:r>
      <w:r w:rsidR="00CA17A1">
        <w:rPr>
          <w:rFonts w:ascii="Times New Roman" w:eastAsia="Times New Roman" w:hAnsi="Times New Roman" w:cs="Times New Roman"/>
          <w:sz w:val="24"/>
          <w:szCs w:val="24"/>
        </w:rPr>
        <w:t>and unhealthy</w:t>
      </w:r>
      <w:r w:rsidR="00EC1A68">
        <w:rPr>
          <w:rFonts w:ascii="Times New Roman" w:eastAsia="Times New Roman" w:hAnsi="Times New Roman" w:cs="Times New Roman"/>
          <w:sz w:val="24"/>
          <w:szCs w:val="24"/>
        </w:rPr>
        <w:t>.</w:t>
      </w:r>
      <w:r w:rsidR="002F1EC4">
        <w:rPr>
          <w:rFonts w:ascii="Times New Roman" w:eastAsia="Times New Roman" w:hAnsi="Times New Roman" w:cs="Times New Roman"/>
          <w:sz w:val="24"/>
          <w:szCs w:val="24"/>
        </w:rPr>
        <w:t xml:space="preserve"> </w:t>
      </w:r>
      <w:r w:rsidR="00EA0B47">
        <w:rPr>
          <w:rFonts w:ascii="Times New Roman" w:eastAsia="Times New Roman" w:hAnsi="Times New Roman" w:cs="Times New Roman"/>
          <w:sz w:val="24"/>
          <w:szCs w:val="24"/>
        </w:rPr>
        <w:t xml:space="preserve"> </w:t>
      </w:r>
      <w:r w:rsidR="002F1EC4">
        <w:rPr>
          <w:rFonts w:ascii="Times New Roman" w:eastAsia="Times New Roman" w:hAnsi="Times New Roman" w:cs="Times New Roman"/>
          <w:sz w:val="24"/>
          <w:szCs w:val="24"/>
        </w:rPr>
        <w:t xml:space="preserve">On </w:t>
      </w:r>
      <w:r w:rsidR="00CA17A1">
        <w:rPr>
          <w:rFonts w:ascii="Times New Roman" w:eastAsia="Times New Roman" w:hAnsi="Times New Roman" w:cs="Times New Roman"/>
          <w:sz w:val="24"/>
          <w:szCs w:val="24"/>
        </w:rPr>
        <w:t>November 27</w:t>
      </w:r>
      <w:r w:rsidR="002F1EC4">
        <w:rPr>
          <w:rFonts w:ascii="Times New Roman" w:eastAsia="Times New Roman" w:hAnsi="Times New Roman" w:cs="Times New Roman"/>
          <w:sz w:val="24"/>
          <w:szCs w:val="24"/>
        </w:rPr>
        <w:t xml:space="preserve">, 2018, Respondent filed an Answer and New Matter in which it denied the material allegations of the </w:t>
      </w:r>
      <w:r w:rsidR="00672D7B">
        <w:rPr>
          <w:rFonts w:ascii="Times New Roman" w:eastAsia="Times New Roman" w:hAnsi="Times New Roman" w:cs="Times New Roman"/>
          <w:sz w:val="24"/>
          <w:szCs w:val="24"/>
        </w:rPr>
        <w:t>Complaint and</w:t>
      </w:r>
      <w:r w:rsidR="002F1EC4">
        <w:rPr>
          <w:rFonts w:ascii="Times New Roman" w:eastAsia="Times New Roman" w:hAnsi="Times New Roman" w:cs="Times New Roman"/>
          <w:sz w:val="24"/>
          <w:szCs w:val="24"/>
        </w:rPr>
        <w:t xml:space="preserve"> requested that the Complaint be dismissed.   </w:t>
      </w:r>
      <w:r w:rsidR="00E00A1B">
        <w:rPr>
          <w:rFonts w:ascii="Times New Roman" w:eastAsia="Times New Roman" w:hAnsi="Times New Roman" w:cs="Times New Roman"/>
          <w:sz w:val="24"/>
          <w:szCs w:val="24"/>
        </w:rPr>
        <w:t xml:space="preserve">The Commission assigned </w:t>
      </w:r>
      <w:r w:rsidR="002F1EC4">
        <w:rPr>
          <w:rFonts w:ascii="Times New Roman" w:eastAsia="Times New Roman" w:hAnsi="Times New Roman" w:cs="Times New Roman"/>
          <w:sz w:val="24"/>
          <w:szCs w:val="24"/>
        </w:rPr>
        <w:t xml:space="preserve">ALJ Jeffrey A. Watson to preside over this matter. </w:t>
      </w:r>
    </w:p>
    <w:p w14:paraId="62558FD6" w14:textId="77777777" w:rsidR="00915777" w:rsidRDefault="00915777" w:rsidP="00CE1993">
      <w:pPr>
        <w:spacing w:after="0" w:line="360" w:lineRule="auto"/>
        <w:ind w:firstLine="1440"/>
        <w:rPr>
          <w:rFonts w:ascii="Times New Roman" w:eastAsia="Times New Roman" w:hAnsi="Times New Roman" w:cs="Times New Roman"/>
          <w:sz w:val="24"/>
          <w:szCs w:val="24"/>
        </w:rPr>
      </w:pPr>
    </w:p>
    <w:p w14:paraId="390A8D60" w14:textId="6F40BB7F" w:rsidR="002F1EC4" w:rsidRDefault="002F1EC4" w:rsidP="002F1EC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 Thereafter, the record reveals a lengthy procedural history, including several prehearing conferences, several revised litigation schedules, </w:t>
      </w:r>
      <w:r w:rsidR="00CA17A1">
        <w:rPr>
          <w:rFonts w:ascii="Times New Roman" w:eastAsia="Times New Roman" w:hAnsi="Times New Roman" w:cs="Times New Roman"/>
          <w:sz w:val="24"/>
          <w:szCs w:val="24"/>
        </w:rPr>
        <w:t xml:space="preserve">and </w:t>
      </w:r>
      <w:r>
        <w:rPr>
          <w:rFonts w:ascii="Times New Roman" w:eastAsia="Times New Roman" w:hAnsi="Times New Roman" w:cs="Times New Roman"/>
          <w:sz w:val="24"/>
          <w:szCs w:val="24"/>
        </w:rPr>
        <w:t xml:space="preserve">the filings of various motions by </w:t>
      </w:r>
    </w:p>
    <w:p w14:paraId="5C5BD727" w14:textId="7209DE90" w:rsidR="00CA17A1" w:rsidRDefault="002F1EC4" w:rsidP="00CA17A1">
      <w:pPr>
        <w:pStyle w:val="FootnoteText"/>
        <w:spacing w:line="360" w:lineRule="auto"/>
        <w:rPr>
          <w:rFonts w:ascii="Times New Roman" w:hAnsi="Times New Roman" w:cs="Times New Roman"/>
          <w:sz w:val="24"/>
          <w:szCs w:val="24"/>
        </w:rPr>
      </w:pPr>
      <w:r w:rsidRPr="002F1EC4">
        <w:rPr>
          <w:rFonts w:ascii="Times New Roman" w:eastAsia="Times New Roman" w:hAnsi="Times New Roman" w:cs="Times New Roman"/>
          <w:sz w:val="24"/>
          <w:szCs w:val="24"/>
        </w:rPr>
        <w:t>both parties</w:t>
      </w:r>
      <w:r w:rsidR="00CA17A1">
        <w:rPr>
          <w:rFonts w:ascii="Times New Roman" w:eastAsia="Times New Roman" w:hAnsi="Times New Roman" w:cs="Times New Roman"/>
          <w:sz w:val="24"/>
          <w:szCs w:val="24"/>
        </w:rPr>
        <w:t>.</w:t>
      </w:r>
      <w:r w:rsidRPr="002F1EC4">
        <w:rPr>
          <w:rFonts w:ascii="Times New Roman" w:eastAsia="Times New Roman" w:hAnsi="Times New Roman" w:cs="Times New Roman"/>
          <w:sz w:val="24"/>
          <w:szCs w:val="24"/>
        </w:rPr>
        <w:t xml:space="preserve">  </w:t>
      </w:r>
    </w:p>
    <w:p w14:paraId="699DF044" w14:textId="77777777" w:rsidR="00CA17A1" w:rsidRDefault="00CA17A1" w:rsidP="00CA17A1">
      <w:pPr>
        <w:pStyle w:val="FootnoteText"/>
        <w:spacing w:line="360" w:lineRule="auto"/>
        <w:ind w:left="720" w:firstLine="720"/>
        <w:rPr>
          <w:rFonts w:ascii="Times New Roman" w:hAnsi="Times New Roman" w:cs="Times New Roman"/>
          <w:sz w:val="24"/>
          <w:szCs w:val="24"/>
        </w:rPr>
      </w:pPr>
      <w:r>
        <w:rPr>
          <w:rFonts w:ascii="Times New Roman" w:hAnsi="Times New Roman" w:cs="Times New Roman"/>
          <w:sz w:val="24"/>
          <w:szCs w:val="24"/>
        </w:rPr>
        <w:lastRenderedPageBreak/>
        <w:t xml:space="preserve">On June 25, 2019, Michael P. Giles, Esquire, entered an appearance on behalf of </w:t>
      </w:r>
    </w:p>
    <w:p w14:paraId="2A874D48" w14:textId="015DAC03" w:rsidR="00CA17A1" w:rsidRDefault="00CA17A1" w:rsidP="00CA17A1">
      <w:pPr>
        <w:pStyle w:val="FootnoteText"/>
        <w:spacing w:line="360" w:lineRule="auto"/>
        <w:rPr>
          <w:rFonts w:ascii="Times New Roman" w:hAnsi="Times New Roman" w:cs="Times New Roman"/>
          <w:sz w:val="24"/>
          <w:szCs w:val="24"/>
        </w:rPr>
      </w:pPr>
      <w:r>
        <w:rPr>
          <w:rFonts w:ascii="Times New Roman" w:hAnsi="Times New Roman" w:cs="Times New Roman"/>
          <w:sz w:val="24"/>
          <w:szCs w:val="24"/>
        </w:rPr>
        <w:t xml:space="preserve">the Complainant. </w:t>
      </w:r>
      <w:r w:rsidR="00E70372">
        <w:rPr>
          <w:rFonts w:ascii="Times New Roman" w:hAnsi="Times New Roman" w:cs="Times New Roman"/>
          <w:sz w:val="24"/>
          <w:szCs w:val="24"/>
        </w:rPr>
        <w:t xml:space="preserve"> On February 24, 2020, </w:t>
      </w:r>
      <w:r w:rsidR="00E70372">
        <w:rPr>
          <w:rFonts w:ascii="Times New Roman" w:eastAsia="Times New Roman" w:hAnsi="Times New Roman" w:cs="Times New Roman"/>
          <w:sz w:val="24"/>
          <w:szCs w:val="24"/>
        </w:rPr>
        <w:t>a Protective Order was issued.</w:t>
      </w:r>
    </w:p>
    <w:p w14:paraId="2D3E34C5" w14:textId="1FC0F2EB" w:rsidR="00CA17A1" w:rsidRDefault="00CA17A1" w:rsidP="00E70372">
      <w:pPr>
        <w:spacing w:after="0" w:line="360" w:lineRule="auto"/>
        <w:rPr>
          <w:rFonts w:ascii="Times New Roman" w:hAnsi="Times New Roman" w:cs="Times New Roman"/>
          <w:sz w:val="24"/>
          <w:szCs w:val="24"/>
        </w:rPr>
      </w:pPr>
    </w:p>
    <w:p w14:paraId="00A84F27" w14:textId="230016E8" w:rsidR="002F1EC4" w:rsidRDefault="0031523F" w:rsidP="002F1EC4">
      <w:pPr>
        <w:spacing w:after="0" w:line="360" w:lineRule="auto"/>
        <w:ind w:firstLine="1440"/>
        <w:rPr>
          <w:rFonts w:ascii="Times New Roman" w:eastAsia="Times New Roman" w:hAnsi="Times New Roman" w:cs="Times New Roman"/>
          <w:sz w:val="24"/>
          <w:szCs w:val="24"/>
        </w:rPr>
      </w:pPr>
      <w:r>
        <w:rPr>
          <w:rFonts w:ascii="Times New Roman" w:hAnsi="Times New Roman" w:cs="Times New Roman"/>
          <w:sz w:val="24"/>
          <w:szCs w:val="24"/>
        </w:rPr>
        <w:t>O</w:t>
      </w:r>
      <w:r w:rsidR="002F1EC4">
        <w:rPr>
          <w:rFonts w:ascii="Times New Roman" w:hAnsi="Times New Roman" w:cs="Times New Roman"/>
          <w:sz w:val="24"/>
          <w:szCs w:val="24"/>
        </w:rPr>
        <w:t xml:space="preserve">n </w:t>
      </w:r>
      <w:r w:rsidR="00CA17A1">
        <w:rPr>
          <w:rFonts w:ascii="Times New Roman" w:hAnsi="Times New Roman" w:cs="Times New Roman"/>
          <w:sz w:val="24"/>
          <w:szCs w:val="24"/>
        </w:rPr>
        <w:t>August 31</w:t>
      </w:r>
      <w:r w:rsidR="002F1EC4">
        <w:rPr>
          <w:rFonts w:ascii="Times New Roman" w:hAnsi="Times New Roman" w:cs="Times New Roman"/>
          <w:sz w:val="24"/>
          <w:szCs w:val="24"/>
        </w:rPr>
        <w:t>,</w:t>
      </w:r>
      <w:r w:rsidR="00CA17A1">
        <w:rPr>
          <w:rFonts w:ascii="Times New Roman" w:hAnsi="Times New Roman" w:cs="Times New Roman"/>
          <w:sz w:val="24"/>
          <w:szCs w:val="24"/>
        </w:rPr>
        <w:t xml:space="preserve"> 2020,</w:t>
      </w:r>
      <w:r w:rsidR="002F1EC4">
        <w:rPr>
          <w:rFonts w:ascii="Times New Roman" w:hAnsi="Times New Roman" w:cs="Times New Roman"/>
          <w:sz w:val="24"/>
          <w:szCs w:val="24"/>
        </w:rPr>
        <w:t xml:space="preserve"> </w:t>
      </w:r>
      <w:r w:rsidR="002F1EC4" w:rsidRPr="002F1EC4">
        <w:rPr>
          <w:rFonts w:ascii="Times New Roman" w:hAnsi="Times New Roman" w:cs="Times New Roman"/>
          <w:sz w:val="24"/>
          <w:szCs w:val="24"/>
        </w:rPr>
        <w:t xml:space="preserve">an evidentiary hearing </w:t>
      </w:r>
      <w:r w:rsidR="002F1EC4">
        <w:rPr>
          <w:rFonts w:ascii="Times New Roman" w:eastAsia="Times New Roman" w:hAnsi="Times New Roman" w:cs="Times New Roman"/>
          <w:sz w:val="24"/>
          <w:szCs w:val="24"/>
        </w:rPr>
        <w:t>was held</w:t>
      </w:r>
      <w:r w:rsidR="002F1EC4" w:rsidRPr="00DC6465">
        <w:rPr>
          <w:rFonts w:ascii="Times New Roman" w:eastAsia="Times New Roman" w:hAnsi="Times New Roman" w:cs="Times New Roman"/>
          <w:sz w:val="24"/>
          <w:szCs w:val="24"/>
        </w:rPr>
        <w:t xml:space="preserve"> </w:t>
      </w:r>
      <w:r w:rsidR="002F1EC4">
        <w:rPr>
          <w:rFonts w:ascii="Times New Roman" w:eastAsia="Times New Roman" w:hAnsi="Times New Roman" w:cs="Times New Roman"/>
          <w:sz w:val="24"/>
          <w:szCs w:val="24"/>
        </w:rPr>
        <w:t>before ALJ Watson</w:t>
      </w:r>
      <w:r w:rsidR="00E70372">
        <w:rPr>
          <w:rFonts w:ascii="Times New Roman" w:eastAsia="Times New Roman" w:hAnsi="Times New Roman" w:cs="Times New Roman"/>
          <w:sz w:val="24"/>
          <w:szCs w:val="24"/>
        </w:rPr>
        <w:t xml:space="preserve">.  </w:t>
      </w:r>
      <w:r w:rsidR="00E00A1B">
        <w:rPr>
          <w:rFonts w:ascii="Times New Roman" w:eastAsia="Times New Roman" w:hAnsi="Times New Roman" w:cs="Times New Roman"/>
          <w:sz w:val="24"/>
          <w:szCs w:val="24"/>
        </w:rPr>
        <w:t xml:space="preserve">On </w:t>
      </w:r>
      <w:r w:rsidR="00E70372">
        <w:rPr>
          <w:rFonts w:ascii="Times New Roman" w:eastAsia="Times New Roman" w:hAnsi="Times New Roman" w:cs="Times New Roman"/>
          <w:sz w:val="24"/>
          <w:szCs w:val="24"/>
        </w:rPr>
        <w:t>October 8</w:t>
      </w:r>
      <w:r w:rsidR="00E00A1B">
        <w:rPr>
          <w:rFonts w:ascii="Times New Roman" w:eastAsia="Times New Roman" w:hAnsi="Times New Roman" w:cs="Times New Roman"/>
          <w:sz w:val="24"/>
          <w:szCs w:val="24"/>
        </w:rPr>
        <w:t xml:space="preserve">, 2020, </w:t>
      </w:r>
      <w:r w:rsidR="000B539D">
        <w:rPr>
          <w:rFonts w:ascii="Times New Roman" w:eastAsia="Times New Roman" w:hAnsi="Times New Roman" w:cs="Times New Roman"/>
          <w:sz w:val="24"/>
          <w:szCs w:val="24"/>
        </w:rPr>
        <w:t>a</w:t>
      </w:r>
      <w:r w:rsidR="00E00A1B">
        <w:rPr>
          <w:rFonts w:ascii="Times New Roman" w:eastAsia="Times New Roman" w:hAnsi="Times New Roman" w:cs="Times New Roman"/>
          <w:sz w:val="24"/>
          <w:szCs w:val="24"/>
        </w:rPr>
        <w:t xml:space="preserve"> </w:t>
      </w:r>
      <w:r w:rsidR="00CA17A1">
        <w:rPr>
          <w:rFonts w:ascii="Times New Roman" w:eastAsia="Times New Roman" w:hAnsi="Times New Roman" w:cs="Times New Roman"/>
          <w:sz w:val="24"/>
          <w:szCs w:val="24"/>
        </w:rPr>
        <w:t>124</w:t>
      </w:r>
      <w:r w:rsidR="00672D7B">
        <w:rPr>
          <w:rFonts w:ascii="Times New Roman" w:eastAsia="Times New Roman" w:hAnsi="Times New Roman" w:cs="Times New Roman"/>
          <w:sz w:val="24"/>
          <w:szCs w:val="24"/>
        </w:rPr>
        <w:t xml:space="preserve">-page hearing transcript was filed with the Commission. </w:t>
      </w:r>
    </w:p>
    <w:p w14:paraId="1C52C03E" w14:textId="77777777" w:rsidR="00672D7B" w:rsidRDefault="00672D7B" w:rsidP="002F1EC4">
      <w:pPr>
        <w:spacing w:after="0" w:line="360" w:lineRule="auto"/>
        <w:ind w:firstLine="1440"/>
        <w:rPr>
          <w:rFonts w:ascii="Times New Roman" w:eastAsia="Times New Roman" w:hAnsi="Times New Roman" w:cs="Times New Roman"/>
          <w:sz w:val="24"/>
          <w:szCs w:val="24"/>
        </w:rPr>
      </w:pPr>
    </w:p>
    <w:p w14:paraId="4BF2469A" w14:textId="1546D05B" w:rsidR="00672D7B" w:rsidRDefault="00672D7B" w:rsidP="002F1EC4">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 xml:space="preserve">On </w:t>
      </w:r>
      <w:r w:rsidR="00E70372">
        <w:rPr>
          <w:rFonts w:ascii="Times New Roman" w:eastAsia="Times New Roman" w:hAnsi="Times New Roman" w:cs="Times New Roman"/>
          <w:sz w:val="24"/>
          <w:szCs w:val="24"/>
        </w:rPr>
        <w:t>September 1</w:t>
      </w:r>
      <w:r>
        <w:rPr>
          <w:rFonts w:ascii="Times New Roman" w:eastAsia="Times New Roman" w:hAnsi="Times New Roman" w:cs="Times New Roman"/>
          <w:sz w:val="24"/>
          <w:szCs w:val="24"/>
        </w:rPr>
        <w:t xml:space="preserve">, 2020, </w:t>
      </w:r>
      <w:r w:rsidR="00E70372">
        <w:rPr>
          <w:rFonts w:ascii="Times New Roman" w:eastAsia="Times New Roman" w:hAnsi="Times New Roman" w:cs="Times New Roman"/>
          <w:sz w:val="24"/>
          <w:szCs w:val="24"/>
        </w:rPr>
        <w:t xml:space="preserve">a briefing schedule was issued, allowing the parties to file a main brief on or before October 30, 2020. </w:t>
      </w:r>
    </w:p>
    <w:p w14:paraId="597E1753" w14:textId="77777777" w:rsidR="00672D7B" w:rsidRDefault="00672D7B" w:rsidP="002F1EC4">
      <w:pPr>
        <w:spacing w:after="0" w:line="360" w:lineRule="auto"/>
        <w:ind w:firstLine="1440"/>
        <w:rPr>
          <w:rFonts w:ascii="Times New Roman" w:eastAsia="Times New Roman" w:hAnsi="Times New Roman" w:cs="Times New Roman"/>
          <w:sz w:val="24"/>
          <w:szCs w:val="24"/>
        </w:rPr>
      </w:pPr>
    </w:p>
    <w:p w14:paraId="1F70F6DE" w14:textId="3ED1ECEE" w:rsidR="0031523F" w:rsidRDefault="00672D7B" w:rsidP="0031523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October 1</w:t>
      </w:r>
      <w:r w:rsidR="00E70372">
        <w:rPr>
          <w:rFonts w:ascii="Times New Roman" w:eastAsia="Times New Roman" w:hAnsi="Times New Roman" w:cs="Times New Roman"/>
          <w:sz w:val="24"/>
          <w:szCs w:val="24"/>
        </w:rPr>
        <w:t>6</w:t>
      </w:r>
      <w:r>
        <w:rPr>
          <w:rFonts w:ascii="Times New Roman" w:eastAsia="Times New Roman" w:hAnsi="Times New Roman" w:cs="Times New Roman"/>
          <w:sz w:val="24"/>
          <w:szCs w:val="24"/>
        </w:rPr>
        <w:t xml:space="preserve">, 2020, </w:t>
      </w:r>
      <w:r w:rsidR="00E70372">
        <w:rPr>
          <w:rFonts w:ascii="Times New Roman" w:eastAsia="Times New Roman" w:hAnsi="Times New Roman" w:cs="Times New Roman"/>
          <w:sz w:val="24"/>
          <w:szCs w:val="24"/>
        </w:rPr>
        <w:t>the Respondent filed a Motion to Stay the proceeding.  The Complainant did not oppose this Motion.</w:t>
      </w:r>
    </w:p>
    <w:p w14:paraId="25F62EFB" w14:textId="77777777" w:rsidR="0031523F" w:rsidRDefault="0031523F" w:rsidP="0031523F">
      <w:pPr>
        <w:spacing w:after="0" w:line="360" w:lineRule="auto"/>
        <w:ind w:firstLine="1440"/>
        <w:rPr>
          <w:rFonts w:ascii="Times New Roman" w:eastAsia="Times New Roman" w:hAnsi="Times New Roman" w:cs="Times New Roman"/>
          <w:sz w:val="24"/>
          <w:szCs w:val="24"/>
        </w:rPr>
      </w:pPr>
    </w:p>
    <w:p w14:paraId="0EA46597" w14:textId="235B4C07" w:rsidR="00915777" w:rsidRDefault="0031523F" w:rsidP="0031523F">
      <w:pPr>
        <w:spacing w:after="0" w:line="360" w:lineRule="auto"/>
        <w:ind w:firstLine="1440"/>
        <w:rPr>
          <w:rFonts w:ascii="Times New Roman" w:eastAsia="Times New Roman" w:hAnsi="Times New Roman" w:cs="Times New Roman"/>
          <w:sz w:val="24"/>
          <w:szCs w:val="24"/>
        </w:rPr>
      </w:pPr>
      <w:r>
        <w:rPr>
          <w:rFonts w:ascii="Times New Roman" w:eastAsia="Times New Roman" w:hAnsi="Times New Roman" w:cs="Times New Roman"/>
          <w:sz w:val="24"/>
          <w:szCs w:val="24"/>
        </w:rPr>
        <w:t>On November 4, 2020, this matter was stayed pursuant to the Commission’s Order</w:t>
      </w:r>
      <w:r w:rsidR="009E5BFC">
        <w:rPr>
          <w:rFonts w:ascii="Times New Roman" w:eastAsia="Times New Roman" w:hAnsi="Times New Roman" w:cs="Times New Roman"/>
          <w:sz w:val="24"/>
          <w:szCs w:val="24"/>
        </w:rPr>
        <w:t xml:space="preserve">.  </w:t>
      </w:r>
      <w:r w:rsidR="00EA0B47" w:rsidRPr="00EA0B47">
        <w:rPr>
          <w:rFonts w:ascii="Times New Roman" w:eastAsia="Times New Roman" w:hAnsi="Times New Roman" w:cs="Times New Roman"/>
          <w:i/>
          <w:iCs/>
          <w:sz w:val="24"/>
          <w:szCs w:val="24"/>
        </w:rPr>
        <w:t>See</w:t>
      </w:r>
      <w:r w:rsidR="00EA0B47">
        <w:rPr>
          <w:rFonts w:ascii="Times New Roman" w:eastAsia="Times New Roman" w:hAnsi="Times New Roman" w:cs="Times New Roman"/>
          <w:i/>
          <w:iCs/>
          <w:sz w:val="24"/>
          <w:szCs w:val="24"/>
        </w:rPr>
        <w:t>,</w:t>
      </w:r>
      <w:r w:rsidR="00EA0B47">
        <w:rPr>
          <w:rFonts w:ascii="Times New Roman" w:eastAsia="Times New Roman" w:hAnsi="Times New Roman" w:cs="Times New Roman"/>
          <w:sz w:val="24"/>
          <w:szCs w:val="24"/>
        </w:rPr>
        <w:t xml:space="preserve"> </w:t>
      </w:r>
      <w:r w:rsidRPr="009A4E22">
        <w:rPr>
          <w:rFonts w:ascii="Times New Roman" w:hAnsi="Times New Roman" w:cs="Times New Roman"/>
          <w:bCs/>
          <w:i/>
          <w:iCs/>
          <w:sz w:val="24"/>
          <w:szCs w:val="24"/>
        </w:rPr>
        <w:t>Smart Meter Procurement and Installation</w:t>
      </w:r>
      <w:r>
        <w:rPr>
          <w:rFonts w:ascii="Times New Roman" w:hAnsi="Times New Roman" w:cs="Times New Roman"/>
          <w:bCs/>
          <w:sz w:val="24"/>
          <w:szCs w:val="24"/>
        </w:rPr>
        <w:t>, No. M-2009-2092655 (Order entered 11/4/2020) (</w:t>
      </w:r>
      <w:r w:rsidRPr="0031523F">
        <w:rPr>
          <w:rFonts w:ascii="Times New Roman" w:hAnsi="Times New Roman" w:cs="Times New Roman"/>
          <w:bCs/>
          <w:i/>
          <w:iCs/>
          <w:sz w:val="24"/>
          <w:szCs w:val="24"/>
        </w:rPr>
        <w:t>Stay Order</w:t>
      </w:r>
      <w:r>
        <w:rPr>
          <w:rFonts w:ascii="Times New Roman" w:hAnsi="Times New Roman" w:cs="Times New Roman"/>
          <w:bCs/>
          <w:sz w:val="24"/>
          <w:szCs w:val="24"/>
        </w:rPr>
        <w:t>).</w:t>
      </w:r>
      <w:r>
        <w:rPr>
          <w:rFonts w:ascii="Times New Roman" w:eastAsia="Times New Roman" w:hAnsi="Times New Roman" w:cs="Times New Roman"/>
          <w:sz w:val="24"/>
          <w:szCs w:val="24"/>
        </w:rPr>
        <w:t xml:space="preserve">   </w:t>
      </w:r>
    </w:p>
    <w:p w14:paraId="6FAF0CAB" w14:textId="77777777" w:rsidR="00915777" w:rsidRDefault="00915777" w:rsidP="0031523F">
      <w:pPr>
        <w:spacing w:after="0" w:line="360" w:lineRule="auto"/>
        <w:ind w:firstLine="1440"/>
        <w:rPr>
          <w:rFonts w:ascii="Times New Roman" w:eastAsia="Times New Roman" w:hAnsi="Times New Roman" w:cs="Times New Roman"/>
          <w:sz w:val="24"/>
          <w:szCs w:val="24"/>
        </w:rPr>
      </w:pPr>
    </w:p>
    <w:p w14:paraId="57AB9150" w14:textId="53DA1045" w:rsidR="0031523F" w:rsidRDefault="0031523F" w:rsidP="0031523F">
      <w:pPr>
        <w:spacing w:after="0" w:line="360" w:lineRule="auto"/>
        <w:ind w:firstLine="1440"/>
        <w:rPr>
          <w:rFonts w:ascii="Times New Roman" w:hAnsi="Times New Roman" w:cs="Times New Roman"/>
          <w:bCs/>
          <w:sz w:val="24"/>
          <w:szCs w:val="24"/>
        </w:rPr>
      </w:pPr>
      <w:r>
        <w:rPr>
          <w:rFonts w:ascii="Times New Roman" w:eastAsia="Times New Roman" w:hAnsi="Times New Roman" w:cs="Times New Roman"/>
          <w:sz w:val="24"/>
          <w:szCs w:val="24"/>
        </w:rPr>
        <w:t>On November 14, 2023, th</w:t>
      </w:r>
      <w:r w:rsidR="00915777">
        <w:rPr>
          <w:rFonts w:ascii="Times New Roman" w:eastAsia="Times New Roman" w:hAnsi="Times New Roman" w:cs="Times New Roman"/>
          <w:sz w:val="24"/>
          <w:szCs w:val="24"/>
        </w:rPr>
        <w:t>e</w:t>
      </w:r>
      <w:r>
        <w:rPr>
          <w:rFonts w:ascii="Times New Roman" w:eastAsia="Times New Roman" w:hAnsi="Times New Roman" w:cs="Times New Roman"/>
          <w:sz w:val="24"/>
          <w:szCs w:val="24"/>
        </w:rPr>
        <w:t xml:space="preserve"> </w:t>
      </w:r>
      <w:r w:rsidRPr="00915777">
        <w:rPr>
          <w:rFonts w:ascii="Times New Roman" w:eastAsia="Times New Roman" w:hAnsi="Times New Roman" w:cs="Times New Roman"/>
          <w:i/>
          <w:iCs/>
          <w:sz w:val="24"/>
          <w:szCs w:val="24"/>
        </w:rPr>
        <w:t>Stay Order</w:t>
      </w:r>
      <w:r>
        <w:rPr>
          <w:rFonts w:ascii="Times New Roman" w:eastAsia="Times New Roman" w:hAnsi="Times New Roman" w:cs="Times New Roman"/>
          <w:sz w:val="24"/>
          <w:szCs w:val="24"/>
        </w:rPr>
        <w:t xml:space="preserve"> was lifted</w:t>
      </w:r>
      <w:r w:rsidR="000B539D">
        <w:rPr>
          <w:rFonts w:ascii="Times New Roman" w:eastAsia="Times New Roman" w:hAnsi="Times New Roman" w:cs="Times New Roman"/>
          <w:sz w:val="24"/>
          <w:szCs w:val="24"/>
        </w:rPr>
        <w:t xml:space="preserve"> by the </w:t>
      </w:r>
      <w:r w:rsidR="000B539D" w:rsidRPr="000B539D">
        <w:rPr>
          <w:rFonts w:ascii="Times New Roman" w:eastAsia="Times New Roman" w:hAnsi="Times New Roman" w:cs="Times New Roman"/>
          <w:i/>
          <w:iCs/>
          <w:sz w:val="24"/>
          <w:szCs w:val="24"/>
        </w:rPr>
        <w:t>2023 Order</w:t>
      </w:r>
      <w:r w:rsidR="000B539D">
        <w:rPr>
          <w:rFonts w:ascii="Times New Roman" w:eastAsia="Times New Roman" w:hAnsi="Times New Roman" w:cs="Times New Roman"/>
          <w:sz w:val="24"/>
          <w:szCs w:val="24"/>
        </w:rPr>
        <w:t>.</w:t>
      </w:r>
    </w:p>
    <w:p w14:paraId="549EF292" w14:textId="77777777" w:rsidR="00BD3343" w:rsidRDefault="00BD3343" w:rsidP="00C77197">
      <w:pPr>
        <w:spacing w:after="0" w:line="360" w:lineRule="auto"/>
        <w:jc w:val="both"/>
        <w:rPr>
          <w:rFonts w:ascii="Times New Roman" w:hAnsi="Times New Roman" w:cs="Times New Roman"/>
          <w:bCs/>
          <w:i/>
          <w:iCs/>
          <w:sz w:val="24"/>
          <w:szCs w:val="24"/>
          <w:u w:val="single"/>
        </w:rPr>
      </w:pPr>
    </w:p>
    <w:p w14:paraId="0E1A63CB" w14:textId="4BF01693" w:rsidR="00C77197" w:rsidRPr="00C77197" w:rsidRDefault="00C77197" w:rsidP="00C77197">
      <w:pPr>
        <w:spacing w:after="0" w:line="360" w:lineRule="auto"/>
        <w:jc w:val="both"/>
        <w:rPr>
          <w:rFonts w:ascii="Times New Roman" w:eastAsia="Times New Roman" w:hAnsi="Times New Roman" w:cs="Times New Roman"/>
          <w:i/>
          <w:iCs/>
          <w:sz w:val="24"/>
          <w:szCs w:val="24"/>
          <w:u w:val="single"/>
        </w:rPr>
      </w:pPr>
      <w:r w:rsidRPr="00C77197">
        <w:rPr>
          <w:rFonts w:ascii="Times New Roman" w:hAnsi="Times New Roman" w:cs="Times New Roman"/>
          <w:bCs/>
          <w:i/>
          <w:iCs/>
          <w:sz w:val="24"/>
          <w:szCs w:val="24"/>
          <w:u w:val="single"/>
        </w:rPr>
        <w:t>Post-Stay Order</w:t>
      </w:r>
    </w:p>
    <w:p w14:paraId="2AEDF91C" w14:textId="77777777" w:rsidR="00644B33" w:rsidRDefault="002F1EC4" w:rsidP="00D550B3">
      <w:pPr>
        <w:spacing w:after="0" w:line="360" w:lineRule="auto"/>
        <w:rPr>
          <w:rFonts w:ascii="Times New Roman" w:hAnsi="Times New Roman" w:cs="Times New Roman"/>
          <w:sz w:val="24"/>
          <w:szCs w:val="24"/>
        </w:rPr>
      </w:pPr>
      <w:r w:rsidRPr="002F1EC4">
        <w:rPr>
          <w:rFonts w:ascii="Times New Roman" w:eastAsia="Times New Roman" w:hAnsi="Times New Roman" w:cs="Times New Roman"/>
          <w:sz w:val="24"/>
          <w:szCs w:val="24"/>
        </w:rPr>
        <w:t xml:space="preserve"> </w:t>
      </w:r>
      <w:r w:rsidR="00F04A4A">
        <w:rPr>
          <w:rFonts w:ascii="Times New Roman" w:hAnsi="Times New Roman" w:cs="Times New Roman"/>
          <w:sz w:val="24"/>
          <w:szCs w:val="24"/>
        </w:rPr>
        <w:tab/>
      </w:r>
      <w:r w:rsidR="00F04A4A">
        <w:rPr>
          <w:rFonts w:ascii="Times New Roman" w:hAnsi="Times New Roman" w:cs="Times New Roman"/>
          <w:sz w:val="24"/>
          <w:szCs w:val="24"/>
        </w:rPr>
        <w:tab/>
      </w:r>
    </w:p>
    <w:p w14:paraId="18D96EA2" w14:textId="77777777" w:rsidR="00644B33" w:rsidRDefault="00F04A4A" w:rsidP="00644B33">
      <w:pPr>
        <w:spacing w:after="0" w:line="360" w:lineRule="auto"/>
        <w:ind w:left="720" w:firstLine="720"/>
        <w:rPr>
          <w:rFonts w:ascii="Times New Roman" w:hAnsi="Times New Roman" w:cs="Times New Roman"/>
          <w:sz w:val="24"/>
          <w:szCs w:val="24"/>
        </w:rPr>
      </w:pPr>
      <w:r>
        <w:rPr>
          <w:rFonts w:ascii="Times New Roman" w:hAnsi="Times New Roman" w:cs="Times New Roman"/>
          <w:sz w:val="24"/>
          <w:szCs w:val="24"/>
        </w:rPr>
        <w:t xml:space="preserve">On November 27, 2023, this matter was reassigned from ALJ Watson to the </w:t>
      </w:r>
    </w:p>
    <w:p w14:paraId="727908D0" w14:textId="5C4687ED" w:rsidR="00D550B3" w:rsidRDefault="00644B33" w:rsidP="00644B33">
      <w:pPr>
        <w:spacing w:after="0" w:line="360" w:lineRule="auto"/>
        <w:rPr>
          <w:rFonts w:ascii="Times New Roman" w:hAnsi="Times New Roman" w:cs="Times New Roman"/>
          <w:sz w:val="24"/>
          <w:szCs w:val="24"/>
        </w:rPr>
      </w:pPr>
      <w:r>
        <w:rPr>
          <w:rFonts w:ascii="Times New Roman" w:hAnsi="Times New Roman" w:cs="Times New Roman"/>
          <w:sz w:val="24"/>
          <w:szCs w:val="24"/>
        </w:rPr>
        <w:t>u</w:t>
      </w:r>
      <w:r w:rsidR="00F04A4A">
        <w:rPr>
          <w:rFonts w:ascii="Times New Roman" w:hAnsi="Times New Roman" w:cs="Times New Roman"/>
          <w:sz w:val="24"/>
          <w:szCs w:val="24"/>
        </w:rPr>
        <w:t xml:space="preserve">ndersigned ALJ </w:t>
      </w:r>
      <w:r w:rsidR="00340D95">
        <w:rPr>
          <w:rFonts w:ascii="Times New Roman" w:hAnsi="Times New Roman" w:cs="Times New Roman"/>
          <w:sz w:val="24"/>
          <w:szCs w:val="24"/>
        </w:rPr>
        <w:t xml:space="preserve">by </w:t>
      </w:r>
      <w:r w:rsidR="00F04A4A">
        <w:rPr>
          <w:rFonts w:ascii="Times New Roman" w:hAnsi="Times New Roman" w:cs="Times New Roman"/>
          <w:sz w:val="24"/>
          <w:szCs w:val="24"/>
        </w:rPr>
        <w:t xml:space="preserve">a Judge Change Notice.  </w:t>
      </w:r>
    </w:p>
    <w:p w14:paraId="5BF7F61E" w14:textId="77777777" w:rsidR="00644B33" w:rsidRDefault="00644B33" w:rsidP="00D550B3">
      <w:pPr>
        <w:spacing w:after="0" w:line="360" w:lineRule="auto"/>
        <w:rPr>
          <w:rFonts w:ascii="Times New Roman" w:hAnsi="Times New Roman" w:cs="Times New Roman"/>
          <w:sz w:val="24"/>
          <w:szCs w:val="24"/>
        </w:rPr>
      </w:pPr>
    </w:p>
    <w:p w14:paraId="4CAE97B4" w14:textId="2466487E" w:rsidR="00812BC6" w:rsidRDefault="00F04A4A" w:rsidP="00D550B3">
      <w:pPr>
        <w:spacing w:after="0" w:line="360" w:lineRule="auto"/>
        <w:rPr>
          <w:rFonts w:ascii="Times New Roman" w:hAnsi="Times New Roman" w:cs="Times New Roman"/>
          <w:sz w:val="24"/>
          <w:szCs w:val="24"/>
        </w:rPr>
      </w:pPr>
      <w:r>
        <w:rPr>
          <w:rFonts w:ascii="Times New Roman" w:hAnsi="Times New Roman" w:cs="Times New Roman"/>
          <w:sz w:val="24"/>
          <w:szCs w:val="24"/>
        </w:rPr>
        <w:tab/>
      </w:r>
      <w:r>
        <w:rPr>
          <w:rFonts w:ascii="Times New Roman" w:hAnsi="Times New Roman" w:cs="Times New Roman"/>
          <w:sz w:val="24"/>
          <w:szCs w:val="24"/>
        </w:rPr>
        <w:tab/>
        <w:t>A</w:t>
      </w:r>
      <w:r w:rsidR="000B539D">
        <w:rPr>
          <w:rFonts w:ascii="Times New Roman" w:hAnsi="Times New Roman" w:cs="Times New Roman"/>
          <w:sz w:val="24"/>
          <w:szCs w:val="24"/>
        </w:rPr>
        <w:t>fter a review of the record</w:t>
      </w:r>
      <w:r w:rsidR="002D2009">
        <w:rPr>
          <w:rFonts w:ascii="Times New Roman" w:hAnsi="Times New Roman" w:cs="Times New Roman"/>
          <w:sz w:val="24"/>
          <w:szCs w:val="24"/>
        </w:rPr>
        <w:t xml:space="preserve">, the decision of the Supreme Court in </w:t>
      </w:r>
      <w:proofErr w:type="spellStart"/>
      <w:r w:rsidR="002D2009" w:rsidRPr="00340D95">
        <w:rPr>
          <w:rFonts w:ascii="Times New Roman" w:hAnsi="Times New Roman" w:cs="Times New Roman"/>
          <w:i/>
          <w:iCs/>
          <w:sz w:val="24"/>
          <w:szCs w:val="24"/>
        </w:rPr>
        <w:t>Povacz</w:t>
      </w:r>
      <w:proofErr w:type="spellEnd"/>
      <w:r w:rsidR="002D2009" w:rsidRPr="00340D95">
        <w:rPr>
          <w:rFonts w:ascii="Times New Roman" w:hAnsi="Times New Roman" w:cs="Times New Roman"/>
          <w:i/>
          <w:iCs/>
          <w:sz w:val="24"/>
          <w:szCs w:val="24"/>
        </w:rPr>
        <w:t xml:space="preserve"> II</w:t>
      </w:r>
      <w:r w:rsidR="002D2009">
        <w:rPr>
          <w:rFonts w:ascii="Times New Roman" w:hAnsi="Times New Roman" w:cs="Times New Roman"/>
          <w:sz w:val="24"/>
          <w:szCs w:val="24"/>
        </w:rPr>
        <w:t xml:space="preserve"> </w:t>
      </w:r>
      <w:r w:rsidR="002D2009">
        <w:rPr>
          <w:rStyle w:val="FootnoteReference"/>
          <w:rFonts w:ascii="Times New Roman" w:hAnsi="Times New Roman" w:cs="Times New Roman"/>
          <w:sz w:val="24"/>
          <w:szCs w:val="24"/>
        </w:rPr>
        <w:footnoteReference w:id="2"/>
      </w:r>
      <w:r w:rsidR="002D2009">
        <w:rPr>
          <w:rFonts w:ascii="Times New Roman" w:hAnsi="Times New Roman" w:cs="Times New Roman"/>
          <w:sz w:val="24"/>
          <w:szCs w:val="24"/>
        </w:rPr>
        <w:t xml:space="preserve"> </w:t>
      </w:r>
      <w:r w:rsidR="00340D95">
        <w:rPr>
          <w:rFonts w:ascii="Times New Roman" w:hAnsi="Times New Roman" w:cs="Times New Roman"/>
          <w:sz w:val="24"/>
          <w:szCs w:val="24"/>
        </w:rPr>
        <w:t xml:space="preserve">and the Commission’s </w:t>
      </w:r>
      <w:r w:rsidR="00340D95" w:rsidRPr="00340D95">
        <w:rPr>
          <w:rFonts w:ascii="Times New Roman" w:hAnsi="Times New Roman" w:cs="Times New Roman"/>
          <w:i/>
          <w:iCs/>
          <w:sz w:val="24"/>
          <w:szCs w:val="24"/>
        </w:rPr>
        <w:t>2023 Order</w:t>
      </w:r>
      <w:r w:rsidR="00340D95">
        <w:rPr>
          <w:rFonts w:ascii="Times New Roman" w:hAnsi="Times New Roman" w:cs="Times New Roman"/>
          <w:sz w:val="24"/>
          <w:szCs w:val="24"/>
        </w:rPr>
        <w:t>, I deem it helpful to hold a post evidentiary hearing conference to give the parties an opportunity to address various procedural matters</w:t>
      </w:r>
      <w:r w:rsidR="002D2009">
        <w:rPr>
          <w:rFonts w:ascii="Times New Roman" w:hAnsi="Times New Roman" w:cs="Times New Roman"/>
          <w:sz w:val="24"/>
          <w:szCs w:val="24"/>
        </w:rPr>
        <w:t xml:space="preserve">.  </w:t>
      </w:r>
      <w:r w:rsidR="002D2009" w:rsidRPr="00DA07F0">
        <w:rPr>
          <w:rFonts w:ascii="Times New Roman" w:hAnsi="Times New Roman" w:cs="Times New Roman"/>
          <w:sz w:val="24"/>
          <w:szCs w:val="24"/>
        </w:rPr>
        <w:t xml:space="preserve">These matters </w:t>
      </w:r>
      <w:r w:rsidR="00340D95" w:rsidRPr="00DA07F0">
        <w:rPr>
          <w:rFonts w:ascii="Times New Roman" w:hAnsi="Times New Roman" w:cs="Times New Roman"/>
          <w:sz w:val="24"/>
          <w:szCs w:val="24"/>
        </w:rPr>
        <w:t>includ</w:t>
      </w:r>
      <w:r w:rsidR="002D2009" w:rsidRPr="00DA07F0">
        <w:rPr>
          <w:rFonts w:ascii="Times New Roman" w:hAnsi="Times New Roman" w:cs="Times New Roman"/>
          <w:sz w:val="24"/>
          <w:szCs w:val="24"/>
        </w:rPr>
        <w:t>e:</w:t>
      </w:r>
      <w:r w:rsidR="00DA07F0" w:rsidRPr="00DA07F0">
        <w:rPr>
          <w:rFonts w:ascii="Times New Roman" w:hAnsi="Times New Roman" w:cs="Times New Roman"/>
          <w:sz w:val="24"/>
          <w:szCs w:val="24"/>
        </w:rPr>
        <w:t xml:space="preserve">  </w:t>
      </w:r>
    </w:p>
    <w:p w14:paraId="5824953F" w14:textId="07D3387F" w:rsidR="00F04A4A" w:rsidRPr="00DA07F0" w:rsidRDefault="002D2009" w:rsidP="00D550B3">
      <w:pPr>
        <w:spacing w:after="0" w:line="360" w:lineRule="auto"/>
        <w:rPr>
          <w:rFonts w:ascii="Times New Roman" w:hAnsi="Times New Roman" w:cs="Times New Roman"/>
          <w:sz w:val="24"/>
          <w:szCs w:val="24"/>
        </w:rPr>
      </w:pPr>
      <w:r w:rsidRPr="00DA07F0">
        <w:rPr>
          <w:rFonts w:ascii="Times New Roman" w:hAnsi="Times New Roman" w:cs="Times New Roman"/>
          <w:sz w:val="24"/>
          <w:szCs w:val="24"/>
        </w:rPr>
        <w:t xml:space="preserve">(a) whether either party seeks an </w:t>
      </w:r>
      <w:r w:rsidR="00340D95" w:rsidRPr="00DA07F0">
        <w:rPr>
          <w:rFonts w:ascii="Times New Roman" w:hAnsi="Times New Roman" w:cs="Times New Roman"/>
          <w:sz w:val="24"/>
          <w:szCs w:val="24"/>
        </w:rPr>
        <w:t xml:space="preserve">opportunity to re-open the evidentiary record to present additional evidence in light of </w:t>
      </w:r>
      <w:r w:rsidRPr="00DA07F0">
        <w:rPr>
          <w:rFonts w:ascii="Times New Roman" w:hAnsi="Times New Roman" w:cs="Times New Roman"/>
          <w:i/>
          <w:iCs/>
          <w:sz w:val="24"/>
          <w:szCs w:val="24"/>
        </w:rPr>
        <w:t xml:space="preserve">Povacz II, </w:t>
      </w:r>
      <w:r w:rsidRPr="00DA07F0">
        <w:rPr>
          <w:rFonts w:ascii="Times New Roman" w:hAnsi="Times New Roman" w:cs="Times New Roman"/>
          <w:sz w:val="24"/>
          <w:szCs w:val="24"/>
        </w:rPr>
        <w:t>as well</w:t>
      </w:r>
      <w:r w:rsidRPr="00DA07F0">
        <w:rPr>
          <w:rFonts w:ascii="Times New Roman" w:hAnsi="Times New Roman" w:cs="Times New Roman"/>
          <w:i/>
          <w:iCs/>
          <w:sz w:val="24"/>
          <w:szCs w:val="24"/>
        </w:rPr>
        <w:t xml:space="preserve"> </w:t>
      </w:r>
      <w:r w:rsidRPr="00DA07F0">
        <w:rPr>
          <w:rFonts w:ascii="Times New Roman" w:hAnsi="Times New Roman" w:cs="Times New Roman"/>
          <w:sz w:val="24"/>
          <w:szCs w:val="24"/>
        </w:rPr>
        <w:t xml:space="preserve"> as the </w:t>
      </w:r>
      <w:r w:rsidR="00340D95" w:rsidRPr="00DA07F0">
        <w:rPr>
          <w:rFonts w:ascii="Times New Roman" w:hAnsi="Times New Roman" w:cs="Times New Roman"/>
          <w:sz w:val="24"/>
          <w:szCs w:val="24"/>
        </w:rPr>
        <w:t>other appellate cases discussed in the</w:t>
      </w:r>
      <w:r w:rsidR="00644B33">
        <w:rPr>
          <w:rFonts w:ascii="Times New Roman" w:hAnsi="Times New Roman" w:cs="Times New Roman"/>
          <w:sz w:val="24"/>
          <w:szCs w:val="24"/>
        </w:rPr>
        <w:t xml:space="preserve"> </w:t>
      </w:r>
      <w:r w:rsidR="00340D95" w:rsidRPr="00DA07F0">
        <w:rPr>
          <w:rFonts w:ascii="Times New Roman" w:hAnsi="Times New Roman" w:cs="Times New Roman"/>
          <w:i/>
          <w:iCs/>
          <w:sz w:val="24"/>
          <w:szCs w:val="24"/>
        </w:rPr>
        <w:t>2023 Order</w:t>
      </w:r>
      <w:r w:rsidR="00340D95" w:rsidRPr="00DA07F0">
        <w:rPr>
          <w:rFonts w:ascii="Times New Roman" w:hAnsi="Times New Roman" w:cs="Times New Roman"/>
          <w:sz w:val="24"/>
          <w:szCs w:val="24"/>
        </w:rPr>
        <w:t xml:space="preserve">.  In particular, the parties are directed to page 5 of the </w:t>
      </w:r>
      <w:r w:rsidR="00340D95" w:rsidRPr="00DA07F0">
        <w:rPr>
          <w:rFonts w:ascii="Times New Roman" w:hAnsi="Times New Roman" w:cs="Times New Roman"/>
          <w:i/>
          <w:iCs/>
          <w:sz w:val="24"/>
          <w:szCs w:val="24"/>
        </w:rPr>
        <w:t>2023 Order</w:t>
      </w:r>
      <w:r w:rsidRPr="00DA07F0">
        <w:rPr>
          <w:rFonts w:ascii="Times New Roman" w:hAnsi="Times New Roman" w:cs="Times New Roman"/>
          <w:sz w:val="24"/>
          <w:szCs w:val="24"/>
        </w:rPr>
        <w:t xml:space="preserve"> </w:t>
      </w:r>
      <w:r w:rsidR="00340D95" w:rsidRPr="00DA07F0">
        <w:rPr>
          <w:rFonts w:ascii="Times New Roman" w:hAnsi="Times New Roman" w:cs="Times New Roman"/>
          <w:sz w:val="24"/>
          <w:szCs w:val="24"/>
        </w:rPr>
        <w:t xml:space="preserve">at which the Commission </w:t>
      </w:r>
      <w:r w:rsidRPr="00DA07F0">
        <w:rPr>
          <w:rFonts w:ascii="Times New Roman" w:hAnsi="Times New Roman" w:cs="Times New Roman"/>
          <w:sz w:val="24"/>
          <w:szCs w:val="24"/>
        </w:rPr>
        <w:t xml:space="preserve">notes the customer’s </w:t>
      </w:r>
      <w:r w:rsidR="00340D95" w:rsidRPr="00DA07F0">
        <w:rPr>
          <w:rFonts w:ascii="Times New Roman" w:hAnsi="Times New Roman" w:cs="Times New Roman"/>
          <w:sz w:val="24"/>
          <w:szCs w:val="24"/>
        </w:rPr>
        <w:t>burden of proof</w:t>
      </w:r>
      <w:r w:rsidRPr="00DA07F0">
        <w:rPr>
          <w:rFonts w:ascii="Times New Roman" w:hAnsi="Times New Roman" w:cs="Times New Roman"/>
          <w:sz w:val="24"/>
          <w:szCs w:val="24"/>
        </w:rPr>
        <w:t xml:space="preserve">, as explained by the </w:t>
      </w:r>
      <w:r w:rsidR="009A378C">
        <w:rPr>
          <w:rFonts w:ascii="Times New Roman" w:hAnsi="Times New Roman" w:cs="Times New Roman"/>
          <w:sz w:val="24"/>
          <w:szCs w:val="24"/>
        </w:rPr>
        <w:t xml:space="preserve">Pennsylvania </w:t>
      </w:r>
      <w:r w:rsidRPr="00DA07F0">
        <w:rPr>
          <w:rFonts w:ascii="Times New Roman" w:hAnsi="Times New Roman" w:cs="Times New Roman"/>
          <w:sz w:val="24"/>
          <w:szCs w:val="24"/>
        </w:rPr>
        <w:t xml:space="preserve">Supreme </w:t>
      </w:r>
      <w:r w:rsidRPr="00DA07F0">
        <w:rPr>
          <w:rFonts w:ascii="Times New Roman" w:hAnsi="Times New Roman" w:cs="Times New Roman"/>
          <w:sz w:val="24"/>
          <w:szCs w:val="24"/>
        </w:rPr>
        <w:lastRenderedPageBreak/>
        <w:t xml:space="preserve">Court; (b) whether either party requests </w:t>
      </w:r>
      <w:r w:rsidR="00E70372">
        <w:rPr>
          <w:rFonts w:ascii="Times New Roman" w:hAnsi="Times New Roman" w:cs="Times New Roman"/>
          <w:sz w:val="24"/>
          <w:szCs w:val="24"/>
        </w:rPr>
        <w:t>the opportunity to file a</w:t>
      </w:r>
      <w:r w:rsidRPr="00DA07F0">
        <w:rPr>
          <w:rFonts w:ascii="Times New Roman" w:hAnsi="Times New Roman" w:cs="Times New Roman"/>
          <w:sz w:val="24"/>
          <w:szCs w:val="24"/>
        </w:rPr>
        <w:t xml:space="preserve"> Brief; and (c) whether there is any other procedural matter either party would like to address</w:t>
      </w:r>
      <w:r w:rsidR="00CA4236">
        <w:rPr>
          <w:rFonts w:ascii="Times New Roman" w:hAnsi="Times New Roman" w:cs="Times New Roman"/>
          <w:sz w:val="24"/>
          <w:szCs w:val="24"/>
        </w:rPr>
        <w:t xml:space="preserve"> to resolve this matter</w:t>
      </w:r>
      <w:r w:rsidRPr="00DA07F0">
        <w:rPr>
          <w:rFonts w:ascii="Times New Roman" w:hAnsi="Times New Roman" w:cs="Times New Roman"/>
          <w:sz w:val="24"/>
          <w:szCs w:val="24"/>
        </w:rPr>
        <w:t>.</w:t>
      </w:r>
    </w:p>
    <w:p w14:paraId="53550A69" w14:textId="77777777" w:rsidR="000B539D" w:rsidRPr="00DA07F0" w:rsidRDefault="000B539D" w:rsidP="00F04A4A">
      <w:pPr>
        <w:pStyle w:val="BodyTextIndent"/>
        <w:ind w:firstLine="0"/>
        <w:jc w:val="center"/>
        <w:rPr>
          <w:sz w:val="24"/>
          <w:szCs w:val="24"/>
          <w:u w:val="single"/>
        </w:rPr>
      </w:pPr>
    </w:p>
    <w:p w14:paraId="6B0D4B45" w14:textId="0BBB9AF2" w:rsidR="00F04A4A" w:rsidRPr="00DA07F0" w:rsidRDefault="002D2009" w:rsidP="00F04A4A">
      <w:pPr>
        <w:pStyle w:val="BodyTextIndent"/>
        <w:ind w:firstLine="0"/>
        <w:jc w:val="center"/>
        <w:rPr>
          <w:sz w:val="24"/>
          <w:szCs w:val="24"/>
          <w:u w:val="single"/>
        </w:rPr>
      </w:pPr>
      <w:r w:rsidRPr="00DA07F0">
        <w:rPr>
          <w:sz w:val="24"/>
          <w:szCs w:val="24"/>
          <w:u w:val="single"/>
        </w:rPr>
        <w:t>O</w:t>
      </w:r>
      <w:r w:rsidR="00F04A4A" w:rsidRPr="00DA07F0">
        <w:rPr>
          <w:sz w:val="24"/>
          <w:szCs w:val="24"/>
          <w:u w:val="single"/>
        </w:rPr>
        <w:t>RDER</w:t>
      </w:r>
    </w:p>
    <w:p w14:paraId="780D90A1" w14:textId="77777777" w:rsidR="00F04A4A" w:rsidRDefault="00F04A4A" w:rsidP="00F04A4A">
      <w:pPr>
        <w:pStyle w:val="NoSpacing"/>
        <w:spacing w:line="360" w:lineRule="auto"/>
        <w:rPr>
          <w:szCs w:val="24"/>
        </w:rPr>
      </w:pPr>
    </w:p>
    <w:p w14:paraId="293CC1DC" w14:textId="77777777" w:rsidR="00A66F7E" w:rsidRPr="00DA07F0" w:rsidRDefault="00A66F7E" w:rsidP="00F04A4A">
      <w:pPr>
        <w:pStyle w:val="NoSpacing"/>
        <w:spacing w:line="360" w:lineRule="auto"/>
        <w:rPr>
          <w:szCs w:val="24"/>
        </w:rPr>
      </w:pPr>
    </w:p>
    <w:p w14:paraId="790FB9EB" w14:textId="6B5C56D8" w:rsidR="009E5BFC"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THEREFORE,</w:t>
      </w:r>
    </w:p>
    <w:p w14:paraId="527A3EF2" w14:textId="77777777" w:rsidR="009E5BFC" w:rsidRPr="00DA07F0" w:rsidRDefault="009E5BFC" w:rsidP="00F04A4A">
      <w:pPr>
        <w:spacing w:line="360" w:lineRule="auto"/>
        <w:rPr>
          <w:rFonts w:ascii="Times New Roman" w:hAnsi="Times New Roman" w:cs="Times New Roman"/>
          <w:sz w:val="24"/>
          <w:szCs w:val="24"/>
        </w:rPr>
      </w:pPr>
    </w:p>
    <w:p w14:paraId="546263EC" w14:textId="77777777" w:rsidR="00F04A4A" w:rsidRPr="00DA07F0" w:rsidRDefault="00F04A4A" w:rsidP="00F04A4A">
      <w:pPr>
        <w:spacing w:line="360" w:lineRule="auto"/>
        <w:rPr>
          <w:rFonts w:ascii="Times New Roman" w:hAnsi="Times New Roman" w:cs="Times New Roman"/>
          <w:sz w:val="24"/>
          <w:szCs w:val="24"/>
        </w:rPr>
      </w:pPr>
      <w:r w:rsidRPr="00DA07F0">
        <w:rPr>
          <w:rFonts w:ascii="Times New Roman" w:hAnsi="Times New Roman" w:cs="Times New Roman"/>
          <w:sz w:val="24"/>
          <w:szCs w:val="24"/>
        </w:rPr>
        <w:tab/>
      </w:r>
      <w:r w:rsidRPr="00DA07F0">
        <w:rPr>
          <w:rFonts w:ascii="Times New Roman" w:hAnsi="Times New Roman" w:cs="Times New Roman"/>
          <w:sz w:val="24"/>
          <w:szCs w:val="24"/>
        </w:rPr>
        <w:tab/>
        <w:t>IT IS ORDERED:</w:t>
      </w:r>
    </w:p>
    <w:p w14:paraId="09B6D8CC" w14:textId="77777777" w:rsidR="009E5BFC" w:rsidRDefault="009E5BFC" w:rsidP="00DA07F0">
      <w:pPr>
        <w:tabs>
          <w:tab w:val="left" w:pos="2160"/>
        </w:tabs>
        <w:spacing w:after="0" w:line="360" w:lineRule="auto"/>
        <w:ind w:left="1440"/>
        <w:rPr>
          <w:rFonts w:ascii="Times New Roman" w:hAnsi="Times New Roman" w:cs="Times New Roman"/>
          <w:sz w:val="24"/>
          <w:szCs w:val="24"/>
        </w:rPr>
      </w:pPr>
    </w:p>
    <w:p w14:paraId="0784ADED" w14:textId="36CDA16E" w:rsidR="009E5BFC" w:rsidRDefault="002D2009" w:rsidP="00DA07F0">
      <w:pPr>
        <w:tabs>
          <w:tab w:val="left" w:pos="2160"/>
        </w:tabs>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1. </w:t>
      </w:r>
      <w:r w:rsidRPr="00DA07F0">
        <w:rPr>
          <w:rFonts w:ascii="Times New Roman" w:hAnsi="Times New Roman" w:cs="Times New Roman"/>
          <w:sz w:val="24"/>
          <w:szCs w:val="24"/>
        </w:rPr>
        <w:tab/>
      </w:r>
      <w:r w:rsidR="00F04A4A" w:rsidRPr="00DA07F0">
        <w:rPr>
          <w:rFonts w:ascii="Times New Roman" w:hAnsi="Times New Roman" w:cs="Times New Roman"/>
          <w:sz w:val="24"/>
          <w:szCs w:val="24"/>
        </w:rPr>
        <w:t xml:space="preserve">That </w:t>
      </w:r>
      <w:r w:rsidRPr="00DA07F0">
        <w:rPr>
          <w:rFonts w:ascii="Times New Roman" w:hAnsi="Times New Roman" w:cs="Times New Roman"/>
          <w:sz w:val="24"/>
          <w:szCs w:val="24"/>
        </w:rPr>
        <w:t xml:space="preserve">a </w:t>
      </w:r>
      <w:r w:rsidR="00DA07F0" w:rsidRPr="00DA07F0">
        <w:rPr>
          <w:rFonts w:ascii="Times New Roman" w:hAnsi="Times New Roman" w:cs="Times New Roman"/>
          <w:sz w:val="24"/>
          <w:szCs w:val="24"/>
        </w:rPr>
        <w:t xml:space="preserve">post-evidentiary hearing conference will be </w:t>
      </w:r>
      <w:r w:rsidR="009E5BFC">
        <w:rPr>
          <w:rFonts w:ascii="Times New Roman" w:hAnsi="Times New Roman" w:cs="Times New Roman"/>
          <w:sz w:val="24"/>
          <w:szCs w:val="24"/>
        </w:rPr>
        <w:t xml:space="preserve">held on the date and </w:t>
      </w:r>
    </w:p>
    <w:p w14:paraId="4DF749D7" w14:textId="4461E369" w:rsidR="00F04A4A" w:rsidRPr="00DA07F0" w:rsidRDefault="009E5BFC" w:rsidP="009E5BFC">
      <w:pPr>
        <w:tabs>
          <w:tab w:val="left" w:pos="2160"/>
        </w:tabs>
        <w:spacing w:after="0" w:line="360" w:lineRule="auto"/>
        <w:rPr>
          <w:rFonts w:ascii="Times New Roman" w:hAnsi="Times New Roman" w:cs="Times New Roman"/>
          <w:sz w:val="24"/>
          <w:szCs w:val="24"/>
        </w:rPr>
      </w:pPr>
      <w:r>
        <w:rPr>
          <w:rFonts w:ascii="Times New Roman" w:hAnsi="Times New Roman" w:cs="Times New Roman"/>
          <w:sz w:val="24"/>
          <w:szCs w:val="24"/>
        </w:rPr>
        <w:t xml:space="preserve">time, and by the manner, </w:t>
      </w:r>
      <w:r w:rsidR="00DA07F0" w:rsidRPr="00DA07F0">
        <w:rPr>
          <w:rFonts w:ascii="Times New Roman" w:hAnsi="Times New Roman" w:cs="Times New Roman"/>
          <w:sz w:val="24"/>
          <w:szCs w:val="24"/>
        </w:rPr>
        <w:t>issued to the parties by a separate Hearing Notice.</w:t>
      </w:r>
    </w:p>
    <w:p w14:paraId="4F6DBA3C" w14:textId="77777777" w:rsidR="00DA07F0" w:rsidRPr="00DA07F0" w:rsidRDefault="00DA07F0" w:rsidP="00DA07F0">
      <w:pPr>
        <w:spacing w:after="0" w:line="360" w:lineRule="auto"/>
        <w:ind w:left="1440"/>
        <w:rPr>
          <w:rFonts w:ascii="Times New Roman" w:hAnsi="Times New Roman" w:cs="Times New Roman"/>
          <w:sz w:val="24"/>
          <w:szCs w:val="24"/>
        </w:rPr>
      </w:pPr>
    </w:p>
    <w:p w14:paraId="4ED589B2" w14:textId="71105B76" w:rsidR="009A378C" w:rsidRPr="00DA07F0" w:rsidRDefault="00DA07F0" w:rsidP="009A378C">
      <w:pPr>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2.         </w:t>
      </w:r>
      <w:r w:rsidR="00F04A4A" w:rsidRPr="00DA07F0">
        <w:rPr>
          <w:rFonts w:ascii="Times New Roman" w:hAnsi="Times New Roman" w:cs="Times New Roman"/>
          <w:sz w:val="24"/>
          <w:szCs w:val="24"/>
        </w:rPr>
        <w:t>That the parties</w:t>
      </w:r>
      <w:r w:rsidRPr="00DA07F0">
        <w:rPr>
          <w:rFonts w:ascii="Times New Roman" w:hAnsi="Times New Roman" w:cs="Times New Roman"/>
          <w:sz w:val="24"/>
          <w:szCs w:val="24"/>
        </w:rPr>
        <w:t xml:space="preserve"> should be prepared to discuss at said conference:</w:t>
      </w:r>
    </w:p>
    <w:p w14:paraId="6026CF11" w14:textId="26B66F77" w:rsidR="00915777" w:rsidRPr="00DA07F0" w:rsidRDefault="00DA07F0" w:rsidP="00EA0B47">
      <w:pPr>
        <w:spacing w:after="0" w:line="240" w:lineRule="auto"/>
        <w:ind w:left="1440" w:firstLine="720"/>
        <w:rPr>
          <w:rFonts w:ascii="Times New Roman" w:hAnsi="Times New Roman" w:cs="Times New Roman"/>
          <w:sz w:val="24"/>
          <w:szCs w:val="24"/>
        </w:rPr>
      </w:pPr>
      <w:r w:rsidRPr="00DA07F0">
        <w:rPr>
          <w:rFonts w:ascii="Times New Roman" w:hAnsi="Times New Roman" w:cs="Times New Roman"/>
          <w:sz w:val="24"/>
          <w:szCs w:val="24"/>
        </w:rPr>
        <w:t xml:space="preserve">(a) </w:t>
      </w:r>
      <w:r w:rsidR="00644B33">
        <w:rPr>
          <w:rFonts w:ascii="Times New Roman" w:hAnsi="Times New Roman" w:cs="Times New Roman"/>
          <w:sz w:val="24"/>
          <w:szCs w:val="24"/>
        </w:rPr>
        <w:t xml:space="preserve">  </w:t>
      </w:r>
      <w:r w:rsidRPr="00DA07F0">
        <w:rPr>
          <w:rFonts w:ascii="Times New Roman" w:hAnsi="Times New Roman" w:cs="Times New Roman"/>
          <w:sz w:val="24"/>
          <w:szCs w:val="24"/>
        </w:rPr>
        <w:t xml:space="preserve">whether either party seeks an opportunity to re-open the evidentiary record to present additional evidence </w:t>
      </w:r>
      <w:proofErr w:type="gramStart"/>
      <w:r w:rsidRPr="00DA07F0">
        <w:rPr>
          <w:rFonts w:ascii="Times New Roman" w:hAnsi="Times New Roman" w:cs="Times New Roman"/>
          <w:sz w:val="24"/>
          <w:szCs w:val="24"/>
        </w:rPr>
        <w:t>in light of</w:t>
      </w:r>
      <w:proofErr w:type="gramEnd"/>
      <w:r w:rsidRPr="00DA07F0">
        <w:rPr>
          <w:rFonts w:ascii="Times New Roman" w:hAnsi="Times New Roman" w:cs="Times New Roman"/>
          <w:sz w:val="24"/>
          <w:szCs w:val="24"/>
        </w:rPr>
        <w:t xml:space="preserve"> </w:t>
      </w:r>
      <w:r w:rsidRPr="00DA07F0">
        <w:rPr>
          <w:rFonts w:ascii="Times New Roman" w:hAnsi="Times New Roman" w:cs="Times New Roman"/>
          <w:i/>
          <w:iCs/>
          <w:sz w:val="24"/>
          <w:szCs w:val="24"/>
        </w:rPr>
        <w:t xml:space="preserve">Povacz II, </w:t>
      </w:r>
      <w:r w:rsidRPr="00DA07F0">
        <w:rPr>
          <w:rFonts w:ascii="Times New Roman" w:hAnsi="Times New Roman" w:cs="Times New Roman"/>
          <w:sz w:val="24"/>
          <w:szCs w:val="24"/>
        </w:rPr>
        <w:t xml:space="preserve">as well as the other appellate cases discussed in the Commission’s </w:t>
      </w:r>
      <w:r w:rsidRPr="00DA07F0">
        <w:rPr>
          <w:rFonts w:ascii="Times New Roman" w:hAnsi="Times New Roman" w:cs="Times New Roman"/>
          <w:i/>
          <w:iCs/>
          <w:sz w:val="24"/>
          <w:szCs w:val="24"/>
        </w:rPr>
        <w:t>2023 Order</w:t>
      </w:r>
      <w:r w:rsidRPr="00DA07F0">
        <w:rPr>
          <w:rFonts w:ascii="Times New Roman" w:hAnsi="Times New Roman" w:cs="Times New Roman"/>
          <w:sz w:val="24"/>
          <w:szCs w:val="24"/>
        </w:rPr>
        <w:t xml:space="preserve">.  In particular, the parties are directed to page 5 of the </w:t>
      </w:r>
      <w:r w:rsidRPr="00DA07F0">
        <w:rPr>
          <w:rFonts w:ascii="Times New Roman" w:hAnsi="Times New Roman" w:cs="Times New Roman"/>
          <w:i/>
          <w:iCs/>
          <w:sz w:val="24"/>
          <w:szCs w:val="24"/>
        </w:rPr>
        <w:t>2023 Order</w:t>
      </w:r>
      <w:r w:rsidRPr="00DA07F0">
        <w:rPr>
          <w:rFonts w:ascii="Times New Roman" w:hAnsi="Times New Roman" w:cs="Times New Roman"/>
          <w:sz w:val="24"/>
          <w:szCs w:val="24"/>
        </w:rPr>
        <w:t xml:space="preserve"> at which the Commission notes the customer’s burden of proof, as explained by the Pennsylvania Supreme Court</w:t>
      </w:r>
      <w:r w:rsidR="009E5BFC">
        <w:rPr>
          <w:rFonts w:ascii="Times New Roman" w:hAnsi="Times New Roman" w:cs="Times New Roman"/>
          <w:sz w:val="24"/>
          <w:szCs w:val="24"/>
        </w:rPr>
        <w:t>;</w:t>
      </w:r>
      <w:r w:rsidRPr="00DA07F0">
        <w:rPr>
          <w:rFonts w:ascii="Times New Roman" w:hAnsi="Times New Roman" w:cs="Times New Roman"/>
          <w:sz w:val="24"/>
          <w:szCs w:val="24"/>
        </w:rPr>
        <w:t xml:space="preserve"> </w:t>
      </w:r>
    </w:p>
    <w:p w14:paraId="5633B9CB" w14:textId="77777777" w:rsidR="00EA0B47" w:rsidRDefault="00EA0B47" w:rsidP="00CD77F0">
      <w:pPr>
        <w:spacing w:after="0" w:line="240" w:lineRule="auto"/>
        <w:ind w:left="2160"/>
        <w:rPr>
          <w:rFonts w:ascii="Times New Roman" w:hAnsi="Times New Roman" w:cs="Times New Roman"/>
          <w:sz w:val="24"/>
          <w:szCs w:val="24"/>
        </w:rPr>
      </w:pPr>
    </w:p>
    <w:p w14:paraId="084C4CF1" w14:textId="7E1A51A6" w:rsidR="004C6075" w:rsidRDefault="00DA07F0" w:rsidP="00CD77F0">
      <w:pPr>
        <w:spacing w:after="0" w:line="240" w:lineRule="auto"/>
        <w:ind w:left="2160"/>
        <w:rPr>
          <w:rFonts w:ascii="Times New Roman" w:hAnsi="Times New Roman" w:cs="Times New Roman"/>
          <w:sz w:val="24"/>
          <w:szCs w:val="24"/>
        </w:rPr>
      </w:pPr>
      <w:r w:rsidRPr="00DA07F0">
        <w:rPr>
          <w:rFonts w:ascii="Times New Roman" w:hAnsi="Times New Roman" w:cs="Times New Roman"/>
          <w:sz w:val="24"/>
          <w:szCs w:val="24"/>
        </w:rPr>
        <w:t xml:space="preserve">(b) </w:t>
      </w:r>
      <w:r w:rsidR="00644B33">
        <w:rPr>
          <w:rFonts w:ascii="Times New Roman" w:hAnsi="Times New Roman" w:cs="Times New Roman"/>
          <w:sz w:val="24"/>
          <w:szCs w:val="24"/>
        </w:rPr>
        <w:t xml:space="preserve">  </w:t>
      </w:r>
      <w:r w:rsidRPr="00DA07F0">
        <w:rPr>
          <w:rFonts w:ascii="Times New Roman" w:hAnsi="Times New Roman" w:cs="Times New Roman"/>
          <w:sz w:val="24"/>
          <w:szCs w:val="24"/>
        </w:rPr>
        <w:t xml:space="preserve">whether either party requests </w:t>
      </w:r>
      <w:r w:rsidR="009A378C">
        <w:rPr>
          <w:rFonts w:ascii="Times New Roman" w:hAnsi="Times New Roman" w:cs="Times New Roman"/>
          <w:sz w:val="24"/>
          <w:szCs w:val="24"/>
        </w:rPr>
        <w:t xml:space="preserve">an opportunity to file a </w:t>
      </w:r>
      <w:r w:rsidRPr="00DA07F0">
        <w:rPr>
          <w:rFonts w:ascii="Times New Roman" w:hAnsi="Times New Roman" w:cs="Times New Roman"/>
          <w:sz w:val="24"/>
          <w:szCs w:val="24"/>
        </w:rPr>
        <w:t xml:space="preserve">Brief; and </w:t>
      </w:r>
    </w:p>
    <w:p w14:paraId="281C1A4D" w14:textId="77777777" w:rsidR="00CD77F0" w:rsidRPr="00DA07F0" w:rsidRDefault="00CD77F0" w:rsidP="00CD77F0">
      <w:pPr>
        <w:spacing w:after="0" w:line="240" w:lineRule="auto"/>
        <w:ind w:left="2160"/>
        <w:rPr>
          <w:rFonts w:ascii="Times New Roman" w:hAnsi="Times New Roman" w:cs="Times New Roman"/>
          <w:sz w:val="24"/>
          <w:szCs w:val="24"/>
        </w:rPr>
      </w:pPr>
    </w:p>
    <w:p w14:paraId="1E3E6853" w14:textId="71CE8049" w:rsidR="00BD3343" w:rsidRDefault="00DA07F0" w:rsidP="00CD77F0">
      <w:pPr>
        <w:spacing w:after="0" w:line="360" w:lineRule="auto"/>
        <w:ind w:left="1440" w:firstLine="720"/>
        <w:rPr>
          <w:rFonts w:ascii="Times New Roman" w:hAnsi="Times New Roman" w:cs="Times New Roman"/>
          <w:sz w:val="24"/>
          <w:szCs w:val="24"/>
        </w:rPr>
      </w:pPr>
      <w:r w:rsidRPr="00DA07F0">
        <w:rPr>
          <w:rFonts w:ascii="Times New Roman" w:hAnsi="Times New Roman" w:cs="Times New Roman"/>
          <w:sz w:val="24"/>
          <w:szCs w:val="24"/>
        </w:rPr>
        <w:t xml:space="preserve">(c) </w:t>
      </w:r>
      <w:r w:rsidR="00644B33">
        <w:rPr>
          <w:rFonts w:ascii="Times New Roman" w:hAnsi="Times New Roman" w:cs="Times New Roman"/>
          <w:sz w:val="24"/>
          <w:szCs w:val="24"/>
        </w:rPr>
        <w:t xml:space="preserve">  </w:t>
      </w:r>
      <w:r w:rsidR="009A378C">
        <w:rPr>
          <w:rFonts w:ascii="Times New Roman" w:hAnsi="Times New Roman" w:cs="Times New Roman"/>
          <w:sz w:val="24"/>
          <w:szCs w:val="24"/>
        </w:rPr>
        <w:t xml:space="preserve">whether there is </w:t>
      </w:r>
      <w:r w:rsidRPr="00DA07F0">
        <w:rPr>
          <w:rFonts w:ascii="Times New Roman" w:hAnsi="Times New Roman" w:cs="Times New Roman"/>
          <w:sz w:val="24"/>
          <w:szCs w:val="24"/>
        </w:rPr>
        <w:t>any other procedural matter either party would like to address.</w:t>
      </w:r>
    </w:p>
    <w:p w14:paraId="1208C68B" w14:textId="77777777" w:rsidR="00CD77F0" w:rsidRDefault="00CD77F0" w:rsidP="00CD77F0">
      <w:pPr>
        <w:spacing w:after="0" w:line="360" w:lineRule="auto"/>
        <w:ind w:left="1440" w:firstLine="720"/>
        <w:rPr>
          <w:rFonts w:ascii="Times New Roman" w:hAnsi="Times New Roman" w:cs="Times New Roman"/>
          <w:sz w:val="24"/>
          <w:szCs w:val="24"/>
        </w:rPr>
      </w:pPr>
    </w:p>
    <w:p w14:paraId="7A08BC05" w14:textId="58E600FD" w:rsidR="00DA07F0" w:rsidRPr="00DA07F0" w:rsidRDefault="00DA07F0" w:rsidP="00DA07F0">
      <w:pPr>
        <w:tabs>
          <w:tab w:val="left" w:pos="2160"/>
        </w:tabs>
        <w:spacing w:after="0" w:line="360" w:lineRule="auto"/>
        <w:ind w:left="1440"/>
        <w:rPr>
          <w:rFonts w:ascii="Times New Roman" w:hAnsi="Times New Roman" w:cs="Times New Roman"/>
          <w:sz w:val="24"/>
          <w:szCs w:val="24"/>
        </w:rPr>
      </w:pPr>
      <w:r w:rsidRPr="00DA07F0">
        <w:rPr>
          <w:rFonts w:ascii="Times New Roman" w:hAnsi="Times New Roman" w:cs="Times New Roman"/>
          <w:sz w:val="24"/>
          <w:szCs w:val="24"/>
        </w:rPr>
        <w:t xml:space="preserve">3.         </w:t>
      </w:r>
      <w:r w:rsidR="00F04A4A" w:rsidRPr="00DA07F0">
        <w:rPr>
          <w:rFonts w:ascii="Times New Roman" w:hAnsi="Times New Roman" w:cs="Times New Roman"/>
          <w:sz w:val="24"/>
          <w:szCs w:val="24"/>
        </w:rPr>
        <w:t xml:space="preserve">That the parties are reminded it is the Commission’s policy to encourage </w:t>
      </w:r>
    </w:p>
    <w:p w14:paraId="2D4909D7" w14:textId="77777777" w:rsidR="00DA07F0" w:rsidRPr="00DA07F0" w:rsidRDefault="00F04A4A" w:rsidP="00DA07F0">
      <w:pPr>
        <w:spacing w:after="0" w:line="360" w:lineRule="auto"/>
        <w:rPr>
          <w:rFonts w:ascii="Times New Roman" w:hAnsi="Times New Roman" w:cs="Times New Roman"/>
          <w:sz w:val="24"/>
          <w:szCs w:val="24"/>
        </w:rPr>
      </w:pPr>
      <w:r w:rsidRPr="00DA07F0">
        <w:rPr>
          <w:rFonts w:ascii="Times New Roman" w:hAnsi="Times New Roman" w:cs="Times New Roman"/>
          <w:sz w:val="24"/>
          <w:szCs w:val="24"/>
        </w:rPr>
        <w:t>settlements.  52 Pa. Code § 5.231(a).  The parties are urged to explore this possibility</w:t>
      </w:r>
      <w:r w:rsidR="00DA07F0" w:rsidRPr="00DA07F0">
        <w:rPr>
          <w:rFonts w:ascii="Times New Roman" w:hAnsi="Times New Roman" w:cs="Times New Roman"/>
          <w:sz w:val="24"/>
          <w:szCs w:val="24"/>
        </w:rPr>
        <w:t>, if possible.</w:t>
      </w:r>
    </w:p>
    <w:p w14:paraId="799B5257"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646B973E" w14:textId="77777777" w:rsidR="00BD3343" w:rsidRDefault="00BD3343"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p>
    <w:p w14:paraId="4493D80B" w14:textId="70CCBDD4"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u w:val="single"/>
        </w:rPr>
      </w:pPr>
      <w:r w:rsidRPr="00DA07F0">
        <w:rPr>
          <w:rFonts w:ascii="Times New Roman" w:eastAsia="Times New Roman" w:hAnsi="Times New Roman" w:cs="Times New Roman"/>
          <w:sz w:val="24"/>
          <w:szCs w:val="24"/>
        </w:rPr>
        <w:t xml:space="preserve">Date:  </w:t>
      </w:r>
      <w:r w:rsidR="0031523F" w:rsidRPr="00DA07F0">
        <w:rPr>
          <w:rFonts w:ascii="Times New Roman" w:eastAsia="Times New Roman" w:hAnsi="Times New Roman" w:cs="Times New Roman"/>
          <w:sz w:val="24"/>
          <w:szCs w:val="24"/>
          <w:u w:val="single"/>
        </w:rPr>
        <w:t>December 12</w:t>
      </w:r>
      <w:r w:rsidR="002C1C9D" w:rsidRPr="00DA07F0">
        <w:rPr>
          <w:rFonts w:ascii="Times New Roman" w:eastAsia="Times New Roman" w:hAnsi="Times New Roman" w:cs="Times New Roman"/>
          <w:sz w:val="24"/>
          <w:szCs w:val="24"/>
          <w:u w:val="single"/>
        </w:rPr>
        <w:t>, 202</w:t>
      </w:r>
      <w:r w:rsidR="0031523F" w:rsidRPr="00DA07F0">
        <w:rPr>
          <w:rFonts w:ascii="Times New Roman" w:eastAsia="Times New Roman" w:hAnsi="Times New Roman" w:cs="Times New Roman"/>
          <w:sz w:val="24"/>
          <w:szCs w:val="24"/>
          <w:u w:val="single"/>
        </w:rPr>
        <w:t>3</w:t>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t>/s/</w:t>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r w:rsidRPr="00DA07F0">
        <w:rPr>
          <w:rFonts w:ascii="Times New Roman" w:eastAsia="Times New Roman" w:hAnsi="Times New Roman" w:cs="Times New Roman"/>
          <w:sz w:val="24"/>
          <w:szCs w:val="24"/>
          <w:u w:val="single"/>
        </w:rPr>
        <w:tab/>
      </w:r>
    </w:p>
    <w:p w14:paraId="76D3FD01" w14:textId="23E7B7F6" w:rsidR="00A91597" w:rsidRPr="00DA07F0"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0031523F" w:rsidRPr="00DA07F0">
        <w:rPr>
          <w:rFonts w:ascii="Times New Roman" w:eastAsia="Times New Roman" w:hAnsi="Times New Roman" w:cs="Times New Roman"/>
          <w:sz w:val="24"/>
          <w:szCs w:val="24"/>
        </w:rPr>
        <w:t>Gail M. Chiodo</w:t>
      </w:r>
    </w:p>
    <w:p w14:paraId="33854325" w14:textId="77777777" w:rsidR="00A66F7E" w:rsidRDefault="00A91597" w:rsidP="00A91597">
      <w:pPr>
        <w:widowControl w:val="0"/>
        <w:tabs>
          <w:tab w:val="left" w:pos="0"/>
        </w:tabs>
        <w:autoSpaceDE w:val="0"/>
        <w:autoSpaceDN w:val="0"/>
        <w:adjustRightInd w:val="0"/>
        <w:spacing w:after="0" w:line="240" w:lineRule="auto"/>
        <w:jc w:val="both"/>
        <w:rPr>
          <w:rFonts w:ascii="Times New Roman" w:eastAsia="Times New Roman" w:hAnsi="Times New Roman" w:cs="Times New Roman"/>
          <w:sz w:val="24"/>
          <w:szCs w:val="24"/>
        </w:rPr>
        <w:sectPr w:rsidR="00A66F7E" w:rsidSect="00A66F7E">
          <w:footerReference w:type="default" r:id="rId8"/>
          <w:pgSz w:w="12240" w:h="15840"/>
          <w:pgMar w:top="1296" w:right="1440" w:bottom="1296" w:left="1440" w:header="720" w:footer="720" w:gutter="0"/>
          <w:cols w:space="720"/>
          <w:titlePg/>
          <w:docGrid w:linePitch="360"/>
        </w:sectPr>
      </w:pP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r>
      <w:r w:rsidRPr="00DA07F0">
        <w:rPr>
          <w:rFonts w:ascii="Times New Roman" w:eastAsia="Times New Roman" w:hAnsi="Times New Roman" w:cs="Times New Roman"/>
          <w:sz w:val="24"/>
          <w:szCs w:val="24"/>
        </w:rPr>
        <w:tab/>
        <w:t>Administrative Law Judge</w:t>
      </w:r>
    </w:p>
    <w:p w14:paraId="58B60215" w14:textId="77777777" w:rsidR="00B4435D" w:rsidRDefault="00B4435D" w:rsidP="00B4435D">
      <w:pPr>
        <w:rPr>
          <w:rFonts w:ascii="Microsoft Sans Serif" w:eastAsia="Microsoft Sans Serif" w:hAnsi="Microsoft Sans Serif" w:cs="Microsoft Sans Serif"/>
          <w:sz w:val="24"/>
        </w:rPr>
      </w:pPr>
      <w:r>
        <w:rPr>
          <w:rFonts w:ascii="Microsoft Sans Serif" w:eastAsia="Microsoft Sans Serif" w:hAnsi="Microsoft Sans Serif" w:cs="Microsoft Sans Serif"/>
          <w:b/>
          <w:sz w:val="24"/>
          <w:u w:val="single"/>
        </w:rPr>
        <w:lastRenderedPageBreak/>
        <w:t>C-2018-3005829 - DONNA DESANTO OTT v. METROPOLITAN EDISON CO.</w:t>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b/>
          <w:sz w:val="24"/>
          <w:u w:val="single"/>
        </w:rPr>
        <w:cr/>
      </w:r>
      <w:r>
        <w:rPr>
          <w:rFonts w:ascii="Microsoft Sans Serif" w:eastAsia="Microsoft Sans Serif" w:hAnsi="Microsoft Sans Serif" w:cs="Microsoft Sans Serif"/>
          <w:sz w:val="24"/>
        </w:rPr>
        <w:t>DONNA A DESANTO OTT</w:t>
      </w:r>
      <w:r>
        <w:rPr>
          <w:rFonts w:ascii="Microsoft Sans Serif" w:eastAsia="Microsoft Sans Serif" w:hAnsi="Microsoft Sans Serif" w:cs="Microsoft Sans Serif"/>
          <w:sz w:val="24"/>
        </w:rPr>
        <w:cr/>
        <w:t>111 MEADOWLARK ROAD</w:t>
      </w:r>
      <w:r>
        <w:rPr>
          <w:rFonts w:ascii="Microsoft Sans Serif" w:eastAsia="Microsoft Sans Serif" w:hAnsi="Microsoft Sans Serif" w:cs="Microsoft Sans Serif"/>
          <w:sz w:val="24"/>
        </w:rPr>
        <w:cr/>
        <w:t>READING PA  19606</w:t>
      </w:r>
      <w:r>
        <w:rPr>
          <w:rFonts w:ascii="Microsoft Sans Serif" w:eastAsia="Microsoft Sans Serif" w:hAnsi="Microsoft Sans Serif" w:cs="Microsoft Sans Serif"/>
          <w:sz w:val="24"/>
        </w:rPr>
        <w:cr/>
      </w:r>
      <w:r w:rsidRPr="005E47D8">
        <w:rPr>
          <w:rFonts w:ascii="Microsoft Sans Serif" w:eastAsia="Microsoft Sans Serif" w:hAnsi="Microsoft Sans Serif" w:cs="Microsoft Sans Serif"/>
          <w:b/>
          <w:bCs/>
          <w:sz w:val="24"/>
        </w:rPr>
        <w:t>484</w:t>
      </w:r>
      <w:r>
        <w:rPr>
          <w:rFonts w:ascii="Microsoft Sans Serif" w:eastAsia="Microsoft Sans Serif" w:hAnsi="Microsoft Sans Serif" w:cs="Microsoft Sans Serif"/>
          <w:b/>
          <w:bCs/>
          <w:sz w:val="24"/>
        </w:rPr>
        <w:t>.</w:t>
      </w:r>
      <w:r w:rsidRPr="005E47D8">
        <w:rPr>
          <w:rFonts w:ascii="Microsoft Sans Serif" w:eastAsia="Microsoft Sans Serif" w:hAnsi="Microsoft Sans Serif" w:cs="Microsoft Sans Serif"/>
          <w:b/>
          <w:bCs/>
          <w:sz w:val="24"/>
        </w:rPr>
        <w:t>374</w:t>
      </w:r>
      <w:r>
        <w:rPr>
          <w:rFonts w:ascii="Microsoft Sans Serif" w:eastAsia="Microsoft Sans Serif" w:hAnsi="Microsoft Sans Serif" w:cs="Microsoft Sans Serif"/>
          <w:b/>
          <w:bCs/>
          <w:sz w:val="24"/>
        </w:rPr>
        <w:t>.</w:t>
      </w:r>
      <w:r w:rsidRPr="005E47D8">
        <w:rPr>
          <w:rFonts w:ascii="Microsoft Sans Serif" w:eastAsia="Microsoft Sans Serif" w:hAnsi="Microsoft Sans Serif" w:cs="Microsoft Sans Serif"/>
          <w:b/>
          <w:bCs/>
          <w:sz w:val="24"/>
        </w:rPr>
        <w:t>0205</w:t>
      </w:r>
      <w:r w:rsidRPr="005E47D8">
        <w:rPr>
          <w:rFonts w:ascii="Microsoft Sans Serif" w:eastAsia="Microsoft Sans Serif" w:hAnsi="Microsoft Sans Serif" w:cs="Microsoft Sans Serif"/>
          <w:b/>
          <w:bCs/>
          <w:sz w:val="24"/>
        </w:rPr>
        <w:cr/>
      </w:r>
      <w:hyperlink r:id="rId9" w:history="1">
        <w:r w:rsidRPr="006F2239">
          <w:rPr>
            <w:rStyle w:val="Hyperlink"/>
            <w:rFonts w:ascii="Microsoft Sans Serif" w:eastAsia="Microsoft Sans Serif" w:hAnsi="Microsoft Sans Serif" w:cs="Microsoft Sans Serif"/>
            <w:sz w:val="24"/>
          </w:rPr>
          <w:t>donna@wholechildpediatrictherapy.com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597AC83A" w14:textId="77777777" w:rsidR="00B4435D" w:rsidRDefault="00B4435D" w:rsidP="00B4435D">
      <w:pPr>
        <w:spacing w:after="0"/>
        <w:rPr>
          <w:rFonts w:ascii="Microsoft Sans Serif" w:eastAsia="Microsoft Sans Serif" w:hAnsi="Microsoft Sans Serif" w:cs="Microsoft Sans Serif"/>
          <w:i/>
          <w:iCs/>
          <w:sz w:val="24"/>
        </w:rPr>
      </w:pPr>
      <w:r>
        <w:rPr>
          <w:rFonts w:ascii="Microsoft Sans Serif" w:eastAsia="Microsoft Sans Serif" w:hAnsi="Microsoft Sans Serif" w:cs="Microsoft Sans Serif"/>
          <w:sz w:val="24"/>
        </w:rPr>
        <w:t>MICHAEL GILES ESQUIRE</w:t>
      </w:r>
      <w:r>
        <w:rPr>
          <w:rFonts w:ascii="Microsoft Sans Serif" w:eastAsia="Microsoft Sans Serif" w:hAnsi="Microsoft Sans Serif" w:cs="Microsoft Sans Serif"/>
          <w:sz w:val="24"/>
        </w:rPr>
        <w:cr/>
        <w:t>LAW OFFICE OF MICHAEL P GILES ESQUIRE</w:t>
      </w:r>
      <w:r>
        <w:rPr>
          <w:rFonts w:ascii="Microsoft Sans Serif" w:eastAsia="Microsoft Sans Serif" w:hAnsi="Microsoft Sans Serif" w:cs="Microsoft Sans Serif"/>
          <w:sz w:val="24"/>
        </w:rPr>
        <w:cr/>
        <w:t>PO BOX 6202</w:t>
      </w:r>
      <w:r>
        <w:rPr>
          <w:rFonts w:ascii="Microsoft Sans Serif" w:eastAsia="Microsoft Sans Serif" w:hAnsi="Microsoft Sans Serif" w:cs="Microsoft Sans Serif"/>
          <w:sz w:val="24"/>
        </w:rPr>
        <w:cr/>
        <w:t>WYOMISSING PA  19610-6202</w:t>
      </w:r>
      <w:r>
        <w:rPr>
          <w:rFonts w:ascii="Microsoft Sans Serif" w:eastAsia="Microsoft Sans Serif" w:hAnsi="Microsoft Sans Serif" w:cs="Microsoft Sans Serif"/>
          <w:sz w:val="24"/>
        </w:rPr>
        <w:cr/>
      </w:r>
      <w:r w:rsidRPr="005E47D8">
        <w:rPr>
          <w:rFonts w:ascii="Microsoft Sans Serif" w:eastAsia="Microsoft Sans Serif" w:hAnsi="Microsoft Sans Serif" w:cs="Microsoft Sans Serif"/>
          <w:b/>
          <w:bCs/>
          <w:sz w:val="24"/>
        </w:rPr>
        <w:t>610</w:t>
      </w:r>
      <w:r>
        <w:rPr>
          <w:rFonts w:ascii="Microsoft Sans Serif" w:eastAsia="Microsoft Sans Serif" w:hAnsi="Microsoft Sans Serif" w:cs="Microsoft Sans Serif"/>
          <w:b/>
          <w:bCs/>
          <w:sz w:val="24"/>
        </w:rPr>
        <w:t>.</w:t>
      </w:r>
      <w:r w:rsidRPr="005E47D8">
        <w:rPr>
          <w:rFonts w:ascii="Microsoft Sans Serif" w:eastAsia="Microsoft Sans Serif" w:hAnsi="Microsoft Sans Serif" w:cs="Microsoft Sans Serif"/>
          <w:b/>
          <w:bCs/>
          <w:sz w:val="24"/>
        </w:rPr>
        <w:t>373</w:t>
      </w:r>
      <w:r>
        <w:rPr>
          <w:rFonts w:ascii="Microsoft Sans Serif" w:eastAsia="Microsoft Sans Serif" w:hAnsi="Microsoft Sans Serif" w:cs="Microsoft Sans Serif"/>
          <w:b/>
          <w:bCs/>
          <w:sz w:val="24"/>
        </w:rPr>
        <w:t>.</w:t>
      </w:r>
      <w:r w:rsidRPr="005E47D8">
        <w:rPr>
          <w:rFonts w:ascii="Microsoft Sans Serif" w:eastAsia="Microsoft Sans Serif" w:hAnsi="Microsoft Sans Serif" w:cs="Microsoft Sans Serif"/>
          <w:b/>
          <w:bCs/>
          <w:sz w:val="24"/>
        </w:rPr>
        <w:t>1135</w:t>
      </w:r>
      <w:r w:rsidRPr="005E47D8">
        <w:rPr>
          <w:rFonts w:ascii="Microsoft Sans Serif" w:eastAsia="Microsoft Sans Serif" w:hAnsi="Microsoft Sans Serif" w:cs="Microsoft Sans Serif"/>
          <w:b/>
          <w:bCs/>
          <w:sz w:val="24"/>
        </w:rPr>
        <w:cr/>
        <w:t>610</w:t>
      </w:r>
      <w:r>
        <w:rPr>
          <w:rFonts w:ascii="Microsoft Sans Serif" w:eastAsia="Microsoft Sans Serif" w:hAnsi="Microsoft Sans Serif" w:cs="Microsoft Sans Serif"/>
          <w:b/>
          <w:bCs/>
          <w:sz w:val="24"/>
        </w:rPr>
        <w:t>.</w:t>
      </w:r>
      <w:r w:rsidRPr="005E47D8">
        <w:rPr>
          <w:rFonts w:ascii="Microsoft Sans Serif" w:eastAsia="Microsoft Sans Serif" w:hAnsi="Microsoft Sans Serif" w:cs="Microsoft Sans Serif"/>
          <w:b/>
          <w:bCs/>
          <w:sz w:val="24"/>
        </w:rPr>
        <w:t>903</w:t>
      </w:r>
      <w:r>
        <w:rPr>
          <w:rFonts w:ascii="Microsoft Sans Serif" w:eastAsia="Microsoft Sans Serif" w:hAnsi="Microsoft Sans Serif" w:cs="Microsoft Sans Serif"/>
          <w:b/>
          <w:bCs/>
          <w:sz w:val="24"/>
        </w:rPr>
        <w:t>.</w:t>
      </w:r>
      <w:r w:rsidRPr="005E47D8">
        <w:rPr>
          <w:rFonts w:ascii="Microsoft Sans Serif" w:eastAsia="Microsoft Sans Serif" w:hAnsi="Microsoft Sans Serif" w:cs="Microsoft Sans Serif"/>
          <w:b/>
          <w:bCs/>
          <w:sz w:val="24"/>
        </w:rPr>
        <w:t>4421</w:t>
      </w:r>
      <w:r w:rsidRPr="005E47D8">
        <w:rPr>
          <w:rFonts w:ascii="Microsoft Sans Serif" w:eastAsia="Microsoft Sans Serif" w:hAnsi="Microsoft Sans Serif" w:cs="Microsoft Sans Serif"/>
          <w:b/>
          <w:bCs/>
          <w:sz w:val="24"/>
        </w:rPr>
        <w:cr/>
      </w:r>
      <w:hyperlink r:id="rId10" w:history="1">
        <w:r w:rsidRPr="006F2239">
          <w:rPr>
            <w:rStyle w:val="Hyperlink"/>
            <w:rFonts w:ascii="Microsoft Sans Serif" w:eastAsia="Microsoft Sans Serif" w:hAnsi="Microsoft Sans Serif" w:cs="Microsoft Sans Serif"/>
            <w:sz w:val="24"/>
          </w:rPr>
          <w:t>mpglawyer@msn.com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r w:rsidRPr="005E47D8">
        <w:rPr>
          <w:rFonts w:ascii="Microsoft Sans Serif" w:eastAsia="Microsoft Sans Serif" w:hAnsi="Microsoft Sans Serif" w:cs="Microsoft Sans Serif"/>
          <w:i/>
          <w:iCs/>
          <w:sz w:val="24"/>
        </w:rPr>
        <w:t xml:space="preserve">Served via email and first class </w:t>
      </w:r>
      <w:proofErr w:type="gramStart"/>
      <w:r w:rsidRPr="005E47D8">
        <w:rPr>
          <w:rFonts w:ascii="Microsoft Sans Serif" w:eastAsia="Microsoft Sans Serif" w:hAnsi="Microsoft Sans Serif" w:cs="Microsoft Sans Serif"/>
          <w:i/>
          <w:iCs/>
          <w:sz w:val="24"/>
        </w:rPr>
        <w:t>mail</w:t>
      </w:r>
      <w:proofErr w:type="gramEnd"/>
    </w:p>
    <w:p w14:paraId="566048CA" w14:textId="77777777" w:rsidR="00B4435D" w:rsidRDefault="00B4435D" w:rsidP="00B4435D">
      <w:pPr>
        <w:spacing w:after="0"/>
      </w:pPr>
      <w:r>
        <w:rPr>
          <w:rFonts w:ascii="Microsoft Sans Serif" w:eastAsia="Microsoft Sans Serif" w:hAnsi="Microsoft Sans Serif" w:cs="Microsoft Sans Serif"/>
          <w:i/>
          <w:iCs/>
          <w:sz w:val="24"/>
        </w:rPr>
        <w:t xml:space="preserve">(Counsel for Complainant) </w:t>
      </w:r>
    </w:p>
    <w:p w14:paraId="46D5408E" w14:textId="77777777" w:rsidR="00B4435D" w:rsidRDefault="00B4435D" w:rsidP="00B4435D">
      <w:pPr>
        <w:rPr>
          <w:rFonts w:ascii="Microsoft Sans Serif" w:eastAsia="Microsoft Sans Serif" w:hAnsi="Microsoft Sans Serif" w:cs="Microsoft Sans Serif"/>
          <w:sz w:val="24"/>
        </w:rPr>
      </w:pPr>
    </w:p>
    <w:p w14:paraId="7E1A52E3" w14:textId="77777777" w:rsidR="00B4435D" w:rsidRDefault="00B4435D" w:rsidP="00B4435D">
      <w:pPr>
        <w:rPr>
          <w:rFonts w:ascii="Microsoft Sans Serif" w:eastAsia="Microsoft Sans Serif" w:hAnsi="Microsoft Sans Serif" w:cs="Microsoft Sans Serif"/>
          <w:sz w:val="24"/>
        </w:rPr>
      </w:pPr>
      <w:r>
        <w:rPr>
          <w:rFonts w:ascii="Microsoft Sans Serif" w:eastAsia="Microsoft Sans Serif" w:hAnsi="Microsoft Sans Serif" w:cs="Microsoft Sans Serif"/>
          <w:sz w:val="24"/>
        </w:rPr>
        <w:t>TORI L GIESLER ESQUIRE</w:t>
      </w:r>
      <w:r>
        <w:rPr>
          <w:rFonts w:ascii="Microsoft Sans Serif" w:eastAsia="Microsoft Sans Serif" w:hAnsi="Microsoft Sans Serif" w:cs="Microsoft Sans Serif"/>
          <w:sz w:val="24"/>
        </w:rPr>
        <w:cr/>
        <w:t>LAUREN MARISSA LEPKOSKI ESQUIRE</w:t>
      </w:r>
      <w:r>
        <w:rPr>
          <w:rFonts w:ascii="Microsoft Sans Serif" w:eastAsia="Microsoft Sans Serif" w:hAnsi="Microsoft Sans Serif" w:cs="Microsoft Sans Serif"/>
          <w:sz w:val="24"/>
        </w:rPr>
        <w:cr/>
        <w:t>FIRSTENERGY SERVICES CO</w:t>
      </w:r>
      <w:r>
        <w:rPr>
          <w:rFonts w:ascii="Microsoft Sans Serif" w:eastAsia="Microsoft Sans Serif" w:hAnsi="Microsoft Sans Serif" w:cs="Microsoft Sans Serif"/>
          <w:sz w:val="24"/>
        </w:rPr>
        <w:cr/>
        <w:t>2800 Pottsville Pike</w:t>
      </w:r>
      <w:r>
        <w:rPr>
          <w:rFonts w:ascii="Microsoft Sans Serif" w:eastAsia="Microsoft Sans Serif" w:hAnsi="Microsoft Sans Serif" w:cs="Microsoft Sans Serif"/>
          <w:sz w:val="24"/>
        </w:rPr>
        <w:cr/>
        <w:t>PO BOX 16001</w:t>
      </w:r>
      <w:r>
        <w:rPr>
          <w:rFonts w:ascii="Microsoft Sans Serif" w:eastAsia="Microsoft Sans Serif" w:hAnsi="Microsoft Sans Serif" w:cs="Microsoft Sans Serif"/>
          <w:sz w:val="24"/>
        </w:rPr>
        <w:cr/>
        <w:t>READING PA  19612</w:t>
      </w:r>
      <w:r>
        <w:rPr>
          <w:rFonts w:ascii="Microsoft Sans Serif" w:eastAsia="Microsoft Sans Serif" w:hAnsi="Microsoft Sans Serif" w:cs="Microsoft Sans Serif"/>
          <w:sz w:val="24"/>
        </w:rPr>
        <w:cr/>
      </w:r>
      <w:r w:rsidRPr="005E47D8">
        <w:rPr>
          <w:rFonts w:ascii="Microsoft Sans Serif" w:eastAsia="Microsoft Sans Serif" w:hAnsi="Microsoft Sans Serif" w:cs="Microsoft Sans Serif"/>
          <w:b/>
          <w:bCs/>
          <w:sz w:val="24"/>
        </w:rPr>
        <w:t>610.921.6658</w:t>
      </w:r>
      <w:r>
        <w:rPr>
          <w:rFonts w:ascii="Microsoft Sans Serif" w:eastAsia="Microsoft Sans Serif" w:hAnsi="Microsoft Sans Serif" w:cs="Microsoft Sans Serif"/>
          <w:sz w:val="24"/>
        </w:rPr>
        <w:cr/>
      </w:r>
      <w:r w:rsidRPr="005E47D8">
        <w:rPr>
          <w:rFonts w:ascii="Microsoft Sans Serif" w:eastAsia="Microsoft Sans Serif" w:hAnsi="Microsoft Sans Serif" w:cs="Microsoft Sans Serif"/>
          <w:b/>
          <w:bCs/>
          <w:sz w:val="24"/>
        </w:rPr>
        <w:t>610.921.6203</w:t>
      </w:r>
      <w:r w:rsidRPr="005E47D8">
        <w:rPr>
          <w:rFonts w:ascii="Microsoft Sans Serif" w:eastAsia="Microsoft Sans Serif" w:hAnsi="Microsoft Sans Serif" w:cs="Microsoft Sans Serif"/>
          <w:b/>
          <w:bCs/>
          <w:sz w:val="24"/>
        </w:rPr>
        <w:cr/>
      </w:r>
      <w:hyperlink r:id="rId11" w:history="1">
        <w:r w:rsidRPr="006F2239">
          <w:rPr>
            <w:rStyle w:val="Hyperlink"/>
            <w:rFonts w:ascii="Microsoft Sans Serif" w:eastAsia="Microsoft Sans Serif" w:hAnsi="Microsoft Sans Serif" w:cs="Microsoft Sans Serif"/>
            <w:sz w:val="24"/>
          </w:rPr>
          <w:t>tgiesler@firstenergycorp.com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r>
      <w:hyperlink r:id="rId12" w:history="1">
        <w:r w:rsidRPr="006F2239">
          <w:rPr>
            <w:rStyle w:val="Hyperlink"/>
            <w:rFonts w:ascii="Microsoft Sans Serif" w:eastAsia="Microsoft Sans Serif" w:hAnsi="Microsoft Sans Serif" w:cs="Microsoft Sans Serif"/>
            <w:sz w:val="24"/>
          </w:rPr>
          <w:t>llepkoski@firstenergycorp.com</w:t>
        </w:r>
      </w:hyperlink>
      <w:r>
        <w:rPr>
          <w:rFonts w:ascii="Microsoft Sans Serif" w:eastAsia="Microsoft Sans Serif" w:hAnsi="Microsoft Sans Serif" w:cs="Microsoft Sans Serif"/>
          <w:sz w:val="24"/>
        </w:rPr>
        <w:t xml:space="preserve"> </w:t>
      </w:r>
      <w:r>
        <w:rPr>
          <w:rFonts w:ascii="Microsoft Sans Serif" w:eastAsia="Microsoft Sans Serif" w:hAnsi="Microsoft Sans Serif" w:cs="Microsoft Sans Serif"/>
          <w:sz w:val="24"/>
        </w:rPr>
        <w:cr/>
        <w:t xml:space="preserve">Accepts </w:t>
      </w:r>
      <w:proofErr w:type="gramStart"/>
      <w:r>
        <w:rPr>
          <w:rFonts w:ascii="Microsoft Sans Serif" w:eastAsia="Microsoft Sans Serif" w:hAnsi="Microsoft Sans Serif" w:cs="Microsoft Sans Serif"/>
          <w:sz w:val="24"/>
        </w:rPr>
        <w:t>eService</w:t>
      </w:r>
      <w:proofErr w:type="gramEnd"/>
      <w:r>
        <w:rPr>
          <w:rFonts w:ascii="Microsoft Sans Serif" w:eastAsia="Microsoft Sans Serif" w:hAnsi="Microsoft Sans Serif" w:cs="Microsoft Sans Serif"/>
          <w:sz w:val="24"/>
        </w:rPr>
        <w:t xml:space="preserve"> </w:t>
      </w:r>
    </w:p>
    <w:p w14:paraId="52EABD5C" w14:textId="77777777" w:rsidR="00B4435D" w:rsidRDefault="00B4435D" w:rsidP="00B4435D">
      <w:pPr>
        <w:spacing w:after="0"/>
      </w:pPr>
      <w:r>
        <w:rPr>
          <w:rFonts w:ascii="Microsoft Sans Serif" w:eastAsia="Microsoft Sans Serif" w:hAnsi="Microsoft Sans Serif" w:cs="Microsoft Sans Serif"/>
          <w:sz w:val="24"/>
        </w:rPr>
        <w:cr/>
      </w:r>
      <w:r>
        <w:rPr>
          <w:rFonts w:ascii="Microsoft Sans Serif" w:eastAsia="Microsoft Sans Serif" w:hAnsi="Microsoft Sans Serif" w:cs="Microsoft Sans Serif"/>
          <w:i/>
          <w:iCs/>
          <w:sz w:val="24"/>
        </w:rPr>
        <w:t xml:space="preserve"> </w:t>
      </w:r>
    </w:p>
    <w:p w14:paraId="126F45AC" w14:textId="77777777" w:rsidR="00B4435D" w:rsidRDefault="00B4435D" w:rsidP="00B4435D"/>
    <w:p w14:paraId="3D9E0C7E" w14:textId="77777777" w:rsidR="00A91597" w:rsidRPr="00DA07F0" w:rsidRDefault="00A91597" w:rsidP="00B4435D">
      <w:pPr>
        <w:spacing w:after="0"/>
        <w:rPr>
          <w:rFonts w:ascii="Times New Roman" w:eastAsia="Times New Roman" w:hAnsi="Times New Roman" w:cs="Times New Roman"/>
          <w:sz w:val="24"/>
          <w:szCs w:val="24"/>
        </w:rPr>
      </w:pPr>
    </w:p>
    <w:sectPr w:rsidR="00A91597" w:rsidRPr="00DA07F0">
      <w:footerReference w:type="default" r:id="rId13"/>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E40B4C9" w14:textId="77777777" w:rsidR="007A43F5" w:rsidRDefault="007A43F5" w:rsidP="00DC6465">
      <w:pPr>
        <w:spacing w:after="0" w:line="240" w:lineRule="auto"/>
      </w:pPr>
      <w:r>
        <w:separator/>
      </w:r>
    </w:p>
  </w:endnote>
  <w:endnote w:type="continuationSeparator" w:id="0">
    <w:p w14:paraId="5C0ED84F" w14:textId="77777777" w:rsidR="007A43F5" w:rsidRDefault="007A43F5" w:rsidP="00DC646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G Times">
    <w:altName w:val="Times New Roman"/>
    <w:panose1 w:val="00000000000000000000"/>
    <w:charset w:val="00"/>
    <w:family w:val="roman"/>
    <w:notTrueType/>
    <w:pitch w:val="variable"/>
    <w:sig w:usb0="00000003" w:usb1="00000000" w:usb2="00000000" w:usb3="00000000" w:csb0="00000001" w:csb1="00000000"/>
  </w:font>
  <w:font w:name="Microsoft Sans Serif">
    <w:panose1 w:val="020B0604020202020204"/>
    <w:charset w:val="00"/>
    <w:family w:val="swiss"/>
    <w:pitch w:val="variable"/>
    <w:sig w:usb0="E5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59093324"/>
      <w:docPartObj>
        <w:docPartGallery w:val="Page Numbers (Bottom of Page)"/>
        <w:docPartUnique/>
      </w:docPartObj>
    </w:sdtPr>
    <w:sdtEndPr>
      <w:rPr>
        <w:rFonts w:ascii="Times New Roman" w:hAnsi="Times New Roman" w:cs="Times New Roman"/>
        <w:noProof/>
        <w:sz w:val="20"/>
        <w:szCs w:val="20"/>
      </w:rPr>
    </w:sdtEndPr>
    <w:sdtContent>
      <w:p w14:paraId="2764E17C" w14:textId="6368615D" w:rsidR="00DC0EE5" w:rsidRPr="00DC0EE5" w:rsidRDefault="00DC0EE5">
        <w:pPr>
          <w:pStyle w:val="Footer"/>
          <w:jc w:val="center"/>
          <w:rPr>
            <w:rFonts w:ascii="Times New Roman" w:hAnsi="Times New Roman" w:cs="Times New Roman"/>
            <w:sz w:val="20"/>
            <w:szCs w:val="20"/>
          </w:rPr>
        </w:pPr>
        <w:r w:rsidRPr="00DC0EE5">
          <w:rPr>
            <w:rFonts w:ascii="Times New Roman" w:hAnsi="Times New Roman" w:cs="Times New Roman"/>
            <w:sz w:val="20"/>
            <w:szCs w:val="20"/>
          </w:rPr>
          <w:fldChar w:fldCharType="begin"/>
        </w:r>
        <w:r w:rsidRPr="00DC0EE5">
          <w:rPr>
            <w:rFonts w:ascii="Times New Roman" w:hAnsi="Times New Roman" w:cs="Times New Roman"/>
            <w:sz w:val="20"/>
            <w:szCs w:val="20"/>
          </w:rPr>
          <w:instrText xml:space="preserve"> PAGE   \* MERGEFORMAT </w:instrText>
        </w:r>
        <w:r w:rsidRPr="00DC0EE5">
          <w:rPr>
            <w:rFonts w:ascii="Times New Roman" w:hAnsi="Times New Roman" w:cs="Times New Roman"/>
            <w:sz w:val="20"/>
            <w:szCs w:val="20"/>
          </w:rPr>
          <w:fldChar w:fldCharType="separate"/>
        </w:r>
        <w:r w:rsidRPr="00DC0EE5">
          <w:rPr>
            <w:rFonts w:ascii="Times New Roman" w:hAnsi="Times New Roman" w:cs="Times New Roman"/>
            <w:noProof/>
            <w:sz w:val="20"/>
            <w:szCs w:val="20"/>
          </w:rPr>
          <w:t>2</w:t>
        </w:r>
        <w:r w:rsidRPr="00DC0EE5">
          <w:rPr>
            <w:rFonts w:ascii="Times New Roman" w:hAnsi="Times New Roman" w:cs="Times New Roman"/>
            <w:noProof/>
            <w:sz w:val="20"/>
            <w:szCs w:val="20"/>
          </w:rPr>
          <w:fldChar w:fldCharType="end"/>
        </w:r>
      </w:p>
    </w:sdtContent>
  </w:sdt>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2FFF07" w14:textId="1A5F8BE8" w:rsidR="00B4435D" w:rsidRPr="00DC0EE5" w:rsidRDefault="00B4435D">
    <w:pPr>
      <w:pStyle w:val="Footer"/>
      <w:jc w:val="center"/>
      <w:rPr>
        <w:rFonts w:ascii="Times New Roman" w:hAnsi="Times New Roman" w:cs="Times New Roman"/>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1219037" w14:textId="77777777" w:rsidR="007A43F5" w:rsidRDefault="007A43F5" w:rsidP="00DC6465">
      <w:pPr>
        <w:spacing w:after="0" w:line="240" w:lineRule="auto"/>
      </w:pPr>
      <w:r>
        <w:separator/>
      </w:r>
    </w:p>
  </w:footnote>
  <w:footnote w:type="continuationSeparator" w:id="0">
    <w:p w14:paraId="10AFB505" w14:textId="77777777" w:rsidR="007A43F5" w:rsidRDefault="007A43F5" w:rsidP="00DC6465">
      <w:pPr>
        <w:spacing w:after="0" w:line="240" w:lineRule="auto"/>
      </w:pPr>
      <w:r>
        <w:continuationSeparator/>
      </w:r>
    </w:p>
  </w:footnote>
  <w:footnote w:id="1">
    <w:p w14:paraId="42ACA9B6" w14:textId="3A54A788" w:rsidR="004C6075" w:rsidRPr="004678A5" w:rsidRDefault="004C6075" w:rsidP="004C6075">
      <w:pPr>
        <w:spacing w:after="0" w:line="240" w:lineRule="auto"/>
        <w:rPr>
          <w:rFonts w:ascii="Times New Roman" w:hAnsi="Times New Roman" w:cs="Times New Roman"/>
          <w:bCs/>
          <w:sz w:val="20"/>
          <w:szCs w:val="20"/>
        </w:rPr>
      </w:pPr>
      <w:r w:rsidRPr="009A4E22">
        <w:rPr>
          <w:rStyle w:val="FootnoteReference"/>
          <w:rFonts w:ascii="Times New Roman" w:hAnsi="Times New Roman" w:cs="Times New Roman"/>
          <w:sz w:val="24"/>
          <w:szCs w:val="24"/>
        </w:rPr>
        <w:footnoteRef/>
      </w:r>
      <w:r w:rsidRPr="009A4E22">
        <w:rPr>
          <w:rFonts w:ascii="Times New Roman" w:hAnsi="Times New Roman" w:cs="Times New Roman"/>
          <w:sz w:val="24"/>
          <w:szCs w:val="24"/>
        </w:rPr>
        <w:t xml:space="preserve"> </w:t>
      </w:r>
      <w:r w:rsidRPr="009A4E22">
        <w:rPr>
          <w:rFonts w:ascii="Times New Roman" w:hAnsi="Times New Roman" w:cs="Times New Roman"/>
          <w:sz w:val="20"/>
          <w:szCs w:val="20"/>
        </w:rPr>
        <w:t xml:space="preserve">   </w:t>
      </w:r>
      <w:r>
        <w:rPr>
          <w:rFonts w:ascii="Times New Roman" w:hAnsi="Times New Roman" w:cs="Times New Roman"/>
          <w:sz w:val="20"/>
          <w:szCs w:val="20"/>
        </w:rPr>
        <w:t xml:space="preserve">  </w:t>
      </w:r>
      <w:r w:rsidRPr="004C6075">
        <w:rPr>
          <w:rFonts w:ascii="Times New Roman" w:hAnsi="Times New Roman" w:cs="Times New Roman"/>
          <w:bCs/>
          <w:sz w:val="20"/>
          <w:szCs w:val="20"/>
        </w:rPr>
        <w:t xml:space="preserve">The </w:t>
      </w:r>
      <w:r w:rsidRPr="004C6075">
        <w:rPr>
          <w:rFonts w:ascii="Times New Roman" w:hAnsi="Times New Roman" w:cs="Times New Roman"/>
          <w:bCs/>
          <w:i/>
          <w:iCs/>
          <w:sz w:val="20"/>
          <w:szCs w:val="20"/>
        </w:rPr>
        <w:t>2023 Order</w:t>
      </w:r>
      <w:r w:rsidRPr="004C6075">
        <w:rPr>
          <w:rFonts w:ascii="Times New Roman" w:hAnsi="Times New Roman" w:cs="Times New Roman"/>
          <w:bCs/>
          <w:sz w:val="20"/>
          <w:szCs w:val="20"/>
        </w:rPr>
        <w:t xml:space="preserve"> directs that formal complaints concerning the installation of smart meters pending before the Office of Administrative Law Judge (OALJ) will proceed as directed by the assigned presiding Administrative Law Judge (ALJ).  (</w:t>
      </w:r>
      <w:r w:rsidRPr="004C6075">
        <w:rPr>
          <w:rFonts w:ascii="Times New Roman" w:hAnsi="Times New Roman" w:cs="Times New Roman"/>
          <w:bCs/>
          <w:i/>
          <w:iCs/>
          <w:sz w:val="20"/>
          <w:szCs w:val="20"/>
        </w:rPr>
        <w:t>Id.</w:t>
      </w:r>
      <w:r w:rsidRPr="004C6075">
        <w:rPr>
          <w:rFonts w:ascii="Times New Roman" w:hAnsi="Times New Roman" w:cs="Times New Roman"/>
          <w:bCs/>
          <w:sz w:val="20"/>
          <w:szCs w:val="20"/>
        </w:rPr>
        <w:t xml:space="preserve"> at 8).</w:t>
      </w:r>
      <w:r>
        <w:rPr>
          <w:rFonts w:ascii="Times New Roman" w:hAnsi="Times New Roman" w:cs="Times New Roman"/>
          <w:bCs/>
          <w:sz w:val="20"/>
          <w:szCs w:val="20"/>
        </w:rPr>
        <w:t xml:space="preserve">  </w:t>
      </w:r>
      <w:r w:rsidRPr="004C6075">
        <w:rPr>
          <w:rFonts w:ascii="Times New Roman" w:hAnsi="Times New Roman" w:cs="Times New Roman"/>
          <w:sz w:val="20"/>
          <w:szCs w:val="20"/>
        </w:rPr>
        <w:t xml:space="preserve">The record reflects that the </w:t>
      </w:r>
      <w:r w:rsidRPr="004C6075">
        <w:rPr>
          <w:rFonts w:ascii="Times New Roman" w:hAnsi="Times New Roman" w:cs="Times New Roman"/>
          <w:i/>
          <w:iCs/>
          <w:sz w:val="20"/>
          <w:szCs w:val="20"/>
        </w:rPr>
        <w:t>2023 Order</w:t>
      </w:r>
      <w:r w:rsidRPr="004C6075">
        <w:rPr>
          <w:rFonts w:ascii="Times New Roman" w:hAnsi="Times New Roman" w:cs="Times New Roman"/>
          <w:sz w:val="20"/>
          <w:szCs w:val="20"/>
        </w:rPr>
        <w:t xml:space="preserve"> was e-Served on the parties.</w:t>
      </w:r>
      <w:r>
        <w:rPr>
          <w:rFonts w:ascii="Times New Roman" w:hAnsi="Times New Roman" w:cs="Times New Roman"/>
          <w:sz w:val="20"/>
          <w:szCs w:val="20"/>
        </w:rPr>
        <w:t xml:space="preserve"> </w:t>
      </w:r>
    </w:p>
  </w:footnote>
  <w:footnote w:id="2">
    <w:p w14:paraId="5260D3A4" w14:textId="372FBD96" w:rsidR="002D2009" w:rsidRPr="00340D95" w:rsidRDefault="002D2009" w:rsidP="002D2009">
      <w:pPr>
        <w:pStyle w:val="FootnoteText"/>
        <w:rPr>
          <w:rFonts w:ascii="Times New Roman" w:hAnsi="Times New Roman" w:cs="Times New Roman"/>
          <w:i/>
          <w:iCs/>
        </w:rPr>
      </w:pPr>
      <w:r w:rsidRPr="00340D95">
        <w:rPr>
          <w:rStyle w:val="FootnoteReference"/>
          <w:rFonts w:ascii="Times New Roman" w:hAnsi="Times New Roman" w:cs="Times New Roman"/>
          <w:sz w:val="24"/>
          <w:szCs w:val="24"/>
        </w:rPr>
        <w:footnoteRef/>
      </w:r>
      <w:r w:rsidRPr="00340D95">
        <w:rPr>
          <w:rFonts w:ascii="Times New Roman" w:hAnsi="Times New Roman" w:cs="Times New Roman"/>
          <w:sz w:val="24"/>
          <w:szCs w:val="24"/>
          <w:lang w:val="it-IT"/>
        </w:rPr>
        <w:t xml:space="preserve"> </w:t>
      </w:r>
      <w:r w:rsidRPr="00340D95">
        <w:rPr>
          <w:lang w:val="it-IT"/>
        </w:rPr>
        <w:tab/>
      </w:r>
      <w:r w:rsidRPr="00340D95">
        <w:rPr>
          <w:rFonts w:ascii="Times New Roman" w:hAnsi="Times New Roman" w:cs="Times New Roman"/>
          <w:i/>
          <w:iCs/>
          <w:lang w:val="it-IT"/>
        </w:rPr>
        <w:t xml:space="preserve">Povacz, et al. v. Pa. Pub. </w:t>
      </w:r>
      <w:r w:rsidRPr="009E0DCD">
        <w:rPr>
          <w:rFonts w:ascii="Times New Roman" w:hAnsi="Times New Roman" w:cs="Times New Roman"/>
          <w:i/>
          <w:iCs/>
          <w:lang w:val="it-IT"/>
        </w:rPr>
        <w:t xml:space="preserve">Util. Comm’n, </w:t>
      </w:r>
      <w:r w:rsidRPr="009E0DCD">
        <w:rPr>
          <w:rFonts w:ascii="Times New Roman" w:hAnsi="Times New Roman" w:cs="Times New Roman"/>
          <w:lang w:val="it-IT"/>
        </w:rPr>
        <w:t>280 A.3d 975 (Pa. 2002)</w:t>
      </w:r>
      <w:r w:rsidR="00EA0B47" w:rsidRPr="009E0DCD">
        <w:rPr>
          <w:rFonts w:ascii="Times New Roman" w:hAnsi="Times New Roman" w:cs="Times New Roman"/>
          <w:lang w:val="it-IT"/>
        </w:rPr>
        <w:t xml:space="preserve">.  </w:t>
      </w:r>
      <w:r w:rsidR="00EA0B47">
        <w:rPr>
          <w:rFonts w:ascii="Times New Roman" w:hAnsi="Times New Roman" w:cs="Times New Roman"/>
        </w:rPr>
        <w:t xml:space="preserve">This </w:t>
      </w:r>
      <w:r w:rsidRPr="00340D95">
        <w:rPr>
          <w:rFonts w:ascii="Times New Roman" w:hAnsi="Times New Roman" w:cs="Times New Roman"/>
        </w:rPr>
        <w:t>c</w:t>
      </w:r>
      <w:r>
        <w:rPr>
          <w:rFonts w:ascii="Times New Roman" w:hAnsi="Times New Roman" w:cs="Times New Roman"/>
        </w:rPr>
        <w:t xml:space="preserve">ase was the basis of the Commission’s </w:t>
      </w:r>
      <w:r w:rsidRPr="00340D95">
        <w:rPr>
          <w:rFonts w:ascii="Times New Roman" w:hAnsi="Times New Roman" w:cs="Times New Roman"/>
          <w:i/>
          <w:iCs/>
        </w:rPr>
        <w:t>Stay Order.</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62A9268E"/>
    <w:multiLevelType w:val="hybridMultilevel"/>
    <w:tmpl w:val="234691A2"/>
    <w:lvl w:ilvl="0" w:tplc="1C9C13A0">
      <w:start w:val="1"/>
      <w:numFmt w:val="decimal"/>
      <w:lvlText w:val="%1."/>
      <w:lvlJc w:val="left"/>
      <w:pPr>
        <w:ind w:left="2160" w:hanging="720"/>
      </w:pPr>
    </w:lvl>
    <w:lvl w:ilvl="1" w:tplc="0409001B">
      <w:start w:val="1"/>
      <w:numFmt w:val="lowerRoman"/>
      <w:lvlText w:val="%2."/>
      <w:lvlJc w:val="right"/>
      <w:pPr>
        <w:ind w:left="2520" w:hanging="360"/>
      </w:pPr>
    </w:lvl>
    <w:lvl w:ilvl="2" w:tplc="0409001B">
      <w:start w:val="1"/>
      <w:numFmt w:val="lowerRoman"/>
      <w:lvlText w:val="%3."/>
      <w:lvlJc w:val="right"/>
      <w:pPr>
        <w:ind w:left="3240" w:hanging="180"/>
      </w:pPr>
    </w:lvl>
    <w:lvl w:ilvl="3" w:tplc="0409000F">
      <w:start w:val="1"/>
      <w:numFmt w:val="decimal"/>
      <w:lvlText w:val="%4."/>
      <w:lvlJc w:val="left"/>
      <w:pPr>
        <w:ind w:left="3960" w:hanging="360"/>
      </w:pPr>
    </w:lvl>
    <w:lvl w:ilvl="4" w:tplc="04090019">
      <w:start w:val="1"/>
      <w:numFmt w:val="lowerLetter"/>
      <w:lvlText w:val="%5."/>
      <w:lvlJc w:val="left"/>
      <w:pPr>
        <w:ind w:left="4680" w:hanging="360"/>
      </w:pPr>
    </w:lvl>
    <w:lvl w:ilvl="5" w:tplc="0409001B">
      <w:start w:val="1"/>
      <w:numFmt w:val="lowerRoman"/>
      <w:lvlText w:val="%6."/>
      <w:lvlJc w:val="right"/>
      <w:pPr>
        <w:ind w:left="5400" w:hanging="180"/>
      </w:pPr>
    </w:lvl>
    <w:lvl w:ilvl="6" w:tplc="0409000F">
      <w:start w:val="1"/>
      <w:numFmt w:val="decimal"/>
      <w:lvlText w:val="%7."/>
      <w:lvlJc w:val="left"/>
      <w:pPr>
        <w:ind w:left="6120" w:hanging="360"/>
      </w:pPr>
    </w:lvl>
    <w:lvl w:ilvl="7" w:tplc="04090019">
      <w:start w:val="1"/>
      <w:numFmt w:val="lowerLetter"/>
      <w:lvlText w:val="%8."/>
      <w:lvlJc w:val="left"/>
      <w:pPr>
        <w:ind w:left="6840" w:hanging="360"/>
      </w:pPr>
    </w:lvl>
    <w:lvl w:ilvl="8" w:tplc="0409001B">
      <w:start w:val="1"/>
      <w:numFmt w:val="lowerRoman"/>
      <w:lvlText w:val="%9."/>
      <w:lvlJc w:val="right"/>
      <w:pPr>
        <w:ind w:left="7560" w:hanging="180"/>
      </w:pPr>
    </w:lvl>
  </w:abstractNum>
  <w:num w:numId="1" w16cid:durableId="1057514418">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6"/>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A1C2D"/>
    <w:rsid w:val="00045F72"/>
    <w:rsid w:val="000532E3"/>
    <w:rsid w:val="00060991"/>
    <w:rsid w:val="000864A0"/>
    <w:rsid w:val="000B3D4E"/>
    <w:rsid w:val="000B539D"/>
    <w:rsid w:val="000E4900"/>
    <w:rsid w:val="001003C3"/>
    <w:rsid w:val="001C409E"/>
    <w:rsid w:val="002733FC"/>
    <w:rsid w:val="002C1C9D"/>
    <w:rsid w:val="002D2009"/>
    <w:rsid w:val="002E42CE"/>
    <w:rsid w:val="002F1EC4"/>
    <w:rsid w:val="0031523F"/>
    <w:rsid w:val="00340D95"/>
    <w:rsid w:val="003427A9"/>
    <w:rsid w:val="003D7F5D"/>
    <w:rsid w:val="00457B8F"/>
    <w:rsid w:val="004678A5"/>
    <w:rsid w:val="004A1045"/>
    <w:rsid w:val="004C6075"/>
    <w:rsid w:val="004F4EE2"/>
    <w:rsid w:val="004F75D4"/>
    <w:rsid w:val="005234C8"/>
    <w:rsid w:val="005B220E"/>
    <w:rsid w:val="0061300A"/>
    <w:rsid w:val="00644B33"/>
    <w:rsid w:val="00672D7B"/>
    <w:rsid w:val="00687033"/>
    <w:rsid w:val="006914D8"/>
    <w:rsid w:val="006F2CE2"/>
    <w:rsid w:val="007A43F5"/>
    <w:rsid w:val="007B5C79"/>
    <w:rsid w:val="00812BC6"/>
    <w:rsid w:val="0082409C"/>
    <w:rsid w:val="00872DEE"/>
    <w:rsid w:val="00875468"/>
    <w:rsid w:val="008B432E"/>
    <w:rsid w:val="00915777"/>
    <w:rsid w:val="009A378C"/>
    <w:rsid w:val="009A4E22"/>
    <w:rsid w:val="009B01C3"/>
    <w:rsid w:val="009E0DCD"/>
    <w:rsid w:val="009E5BFC"/>
    <w:rsid w:val="009F0467"/>
    <w:rsid w:val="00A05554"/>
    <w:rsid w:val="00A66F7E"/>
    <w:rsid w:val="00A91597"/>
    <w:rsid w:val="00AB3416"/>
    <w:rsid w:val="00B4435D"/>
    <w:rsid w:val="00B57454"/>
    <w:rsid w:val="00B73457"/>
    <w:rsid w:val="00B878AA"/>
    <w:rsid w:val="00B94872"/>
    <w:rsid w:val="00BC09FC"/>
    <w:rsid w:val="00BC2CFC"/>
    <w:rsid w:val="00BC4FBE"/>
    <w:rsid w:val="00BD3343"/>
    <w:rsid w:val="00BE66D7"/>
    <w:rsid w:val="00C77197"/>
    <w:rsid w:val="00CA17A1"/>
    <w:rsid w:val="00CA25F0"/>
    <w:rsid w:val="00CA4236"/>
    <w:rsid w:val="00CD77F0"/>
    <w:rsid w:val="00CE1993"/>
    <w:rsid w:val="00D550B3"/>
    <w:rsid w:val="00D67119"/>
    <w:rsid w:val="00DA07F0"/>
    <w:rsid w:val="00DC0EE5"/>
    <w:rsid w:val="00DC6465"/>
    <w:rsid w:val="00DD1991"/>
    <w:rsid w:val="00E00A1B"/>
    <w:rsid w:val="00E03441"/>
    <w:rsid w:val="00E04149"/>
    <w:rsid w:val="00E04C8D"/>
    <w:rsid w:val="00E66814"/>
    <w:rsid w:val="00E70372"/>
    <w:rsid w:val="00E87C5E"/>
    <w:rsid w:val="00EA0B47"/>
    <w:rsid w:val="00EC1A68"/>
    <w:rsid w:val="00ED4299"/>
    <w:rsid w:val="00F04A4A"/>
    <w:rsid w:val="00F21AFB"/>
    <w:rsid w:val="00F923A1"/>
    <w:rsid w:val="00FA1C2D"/>
    <w:rsid w:val="00FD165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State"/>
  <w:smartTagType w:namespaceuri="urn:schemas-microsoft-com:office:smarttags" w:name="place"/>
  <w:shapeDefaults>
    <o:shapedefaults v:ext="edit" spidmax="1026"/>
    <o:shapelayout v:ext="edit">
      <o:idmap v:ext="edit" data="1"/>
    </o:shapelayout>
  </w:shapeDefaults>
  <w:decimalSymbol w:val="."/>
  <w:listSeparator w:val=","/>
  <w14:docId w14:val="727358A9"/>
  <w15:chartTrackingRefBased/>
  <w15:docId w15:val="{0EDEC53B-49AA-4D6C-8949-ABFCCE0909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A1C2D"/>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FA1C2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A1C2D"/>
  </w:style>
  <w:style w:type="paragraph" w:styleId="Header">
    <w:name w:val="header"/>
    <w:basedOn w:val="Normal"/>
    <w:link w:val="HeaderChar"/>
    <w:uiPriority w:val="99"/>
    <w:unhideWhenUsed/>
    <w:rsid w:val="00DC6465"/>
    <w:pPr>
      <w:tabs>
        <w:tab w:val="center" w:pos="4680"/>
        <w:tab w:val="right" w:pos="9360"/>
      </w:tabs>
      <w:spacing w:after="0" w:line="240" w:lineRule="auto"/>
    </w:pPr>
  </w:style>
  <w:style w:type="character" w:customStyle="1" w:styleId="HeaderChar">
    <w:name w:val="Header Char"/>
    <w:basedOn w:val="DefaultParagraphFont"/>
    <w:link w:val="Header"/>
    <w:uiPriority w:val="99"/>
    <w:rsid w:val="00DC6465"/>
  </w:style>
  <w:style w:type="paragraph" w:styleId="BalloonText">
    <w:name w:val="Balloon Text"/>
    <w:basedOn w:val="Normal"/>
    <w:link w:val="BalloonTextChar"/>
    <w:uiPriority w:val="99"/>
    <w:semiHidden/>
    <w:unhideWhenUsed/>
    <w:rsid w:val="004F4EE2"/>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F4EE2"/>
    <w:rPr>
      <w:rFonts w:ascii="Segoe UI" w:hAnsi="Segoe UI" w:cs="Segoe UI"/>
      <w:sz w:val="18"/>
      <w:szCs w:val="18"/>
    </w:rPr>
  </w:style>
  <w:style w:type="paragraph" w:styleId="FootnoteText">
    <w:name w:val="footnote text"/>
    <w:basedOn w:val="Normal"/>
    <w:link w:val="FootnoteTextChar"/>
    <w:uiPriority w:val="99"/>
    <w:unhideWhenUsed/>
    <w:rsid w:val="009A4E22"/>
    <w:pPr>
      <w:spacing w:after="0" w:line="240" w:lineRule="auto"/>
    </w:pPr>
    <w:rPr>
      <w:sz w:val="20"/>
      <w:szCs w:val="20"/>
    </w:rPr>
  </w:style>
  <w:style w:type="character" w:customStyle="1" w:styleId="FootnoteTextChar">
    <w:name w:val="Footnote Text Char"/>
    <w:basedOn w:val="DefaultParagraphFont"/>
    <w:link w:val="FootnoteText"/>
    <w:uiPriority w:val="99"/>
    <w:rsid w:val="009A4E22"/>
    <w:rPr>
      <w:sz w:val="20"/>
      <w:szCs w:val="20"/>
    </w:rPr>
  </w:style>
  <w:style w:type="character" w:styleId="FootnoteReference">
    <w:name w:val="footnote reference"/>
    <w:basedOn w:val="DefaultParagraphFont"/>
    <w:uiPriority w:val="99"/>
    <w:semiHidden/>
    <w:unhideWhenUsed/>
    <w:rsid w:val="009A4E22"/>
    <w:rPr>
      <w:vertAlign w:val="superscript"/>
    </w:rPr>
  </w:style>
  <w:style w:type="paragraph" w:customStyle="1" w:styleId="ParaTab1">
    <w:name w:val="ParaTab 1"/>
    <w:rsid w:val="00F04A4A"/>
    <w:pPr>
      <w:tabs>
        <w:tab w:val="left" w:pos="-720"/>
      </w:tabs>
      <w:suppressAutoHyphens/>
      <w:autoSpaceDE w:val="0"/>
      <w:autoSpaceDN w:val="0"/>
      <w:spacing w:after="0" w:line="240" w:lineRule="auto"/>
      <w:ind w:firstLine="1440"/>
    </w:pPr>
    <w:rPr>
      <w:rFonts w:ascii="CG Times" w:eastAsia="Times New Roman" w:hAnsi="CG Times" w:cs="CG Times"/>
      <w:sz w:val="24"/>
      <w:szCs w:val="24"/>
    </w:rPr>
  </w:style>
  <w:style w:type="paragraph" w:styleId="ListParagraph">
    <w:name w:val="List Paragraph"/>
    <w:basedOn w:val="Normal"/>
    <w:uiPriority w:val="34"/>
    <w:qFormat/>
    <w:rsid w:val="00F04A4A"/>
    <w:pPr>
      <w:autoSpaceDE w:val="0"/>
      <w:autoSpaceDN w:val="0"/>
      <w:spacing w:after="0" w:line="240" w:lineRule="auto"/>
      <w:ind w:left="720"/>
    </w:pPr>
    <w:rPr>
      <w:rFonts w:ascii="CG Times" w:eastAsia="Times New Roman" w:hAnsi="CG Times" w:cs="CG Times"/>
      <w:sz w:val="24"/>
      <w:szCs w:val="24"/>
    </w:rPr>
  </w:style>
  <w:style w:type="paragraph" w:styleId="BodyTextIndent">
    <w:name w:val="Body Text Indent"/>
    <w:basedOn w:val="Normal"/>
    <w:link w:val="BodyTextIndentChar"/>
    <w:rsid w:val="00F04A4A"/>
    <w:pPr>
      <w:widowControl w:val="0"/>
      <w:autoSpaceDE w:val="0"/>
      <w:autoSpaceDN w:val="0"/>
      <w:spacing w:after="0" w:line="360" w:lineRule="auto"/>
      <w:ind w:firstLine="1440"/>
    </w:pPr>
    <w:rPr>
      <w:rFonts w:ascii="Times New Roman" w:eastAsia="Times New Roman" w:hAnsi="Times New Roman" w:cs="Times New Roman"/>
      <w:sz w:val="26"/>
      <w:szCs w:val="26"/>
    </w:rPr>
  </w:style>
  <w:style w:type="character" w:customStyle="1" w:styleId="BodyTextIndentChar">
    <w:name w:val="Body Text Indent Char"/>
    <w:basedOn w:val="DefaultParagraphFont"/>
    <w:link w:val="BodyTextIndent"/>
    <w:rsid w:val="00F04A4A"/>
    <w:rPr>
      <w:rFonts w:ascii="Times New Roman" w:eastAsia="Times New Roman" w:hAnsi="Times New Roman" w:cs="Times New Roman"/>
      <w:sz w:val="26"/>
      <w:szCs w:val="26"/>
    </w:rPr>
  </w:style>
  <w:style w:type="paragraph" w:styleId="NoSpacing">
    <w:name w:val="No Spacing"/>
    <w:uiPriority w:val="1"/>
    <w:qFormat/>
    <w:rsid w:val="00F04A4A"/>
    <w:pPr>
      <w:spacing w:after="0" w:line="240" w:lineRule="auto"/>
    </w:pPr>
    <w:rPr>
      <w:rFonts w:ascii="Times New Roman" w:eastAsia="Times New Roman" w:hAnsi="Times New Roman" w:cs="Times New Roman"/>
      <w:sz w:val="24"/>
      <w:szCs w:val="20"/>
    </w:rPr>
  </w:style>
  <w:style w:type="character" w:customStyle="1" w:styleId="cf01">
    <w:name w:val="cf01"/>
    <w:basedOn w:val="DefaultParagraphFont"/>
    <w:rsid w:val="00F04A4A"/>
    <w:rPr>
      <w:rFonts w:ascii="Segoe UI" w:hAnsi="Segoe UI" w:cs="Segoe UI" w:hint="default"/>
      <w:sz w:val="18"/>
      <w:szCs w:val="18"/>
    </w:rPr>
  </w:style>
  <w:style w:type="character" w:customStyle="1" w:styleId="cf11">
    <w:name w:val="cf11"/>
    <w:basedOn w:val="DefaultParagraphFont"/>
    <w:rsid w:val="00F04A4A"/>
    <w:rPr>
      <w:rFonts w:ascii="Segoe UI" w:hAnsi="Segoe UI" w:cs="Segoe UI" w:hint="default"/>
      <w:i/>
      <w:iCs/>
      <w:sz w:val="18"/>
      <w:szCs w:val="18"/>
    </w:rPr>
  </w:style>
  <w:style w:type="character" w:styleId="Hyperlink">
    <w:name w:val="Hyperlink"/>
    <w:basedOn w:val="DefaultParagraphFont"/>
    <w:uiPriority w:val="99"/>
    <w:unhideWhenUsed/>
    <w:rsid w:val="00B4435D"/>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399674486">
      <w:bodyDiv w:val="1"/>
      <w:marLeft w:val="0"/>
      <w:marRight w:val="0"/>
      <w:marTop w:val="0"/>
      <w:marBottom w:val="0"/>
      <w:divBdr>
        <w:top w:val="none" w:sz="0" w:space="0" w:color="auto"/>
        <w:left w:val="none" w:sz="0" w:space="0" w:color="auto"/>
        <w:bottom w:val="none" w:sz="0" w:space="0" w:color="auto"/>
        <w:right w:val="none" w:sz="0" w:space="0" w:color="auto"/>
      </w:divBdr>
      <w:divsChild>
        <w:div w:id="259919972">
          <w:marLeft w:val="0"/>
          <w:marRight w:val="0"/>
          <w:marTop w:val="0"/>
          <w:marBottom w:val="0"/>
          <w:divBdr>
            <w:top w:val="none" w:sz="0" w:space="0" w:color="auto"/>
            <w:left w:val="none" w:sz="0" w:space="0" w:color="auto"/>
            <w:bottom w:val="none" w:sz="0" w:space="0" w:color="auto"/>
            <w:right w:val="none" w:sz="0" w:space="0" w:color="auto"/>
          </w:divBdr>
          <w:divsChild>
            <w:div w:id="155730612">
              <w:marLeft w:val="-225"/>
              <w:marRight w:val="-225"/>
              <w:marTop w:val="0"/>
              <w:marBottom w:val="0"/>
              <w:divBdr>
                <w:top w:val="none" w:sz="0" w:space="0" w:color="auto"/>
                <w:left w:val="none" w:sz="0" w:space="0" w:color="auto"/>
                <w:bottom w:val="none" w:sz="0" w:space="0" w:color="auto"/>
                <w:right w:val="none" w:sz="0" w:space="0" w:color="auto"/>
              </w:divBdr>
              <w:divsChild>
                <w:div w:id="1994094510">
                  <w:marLeft w:val="0"/>
                  <w:marRight w:val="0"/>
                  <w:marTop w:val="0"/>
                  <w:marBottom w:val="0"/>
                  <w:divBdr>
                    <w:top w:val="none" w:sz="0" w:space="0" w:color="auto"/>
                    <w:left w:val="none" w:sz="0" w:space="0" w:color="auto"/>
                    <w:bottom w:val="none" w:sz="0" w:space="0" w:color="auto"/>
                    <w:right w:val="none" w:sz="0" w:space="0" w:color="auto"/>
                  </w:divBdr>
                  <w:divsChild>
                    <w:div w:id="590285164">
                      <w:marLeft w:val="0"/>
                      <w:marRight w:val="0"/>
                      <w:marTop w:val="0"/>
                      <w:marBottom w:val="0"/>
                      <w:divBdr>
                        <w:top w:val="none" w:sz="0" w:space="0" w:color="auto"/>
                        <w:left w:val="none" w:sz="0" w:space="0" w:color="auto"/>
                        <w:bottom w:val="none" w:sz="0" w:space="0" w:color="auto"/>
                        <w:right w:val="none" w:sz="0" w:space="0" w:color="auto"/>
                      </w:divBdr>
                      <w:divsChild>
                        <w:div w:id="1026519662">
                          <w:marLeft w:val="0"/>
                          <w:marRight w:val="0"/>
                          <w:marTop w:val="0"/>
                          <w:marBottom w:val="0"/>
                          <w:divBdr>
                            <w:top w:val="none" w:sz="0" w:space="0" w:color="auto"/>
                            <w:left w:val="none" w:sz="0" w:space="0" w:color="auto"/>
                            <w:bottom w:val="none" w:sz="0" w:space="0" w:color="auto"/>
                            <w:right w:val="none" w:sz="0" w:space="0" w:color="auto"/>
                          </w:divBdr>
                          <w:divsChild>
                            <w:div w:id="1741755371">
                              <w:marLeft w:val="0"/>
                              <w:marRight w:val="0"/>
                              <w:marTop w:val="0"/>
                              <w:marBottom w:val="0"/>
                              <w:divBdr>
                                <w:top w:val="none" w:sz="0" w:space="0" w:color="auto"/>
                                <w:left w:val="none" w:sz="0" w:space="0" w:color="auto"/>
                                <w:bottom w:val="none" w:sz="0" w:space="0" w:color="auto"/>
                                <w:right w:val="none" w:sz="0" w:space="0" w:color="auto"/>
                              </w:divBdr>
                              <w:divsChild>
                                <w:div w:id="1656644564">
                                  <w:marLeft w:val="0"/>
                                  <w:marRight w:val="0"/>
                                  <w:marTop w:val="0"/>
                                  <w:marBottom w:val="0"/>
                                  <w:divBdr>
                                    <w:top w:val="none" w:sz="0" w:space="0" w:color="auto"/>
                                    <w:left w:val="none" w:sz="0" w:space="0" w:color="auto"/>
                                    <w:bottom w:val="none" w:sz="0" w:space="0" w:color="auto"/>
                                    <w:right w:val="none" w:sz="0" w:space="0" w:color="auto"/>
                                  </w:divBdr>
                                  <w:divsChild>
                                    <w:div w:id="1954288731">
                                      <w:blockQuote w:val="1"/>
                                      <w:marLeft w:val="0"/>
                                      <w:marRight w:val="0"/>
                                      <w:marTop w:val="0"/>
                                      <w:marBottom w:val="300"/>
                                      <w:divBdr>
                                        <w:top w:val="none" w:sz="0" w:space="0" w:color="auto"/>
                                        <w:left w:val="single" w:sz="36" w:space="15" w:color="EEEEEE"/>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mailto:llepkoski@firstenergycorp.com"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tgiesler@firstenergycorp.com" TargetMode="External"/><Relationship Id="rId5" Type="http://schemas.openxmlformats.org/officeDocument/2006/relationships/webSettings" Target="webSettings.xml"/><Relationship Id="rId15" Type="http://schemas.openxmlformats.org/officeDocument/2006/relationships/theme" Target="theme/theme1.xml"/><Relationship Id="rId10" Type="http://schemas.openxmlformats.org/officeDocument/2006/relationships/hyperlink" Target="mailto:mpglawyer@msn.com" TargetMode="External"/><Relationship Id="rId4" Type="http://schemas.openxmlformats.org/officeDocument/2006/relationships/settings" Target="settings.xml"/><Relationship Id="rId9" Type="http://schemas.openxmlformats.org/officeDocument/2006/relationships/hyperlink" Target="mailto:donna@wholechildpediatrictherapy.com" TargetMode="Externa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9798219-2716-4965-9616-E396F5F7066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765</Words>
  <Characters>4364</Characters>
  <Application>Microsoft Office Word</Application>
  <DocSecurity>4</DocSecurity>
  <Lines>36</Lines>
  <Paragraphs>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5119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Watson, Jeffrey</dc:creator>
  <cp:keywords/>
  <dc:description/>
  <cp:lastModifiedBy>Williams, Bobbie Jo</cp:lastModifiedBy>
  <cp:revision>2</cp:revision>
  <cp:lastPrinted>2023-12-12T20:02:00Z</cp:lastPrinted>
  <dcterms:created xsi:type="dcterms:W3CDTF">2023-12-12T20:25:00Z</dcterms:created>
  <dcterms:modified xsi:type="dcterms:W3CDTF">2023-12-12T20:25:00Z</dcterms:modified>
</cp:coreProperties>
</file>