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09DA" w14:textId="77777777" w:rsidR="004D0A01" w:rsidRDefault="004D0A01" w:rsidP="009A2BB1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eastAsia="Calibri" w:cs="Times New Roman"/>
          <w:b/>
          <w:szCs w:val="24"/>
        </w:rPr>
      </w:pPr>
      <w:bookmarkStart w:id="0" w:name="_Hlk153268955"/>
      <w:r>
        <w:rPr>
          <w:rFonts w:eastAsia="Calibri" w:cs="Times New Roman"/>
          <w:b/>
          <w:caps/>
          <w:szCs w:val="24"/>
        </w:rPr>
        <w:t>Before the</w:t>
      </w:r>
    </w:p>
    <w:p w14:paraId="0938C385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PENNSYLVANIA PUBLIC UTILITY COMMISSION</w:t>
      </w:r>
    </w:p>
    <w:p w14:paraId="61B17831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14:paraId="705CD673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  <w:u w:val="single"/>
        </w:rPr>
      </w:pPr>
    </w:p>
    <w:p w14:paraId="349BF423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  <w:u w:val="single"/>
        </w:rPr>
      </w:pPr>
    </w:p>
    <w:p w14:paraId="5DF1AE04" w14:textId="7B8FCB52" w:rsidR="004D0A01" w:rsidRDefault="001C4924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Jessica Struthers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  <w:t>:</w:t>
      </w:r>
      <w:r w:rsidR="004D0A01">
        <w:rPr>
          <w:rFonts w:eastAsia="Calibri" w:cs="Times New Roman"/>
          <w:szCs w:val="24"/>
        </w:rPr>
        <w:tab/>
      </w:r>
      <w:bookmarkStart w:id="1" w:name="_Hlk153264019"/>
      <w:r w:rsidR="004D5C7A">
        <w:rPr>
          <w:rFonts w:eastAsia="Calibri" w:cs="Times New Roman"/>
          <w:szCs w:val="24"/>
        </w:rPr>
        <w:tab/>
      </w:r>
      <w:r w:rsidR="009D733B" w:rsidRPr="009D733B">
        <w:rPr>
          <w:rFonts w:eastAsia="Calibri" w:cs="Times New Roman"/>
          <w:szCs w:val="24"/>
        </w:rPr>
        <w:t>C-202</w:t>
      </w:r>
      <w:r>
        <w:rPr>
          <w:rFonts w:eastAsia="Calibri" w:cs="Times New Roman"/>
          <w:szCs w:val="24"/>
        </w:rPr>
        <w:t>3-304</w:t>
      </w:r>
      <w:r w:rsidR="00E04D17">
        <w:rPr>
          <w:rFonts w:eastAsia="Calibri" w:cs="Times New Roman"/>
          <w:szCs w:val="24"/>
        </w:rPr>
        <w:t>3068</w:t>
      </w:r>
    </w:p>
    <w:bookmarkEnd w:id="1"/>
    <w:p w14:paraId="1BADBE59" w14:textId="31F1E4A3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  <w:r w:rsidR="009D733B">
        <w:rPr>
          <w:rFonts w:eastAsia="Calibri" w:cs="Times New Roman"/>
          <w:szCs w:val="24"/>
        </w:rPr>
        <w:tab/>
      </w:r>
    </w:p>
    <w:p w14:paraId="736C2F93" w14:textId="7385269B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  <w:t>v.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p w14:paraId="186A130A" w14:textId="77777777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</w:p>
    <w:p w14:paraId="38692B31" w14:textId="4B879751" w:rsidR="004D0A01" w:rsidRDefault="00726E7A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bookmarkStart w:id="2" w:name="_Hlk153189923"/>
      <w:r>
        <w:rPr>
          <w:rFonts w:eastAsia="Calibri" w:cs="Times New Roman"/>
          <w:szCs w:val="24"/>
        </w:rPr>
        <w:t>Venango Water Company</w:t>
      </w:r>
      <w:bookmarkEnd w:id="2"/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F06634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>:</w:t>
      </w:r>
    </w:p>
    <w:p w14:paraId="4D88E845" w14:textId="0F29AA79" w:rsidR="00260CC8" w:rsidRDefault="00260CC8" w:rsidP="009A2BB1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35AAD85C" w14:textId="56780877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</w:p>
    <w:bookmarkEnd w:id="0"/>
    <w:p w14:paraId="763B07ED" w14:textId="77777777" w:rsidR="004D0A01" w:rsidRDefault="004D0A01" w:rsidP="009A2BB1">
      <w:pPr>
        <w:spacing w:after="0" w:line="240" w:lineRule="auto"/>
        <w:rPr>
          <w:rFonts w:eastAsia="Calibri" w:cs="Times New Roman"/>
          <w:szCs w:val="24"/>
        </w:rPr>
      </w:pPr>
    </w:p>
    <w:p w14:paraId="7F42284C" w14:textId="77777777" w:rsidR="00726E7A" w:rsidRDefault="001A75EB" w:rsidP="00726E7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AE3BF0">
        <w:rPr>
          <w:rFonts w:eastAsia="Calibri" w:cs="Times New Roman"/>
          <w:b/>
          <w:bCs/>
          <w:szCs w:val="24"/>
        </w:rPr>
        <w:t>INTERIM ORDER</w:t>
      </w:r>
      <w:r w:rsidR="00726E7A">
        <w:rPr>
          <w:rFonts w:eastAsia="Calibri" w:cs="Times New Roman"/>
          <w:b/>
          <w:bCs/>
          <w:szCs w:val="24"/>
        </w:rPr>
        <w:t xml:space="preserve"> </w:t>
      </w:r>
    </w:p>
    <w:p w14:paraId="6F06C775" w14:textId="77777777" w:rsidR="0024069A" w:rsidRPr="0024069A" w:rsidRDefault="0024069A" w:rsidP="00726E7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24069A">
        <w:rPr>
          <w:rFonts w:eastAsia="Calibri" w:cs="Times New Roman"/>
          <w:b/>
          <w:bCs/>
          <w:szCs w:val="24"/>
        </w:rPr>
        <w:t xml:space="preserve">DIRECTING RESPONDENT TO CAUSE COUNSEL </w:t>
      </w:r>
    </w:p>
    <w:p w14:paraId="1BF14799" w14:textId="6567FD3F" w:rsidR="001A75EB" w:rsidRPr="00D456A6" w:rsidRDefault="0024069A" w:rsidP="00726E7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D456A6">
        <w:rPr>
          <w:rFonts w:eastAsia="Calibri" w:cs="Times New Roman"/>
          <w:b/>
          <w:bCs/>
          <w:szCs w:val="24"/>
        </w:rPr>
        <w:t>TO ENTER AN APPEARANCE</w:t>
      </w:r>
      <w:r w:rsidR="00D456A6" w:rsidRPr="00D456A6">
        <w:rPr>
          <w:rFonts w:eastAsia="Calibri" w:cs="Times New Roman"/>
          <w:b/>
          <w:bCs/>
          <w:szCs w:val="24"/>
        </w:rPr>
        <w:t xml:space="preserve"> AND ORDERING AQUA TO SHOW CAUSE AS TO </w:t>
      </w:r>
      <w:r w:rsidR="00D456A6" w:rsidRPr="00D456A6">
        <w:rPr>
          <w:rFonts w:eastAsia="Calibri" w:cs="Times New Roman"/>
          <w:b/>
          <w:bCs/>
          <w:szCs w:val="24"/>
          <w:u w:val="single"/>
        </w:rPr>
        <w:t xml:space="preserve">WHY IT SHOUD NOT BE JOINED AS AN INDISPENSIBLE PARTY </w:t>
      </w:r>
    </w:p>
    <w:p w14:paraId="4D93F82B" w14:textId="77777777" w:rsidR="001A75EB" w:rsidRDefault="001A75EB" w:rsidP="002C2EC5">
      <w:pPr>
        <w:spacing w:after="0"/>
        <w:rPr>
          <w:rFonts w:eastAsia="Calibri" w:cs="Times New Roman"/>
          <w:szCs w:val="24"/>
        </w:rPr>
      </w:pPr>
    </w:p>
    <w:p w14:paraId="22AFD53F" w14:textId="55E9AAD9" w:rsidR="005D512C" w:rsidRDefault="001A75EB" w:rsidP="002C2EC5">
      <w:pPr>
        <w:spacing w:after="0"/>
      </w:pPr>
      <w:r>
        <w:tab/>
      </w:r>
      <w:r>
        <w:tab/>
        <w:t>On</w:t>
      </w:r>
      <w:r w:rsidR="009F1C45">
        <w:t xml:space="preserve"> </w:t>
      </w:r>
      <w:r w:rsidR="0024069A">
        <w:t>December 6</w:t>
      </w:r>
      <w:r w:rsidR="006C66B8">
        <w:t>, 2023</w:t>
      </w:r>
      <w:r w:rsidR="0024069A">
        <w:t xml:space="preserve">, a prehearing conference convened was held in the above-captioned proceeding.  Ms. Struthers appeared and represented herself.  Randy Rhoades, Secretary and Part Owner of Venango Water Company (VWC) was present on behalf of VWC.  </w:t>
      </w:r>
      <w:r w:rsidR="003D3BA7">
        <w:t>Mr. Rhoades is not an attorney</w:t>
      </w:r>
      <w:r w:rsidR="003C60DB">
        <w:t xml:space="preserve">. </w:t>
      </w:r>
    </w:p>
    <w:p w14:paraId="363CAAE2" w14:textId="77777777" w:rsidR="005D512C" w:rsidRDefault="005D512C" w:rsidP="002C2EC5">
      <w:pPr>
        <w:spacing w:after="0"/>
      </w:pPr>
    </w:p>
    <w:p w14:paraId="7305C535" w14:textId="2D0191D3" w:rsidR="003C60DB" w:rsidRDefault="003C60DB" w:rsidP="003C60DB">
      <w:r>
        <w:tab/>
      </w:r>
      <w:r>
        <w:tab/>
        <w:t xml:space="preserve">According to Sections 1.21 through 1.23 of the Pennsylvania Public Utility Code, if a party is an individual, he or she may represent him- or herself, or the individual may be represented by an attorney licensed to practice law in the Commonwealth of </w:t>
      </w:r>
      <w:proofErr w:type="gramStart"/>
      <w:r>
        <w:t>Pennsylvania, or</w:t>
      </w:r>
      <w:proofErr w:type="gramEnd"/>
      <w:r>
        <w:t xml:space="preserve"> admitted </w:t>
      </w:r>
      <w:r>
        <w:rPr>
          <w:i/>
        </w:rPr>
        <w:t>Pro Hac Vice</w:t>
      </w:r>
      <w:r>
        <w:t xml:space="preserve">.  However, if a party is not an individual, such as a partnership, limited liability company, corporation, trust, association, or governmental agency or subdivision, the party must have an attorney licensed to practice law in the Commonwealth of </w:t>
      </w:r>
      <w:r w:rsidR="009F4FA7">
        <w:t>Pennsylvania or</w:t>
      </w:r>
      <w:r>
        <w:t xml:space="preserve"> admitted </w:t>
      </w:r>
      <w:r>
        <w:rPr>
          <w:i/>
        </w:rPr>
        <w:t>Pro Hac Vice</w:t>
      </w:r>
      <w:r>
        <w:t xml:space="preserve"> to represent the party at the hearing.  If a party is not an individual, and the party is not represented by an attorney, the party is not permitted to participate in the hearing.</w:t>
      </w:r>
    </w:p>
    <w:p w14:paraId="3F6B8887" w14:textId="7C981215" w:rsidR="003C60DB" w:rsidRDefault="003C60DB" w:rsidP="003C60DB">
      <w:r>
        <w:tab/>
      </w:r>
      <w:r>
        <w:tab/>
        <w:t xml:space="preserve">At the conference, Mr. Rhoades confirmed that VWC is a corporation.  </w:t>
      </w:r>
    </w:p>
    <w:p w14:paraId="0320DCE3" w14:textId="72BA2661" w:rsidR="003C60DB" w:rsidRDefault="003C60DB" w:rsidP="003C60DB">
      <w:r>
        <w:tab/>
      </w:r>
      <w:r>
        <w:tab/>
        <w:t xml:space="preserve">Under the Commission’s rules, </w:t>
      </w:r>
      <w:r w:rsidR="00D456A6">
        <w:t xml:space="preserve">it appears </w:t>
      </w:r>
      <w:r>
        <w:t xml:space="preserve">VWC must be represented by an attorney licensed to practice law in the Commonwealth of Pennsylvania or admitted </w:t>
      </w:r>
      <w:r w:rsidRPr="00CF5471">
        <w:rPr>
          <w:i/>
        </w:rPr>
        <w:t>Pro Hac Vice</w:t>
      </w:r>
      <w:r>
        <w:t xml:space="preserve">.  As of the date of this Order, no notice of appearance has been entered on VWC’s behalf.  </w:t>
      </w:r>
    </w:p>
    <w:p w14:paraId="0157A12B" w14:textId="55357893" w:rsidR="00A36548" w:rsidRDefault="003C60DB" w:rsidP="00A3654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djustRightInd w:val="0"/>
        <w:spacing w:after="0"/>
      </w:pPr>
      <w:r>
        <w:lastRenderedPageBreak/>
        <w:tab/>
      </w:r>
      <w:r>
        <w:tab/>
        <w:t xml:space="preserve">Therefore, VWC is hereby ordered to </w:t>
      </w:r>
      <w:r w:rsidR="00D456A6">
        <w:t xml:space="preserve">either: (1) cause counsel to </w:t>
      </w:r>
      <w:r>
        <w:t>enter his or her appearance consistent with the Commission’s rules</w:t>
      </w:r>
      <w:r w:rsidR="00D456A6">
        <w:t>, or (2) show cause as to why it is not required to be represented by counsel.</w:t>
      </w:r>
    </w:p>
    <w:p w14:paraId="0D73EEFB" w14:textId="77777777" w:rsidR="00A36548" w:rsidRDefault="00A36548" w:rsidP="00A3654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djustRightInd w:val="0"/>
        <w:spacing w:after="0"/>
      </w:pPr>
      <w:r>
        <w:tab/>
      </w:r>
      <w:r>
        <w:tab/>
      </w:r>
    </w:p>
    <w:p w14:paraId="4357B5E3" w14:textId="32AA871E" w:rsidR="00A36548" w:rsidRDefault="00A36548" w:rsidP="00A36548">
      <w:pPr>
        <w:spacing w:after="0"/>
        <w:ind w:firstLine="1440"/>
      </w:pPr>
      <w:r>
        <w:t xml:space="preserve">Further, </w:t>
      </w:r>
      <w:r w:rsidRPr="007C7217">
        <w:t xml:space="preserve">On August 11, 2023, the Commission issued an </w:t>
      </w:r>
      <w:r w:rsidRPr="007C7217">
        <w:rPr>
          <w:i/>
          <w:iCs/>
        </w:rPr>
        <w:t xml:space="preserve">Ex </w:t>
      </w:r>
      <w:proofErr w:type="spellStart"/>
      <w:r w:rsidRPr="007C7217">
        <w:rPr>
          <w:i/>
          <w:iCs/>
        </w:rPr>
        <w:t>Parte</w:t>
      </w:r>
      <w:proofErr w:type="spellEnd"/>
      <w:r w:rsidRPr="007C7217">
        <w:rPr>
          <w:i/>
          <w:iCs/>
        </w:rPr>
        <w:t xml:space="preserve"> Emergency Order</w:t>
      </w:r>
      <w:r w:rsidRPr="007C7217">
        <w:t xml:space="preserve"> at Docket No. M-2023-3042180 (Receivership Order)</w:t>
      </w:r>
      <w:r>
        <w:t xml:space="preserve">, initiating a proceeding pursuant to 66 Pa. C.S. </w:t>
      </w:r>
      <w:r>
        <w:rPr>
          <w:rFonts w:cs="Times New Roman"/>
        </w:rPr>
        <w:t>§</w:t>
      </w:r>
      <w:r>
        <w:t xml:space="preserve"> 529, where VWC shall “appear before the Commission to address these matters and, if necessary, provide reasonable solutions thereto.”</w:t>
      </w:r>
      <w:r>
        <w:rPr>
          <w:rStyle w:val="FootnoteReference"/>
        </w:rPr>
        <w:footnoteReference w:id="1"/>
      </w:r>
      <w:r>
        <w:t xml:space="preserve">  The Receivership Order also appointed Aqua Pennsylvania, Inc. (Aqua or Receiver) a receiver for VWC pursuant to 66 Pa. C.S. </w:t>
      </w:r>
      <w:r>
        <w:rPr>
          <w:rFonts w:cs="Times New Roman"/>
        </w:rPr>
        <w:t>§</w:t>
      </w:r>
      <w:r>
        <w:t xml:space="preserve"> 529(g).</w:t>
      </w:r>
      <w:r>
        <w:rPr>
          <w:rStyle w:val="FootnoteReference"/>
        </w:rPr>
        <w:footnoteReference w:id="2"/>
      </w:r>
      <w:r w:rsidRPr="007C7217">
        <w:t xml:space="preserve"> </w:t>
      </w:r>
      <w:r>
        <w:t xml:space="preserve"> </w:t>
      </w:r>
      <w:r w:rsidRPr="007C7217">
        <w:t xml:space="preserve">The Receivership Order was ratified by the Commission through its Ratification Order entered on August 24, 2023. </w:t>
      </w:r>
      <w:r>
        <w:t xml:space="preserve"> </w:t>
      </w:r>
      <w:r w:rsidRPr="007C7217">
        <w:t>Aqua was directed to assume its Receivership role on August 12, 2023.</w:t>
      </w:r>
      <w:r>
        <w:t xml:space="preserve"> </w:t>
      </w:r>
    </w:p>
    <w:p w14:paraId="16E99E42" w14:textId="77777777" w:rsidR="00A36548" w:rsidRDefault="00A36548" w:rsidP="00A36548">
      <w:pPr>
        <w:spacing w:after="0"/>
        <w:ind w:firstLine="1440"/>
      </w:pPr>
    </w:p>
    <w:p w14:paraId="1B6906D2" w14:textId="77777777" w:rsidR="00A36548" w:rsidRDefault="00A36548" w:rsidP="00A36548">
      <w:pPr>
        <w:spacing w:after="0"/>
        <w:ind w:firstLine="1440"/>
      </w:pPr>
      <w:r>
        <w:t xml:space="preserve">The Commission’s Investigation of VWC is docketed at </w:t>
      </w:r>
      <w:r w:rsidRPr="008E2E9E">
        <w:t>I-2023-3042312</w:t>
      </w:r>
      <w:r>
        <w:t xml:space="preserve">.  </w:t>
      </w:r>
    </w:p>
    <w:p w14:paraId="27376CA6" w14:textId="77777777" w:rsidR="00A36548" w:rsidRDefault="00A36548" w:rsidP="00A36548">
      <w:pPr>
        <w:spacing w:after="0"/>
        <w:ind w:firstLine="1440"/>
      </w:pPr>
    </w:p>
    <w:p w14:paraId="144FE54A" w14:textId="77777777" w:rsidR="00A36548" w:rsidRDefault="00A36548" w:rsidP="00A36548">
      <w:pPr>
        <w:spacing w:after="0"/>
        <w:ind w:firstLine="1440"/>
      </w:pPr>
      <w:r>
        <w:t xml:space="preserve">Ms. Struthers’ Formal Complaint docketed at this docket </w:t>
      </w:r>
      <w:proofErr w:type="gramStart"/>
      <w:r>
        <w:t>number</w:t>
      </w:r>
      <w:proofErr w:type="gramEnd"/>
      <w:r>
        <w:t xml:space="preserve"> </w:t>
      </w:r>
    </w:p>
    <w:p w14:paraId="535F63D5" w14:textId="68E234F7" w:rsidR="00A36548" w:rsidRDefault="00A36548" w:rsidP="00A36548">
      <w:pPr>
        <w:spacing w:after="0"/>
      </w:pPr>
      <w:r>
        <w:t>(</w:t>
      </w:r>
      <w:r w:rsidRPr="009D733B">
        <w:rPr>
          <w:rFonts w:eastAsia="Calibri" w:cs="Times New Roman"/>
          <w:szCs w:val="24"/>
        </w:rPr>
        <w:t>C-202</w:t>
      </w:r>
      <w:r>
        <w:rPr>
          <w:rFonts w:eastAsia="Calibri" w:cs="Times New Roman"/>
          <w:szCs w:val="24"/>
        </w:rPr>
        <w:t xml:space="preserve">3-3043068) is also docketed at </w:t>
      </w:r>
      <w:r w:rsidRPr="008E2E9E">
        <w:t>I-2023-3042312</w:t>
      </w:r>
      <w:r>
        <w:t xml:space="preserve">.  The M docket is currently assigned to the Commission’s Law Bureau, and the </w:t>
      </w:r>
      <w:r w:rsidR="00563DCB">
        <w:t>I</w:t>
      </w:r>
      <w:r>
        <w:t xml:space="preserve"> docket is assigned to the Commission’s Bureau of Investigation and Enforcement. </w:t>
      </w:r>
    </w:p>
    <w:p w14:paraId="5E72E370" w14:textId="77777777" w:rsidR="00A36548" w:rsidRDefault="00A36548" w:rsidP="00A36548">
      <w:pPr>
        <w:spacing w:after="0"/>
      </w:pPr>
    </w:p>
    <w:p w14:paraId="125B896C" w14:textId="77777777" w:rsidR="00F417A6" w:rsidRDefault="00A36548" w:rsidP="00F417A6">
      <w:pPr>
        <w:spacing w:after="0"/>
      </w:pPr>
      <w:r>
        <w:tab/>
      </w:r>
      <w:r>
        <w:tab/>
        <w:t xml:space="preserve">Aqua filed an initial status report filed at Docket Nos. </w:t>
      </w:r>
      <w:r w:rsidRPr="008E2E9E">
        <w:t>I-2023-3042312</w:t>
      </w:r>
      <w:r>
        <w:t xml:space="preserve"> and </w:t>
      </w:r>
      <w:r w:rsidRPr="007C7217">
        <w:t>M-2023-3042180</w:t>
      </w:r>
      <w:r>
        <w:t xml:space="preserve">.  Aqua indicates it will file an updated status report on or before January 9, 2024. </w:t>
      </w:r>
    </w:p>
    <w:p w14:paraId="72C887B3" w14:textId="77777777" w:rsidR="00F417A6" w:rsidRDefault="00F417A6" w:rsidP="00F417A6">
      <w:pPr>
        <w:spacing w:after="0"/>
      </w:pPr>
    </w:p>
    <w:p w14:paraId="120AE0EE" w14:textId="6219C0CB" w:rsidR="00F417A6" w:rsidRDefault="00F417A6" w:rsidP="00F417A6">
      <w:pPr>
        <w:spacing w:after="0"/>
      </w:pPr>
      <w:r>
        <w:tab/>
      </w:r>
      <w:r>
        <w:tab/>
      </w:r>
      <w:r w:rsidR="00D456A6">
        <w:t>I</w:t>
      </w:r>
      <w:r>
        <w:t>t is necessary to issue a rule to show cause on Aqua</w:t>
      </w:r>
      <w:r w:rsidR="00D456A6">
        <w:t>, as receiver for VWC</w:t>
      </w:r>
      <w:r w:rsidR="00E031F8">
        <w:t xml:space="preserve">.  Aqua must </w:t>
      </w:r>
      <w:r w:rsidR="00D456A6">
        <w:t xml:space="preserve">show cause </w:t>
      </w:r>
      <w:r>
        <w:t xml:space="preserve">why it should not be joined as an indispensable party to this C-Docket.  </w:t>
      </w:r>
    </w:p>
    <w:p w14:paraId="4663CA86" w14:textId="77777777" w:rsidR="00F417A6" w:rsidRDefault="00F417A6" w:rsidP="004C5C96">
      <w:pPr>
        <w:spacing w:after="0"/>
      </w:pPr>
    </w:p>
    <w:p w14:paraId="7D5D5C21" w14:textId="77777777" w:rsidR="00F417A6" w:rsidRPr="00EF0D81" w:rsidRDefault="00F417A6" w:rsidP="00F417A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djustRightInd w:val="0"/>
        <w:spacing w:after="0"/>
        <w:rPr>
          <w:rFonts w:eastAsia="Times New Roman"/>
          <w:b/>
        </w:rPr>
      </w:pPr>
    </w:p>
    <w:p w14:paraId="01A0E786" w14:textId="77777777" w:rsidR="00F417A6" w:rsidRDefault="00F417A6" w:rsidP="00F417A6">
      <w:pPr>
        <w:spacing w:after="0"/>
      </w:pPr>
    </w:p>
    <w:p w14:paraId="2F1E1A7B" w14:textId="1A7B7B2B" w:rsidR="003C60DB" w:rsidRDefault="003C60DB" w:rsidP="003C60DB">
      <w:pPr>
        <w:ind w:left="720" w:firstLine="720"/>
      </w:pPr>
      <w:r>
        <w:lastRenderedPageBreak/>
        <w:t>THEREFORE,</w:t>
      </w:r>
    </w:p>
    <w:p w14:paraId="3EEA419A" w14:textId="1E2F209B" w:rsidR="003C60DB" w:rsidRDefault="003C60DB" w:rsidP="003C60DB">
      <w:pPr>
        <w:ind w:left="720" w:firstLine="720"/>
      </w:pPr>
      <w:r>
        <w:t>IT IS ORDERED:</w:t>
      </w:r>
    </w:p>
    <w:p w14:paraId="3BE37761" w14:textId="5AA52FDE" w:rsidR="003C60DB" w:rsidRDefault="003C60DB" w:rsidP="00355062">
      <w:pPr>
        <w:pStyle w:val="ListParagraph"/>
      </w:pPr>
      <w:r>
        <w:t xml:space="preserve">That </w:t>
      </w:r>
      <w:r w:rsidRPr="00355062">
        <w:rPr>
          <w:rFonts w:eastAsia="Calibri" w:cs="Times New Roman"/>
          <w:szCs w:val="24"/>
        </w:rPr>
        <w:t>Venango Water Company</w:t>
      </w:r>
      <w:r>
        <w:t xml:space="preserve"> shall, </w:t>
      </w:r>
      <w:r w:rsidRPr="00355062">
        <w:rPr>
          <w:b/>
          <w:bCs/>
        </w:rPr>
        <w:t xml:space="preserve">by </w:t>
      </w:r>
      <w:r w:rsidR="00F417A6" w:rsidRPr="00355062">
        <w:rPr>
          <w:b/>
          <w:bCs/>
        </w:rPr>
        <w:t>January 5</w:t>
      </w:r>
      <w:r w:rsidRPr="00355062">
        <w:rPr>
          <w:b/>
          <w:bCs/>
        </w:rPr>
        <w:t>, 202</w:t>
      </w:r>
      <w:r w:rsidR="00F417A6" w:rsidRPr="00355062">
        <w:rPr>
          <w:b/>
          <w:bCs/>
        </w:rPr>
        <w:t>4</w:t>
      </w:r>
      <w:r>
        <w:t xml:space="preserve">, either: (1) cause its counsel to enter his or her appearance in accordance with the provisions of 52 </w:t>
      </w:r>
      <w:proofErr w:type="spellStart"/>
      <w:proofErr w:type="gramStart"/>
      <w:r>
        <w:t>Pa.Code</w:t>
      </w:r>
      <w:proofErr w:type="spellEnd"/>
      <w:proofErr w:type="gramEnd"/>
      <w:r>
        <w:t xml:space="preserve"> § 1.24(b), or (2) show cause as to why it is not required to be represented by counsel under the Commission’s rules. </w:t>
      </w:r>
    </w:p>
    <w:p w14:paraId="065A8B78" w14:textId="77777777" w:rsidR="00355062" w:rsidRDefault="00355062" w:rsidP="00355062">
      <w:pPr>
        <w:spacing w:after="0"/>
      </w:pPr>
    </w:p>
    <w:p w14:paraId="11DFFBCB" w14:textId="6BC5A651" w:rsidR="00F417A6" w:rsidRPr="00355062" w:rsidRDefault="00F417A6" w:rsidP="00355062">
      <w:pPr>
        <w:pStyle w:val="ListParagraph"/>
        <w:rPr>
          <w:rFonts w:eastAsia="Calibri" w:cs="Times New Roman"/>
          <w:szCs w:val="24"/>
        </w:rPr>
      </w:pPr>
      <w:r>
        <w:t xml:space="preserve">That Aqua Pennsylvania, Inc. shall, </w:t>
      </w:r>
      <w:r w:rsidRPr="00355062">
        <w:rPr>
          <w:b/>
          <w:bCs/>
        </w:rPr>
        <w:t>by January 5, 2024,</w:t>
      </w:r>
      <w:r>
        <w:t xml:space="preserve"> show cause</w:t>
      </w:r>
      <w:proofErr w:type="gramStart"/>
      <w:r>
        <w:t>, by</w:t>
      </w:r>
      <w:proofErr w:type="gramEnd"/>
      <w:r>
        <w:t xml:space="preserve"> as to why it should not be joined as an indispensable party to the proceeding at </w:t>
      </w:r>
      <w:r w:rsidRPr="00355062">
        <w:rPr>
          <w:rFonts w:eastAsia="Calibri" w:cs="Times New Roman"/>
          <w:szCs w:val="24"/>
        </w:rPr>
        <w:t xml:space="preserve">C-2023-3043068, the Formal Complaint of Jessica Struthers v. Venango Water Company. </w:t>
      </w:r>
    </w:p>
    <w:p w14:paraId="43C15AD0" w14:textId="77777777" w:rsidR="00355062" w:rsidRPr="00355062" w:rsidRDefault="00355062" w:rsidP="00355062">
      <w:pPr>
        <w:spacing w:after="0"/>
        <w:rPr>
          <w:rFonts w:eastAsia="Calibri" w:cs="Times New Roman"/>
          <w:szCs w:val="24"/>
        </w:rPr>
      </w:pPr>
    </w:p>
    <w:p w14:paraId="7FD7DF1F" w14:textId="2F7799A7" w:rsidR="00F417A6" w:rsidRDefault="00F417A6" w:rsidP="00355062">
      <w:pPr>
        <w:pStyle w:val="ListParagraph"/>
      </w:pPr>
      <w:r>
        <w:rPr>
          <w:rFonts w:eastAsia="Calibri" w:cs="Times New Roman"/>
          <w:szCs w:val="24"/>
        </w:rPr>
        <w:t>That a copy of this Order be served upon all parties in</w:t>
      </w:r>
      <w:r w:rsidR="007D3E7A">
        <w:rPr>
          <w:rFonts w:eastAsia="Calibri" w:cs="Times New Roman"/>
          <w:szCs w:val="24"/>
        </w:rPr>
        <w:t xml:space="preserve"> </w:t>
      </w:r>
      <w:r w:rsidR="007D3E7A">
        <w:t xml:space="preserve">the proceedings at Docket Nos. </w:t>
      </w:r>
      <w:r w:rsidR="007D3E7A" w:rsidRPr="008E2E9E">
        <w:t>I-</w:t>
      </w:r>
      <w:bookmarkStart w:id="3" w:name="_Hlk153263982"/>
      <w:r w:rsidR="007D3E7A" w:rsidRPr="008E2E9E">
        <w:t>2023-3042312</w:t>
      </w:r>
      <w:r w:rsidR="007D3E7A">
        <w:t xml:space="preserve"> </w:t>
      </w:r>
      <w:bookmarkEnd w:id="3"/>
      <w:r w:rsidR="007D3E7A">
        <w:t xml:space="preserve">and </w:t>
      </w:r>
      <w:r w:rsidR="007D3E7A" w:rsidRPr="007C7217">
        <w:t>M-2023-3042180</w:t>
      </w:r>
      <w:r w:rsidR="007D3E7A">
        <w:t>.</w:t>
      </w:r>
    </w:p>
    <w:p w14:paraId="251EF3B1" w14:textId="77777777" w:rsidR="00355062" w:rsidRDefault="00355062" w:rsidP="00355062"/>
    <w:p w14:paraId="7176BDA7" w14:textId="23346AC4" w:rsidR="007D3E7A" w:rsidRDefault="007D3E7A" w:rsidP="00355062">
      <w:pPr>
        <w:spacing w:after="0"/>
      </w:pPr>
      <w:r>
        <w:tab/>
      </w:r>
      <w:r>
        <w:tab/>
        <w:t>4.</w:t>
      </w:r>
      <w:r>
        <w:tab/>
        <w:t xml:space="preserve">That the proceeding at </w:t>
      </w:r>
      <w:r w:rsidRPr="009D733B">
        <w:rPr>
          <w:rFonts w:eastAsia="Calibri" w:cs="Times New Roman"/>
          <w:szCs w:val="24"/>
        </w:rPr>
        <w:t>C-202</w:t>
      </w:r>
      <w:r>
        <w:rPr>
          <w:rFonts w:eastAsia="Calibri" w:cs="Times New Roman"/>
          <w:szCs w:val="24"/>
        </w:rPr>
        <w:t xml:space="preserve">3-3043068, the Formal Complaint of Jessica Struthers v. Venango Water Company, shall be stayed at least until </w:t>
      </w:r>
      <w:r w:rsidRPr="00A255D8">
        <w:rPr>
          <w:rFonts w:eastAsia="Calibri" w:cs="Times New Roman"/>
          <w:b/>
          <w:bCs/>
          <w:szCs w:val="24"/>
        </w:rPr>
        <w:t>January 19, 2024</w:t>
      </w:r>
      <w:r>
        <w:rPr>
          <w:rFonts w:eastAsia="Calibri" w:cs="Times New Roman"/>
          <w:szCs w:val="24"/>
        </w:rPr>
        <w:t xml:space="preserve">. </w:t>
      </w:r>
    </w:p>
    <w:p w14:paraId="40ACC802" w14:textId="77777777" w:rsidR="003C60DB" w:rsidRDefault="003C60DB" w:rsidP="00AD1B20">
      <w:pPr>
        <w:spacing w:after="0"/>
      </w:pPr>
    </w:p>
    <w:p w14:paraId="4420C2E1" w14:textId="77777777" w:rsidR="00AD1B20" w:rsidRDefault="00AD1B20" w:rsidP="00AD1B20">
      <w:pPr>
        <w:spacing w:after="0"/>
      </w:pPr>
    </w:p>
    <w:p w14:paraId="3F81D503" w14:textId="42F4D2ED" w:rsidR="003C60DB" w:rsidRPr="003C0D34" w:rsidRDefault="003C60DB" w:rsidP="009F4FA7">
      <w:pPr>
        <w:spacing w:after="0" w:line="240" w:lineRule="auto"/>
        <w:rPr>
          <w:rFonts w:eastAsia="Times New Roman"/>
          <w:szCs w:val="24"/>
        </w:rPr>
      </w:pPr>
      <w:r w:rsidRPr="003C0D34">
        <w:rPr>
          <w:rFonts w:eastAsia="Times New Roman"/>
          <w:szCs w:val="24"/>
        </w:rPr>
        <w:t xml:space="preserve">Date:  </w:t>
      </w:r>
      <w:r>
        <w:rPr>
          <w:rFonts w:eastAsia="Times New Roman"/>
          <w:szCs w:val="24"/>
          <w:u w:val="single"/>
        </w:rPr>
        <w:t>December 11, 2023</w:t>
      </w:r>
      <w:r w:rsidRPr="007B1AB5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  <w:u w:val="single"/>
        </w:rPr>
        <w:tab/>
      </w:r>
      <w:r w:rsidRPr="003C0D34">
        <w:rPr>
          <w:rFonts w:eastAsia="Times New Roman"/>
          <w:szCs w:val="24"/>
          <w:u w:val="single"/>
        </w:rPr>
        <w:tab/>
        <w:t>/s/</w:t>
      </w:r>
      <w:r w:rsidRPr="003C0D34">
        <w:rPr>
          <w:rFonts w:eastAsia="Times New Roman"/>
          <w:szCs w:val="24"/>
          <w:u w:val="single"/>
        </w:rPr>
        <w:tab/>
      </w:r>
      <w:r w:rsidRPr="003C0D34">
        <w:rPr>
          <w:rFonts w:eastAsia="Times New Roman"/>
          <w:szCs w:val="24"/>
          <w:u w:val="single"/>
        </w:rPr>
        <w:tab/>
      </w:r>
      <w:r w:rsidRPr="003C0D34">
        <w:rPr>
          <w:rFonts w:eastAsia="Times New Roman"/>
          <w:szCs w:val="24"/>
          <w:u w:val="single"/>
        </w:rPr>
        <w:tab/>
      </w:r>
    </w:p>
    <w:p w14:paraId="72D59739" w14:textId="4CE70581" w:rsidR="003C60DB" w:rsidRPr="003C0D34" w:rsidRDefault="003C60DB" w:rsidP="003C60DB">
      <w:pPr>
        <w:spacing w:after="0" w:line="240" w:lineRule="auto"/>
        <w:rPr>
          <w:rFonts w:eastAsia="Times New Roman"/>
          <w:szCs w:val="24"/>
        </w:rPr>
      </w:pP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>Emily I. DeVoe</w:t>
      </w:r>
    </w:p>
    <w:p w14:paraId="07175C53" w14:textId="77777777" w:rsidR="003C60DB" w:rsidRDefault="003C60DB" w:rsidP="003C60DB">
      <w:pPr>
        <w:spacing w:after="0" w:line="240" w:lineRule="auto"/>
        <w:rPr>
          <w:rFonts w:eastAsia="Times New Roman"/>
          <w:szCs w:val="24"/>
        </w:rPr>
      </w:pP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  <w:t>Administrative Law Judg</w:t>
      </w:r>
      <w:r>
        <w:rPr>
          <w:rFonts w:eastAsia="Times New Roman"/>
          <w:szCs w:val="24"/>
        </w:rPr>
        <w:t>e</w:t>
      </w:r>
    </w:p>
    <w:p w14:paraId="36962FD2" w14:textId="263D7DF2" w:rsidR="003C60DB" w:rsidRDefault="003C60DB" w:rsidP="002C2EC5">
      <w:pPr>
        <w:spacing w:after="0"/>
      </w:pPr>
    </w:p>
    <w:p w14:paraId="41749D57" w14:textId="77777777" w:rsidR="00E936E6" w:rsidRDefault="00E936E6" w:rsidP="00335CBA">
      <w:pPr>
        <w:spacing w:after="0"/>
      </w:pPr>
    </w:p>
    <w:p w14:paraId="451D805C" w14:textId="77777777" w:rsidR="00335CBA" w:rsidRDefault="00335CBA" w:rsidP="00335CBA">
      <w:pPr>
        <w:spacing w:after="0"/>
      </w:pPr>
    </w:p>
    <w:p w14:paraId="1097BDAD" w14:textId="77777777" w:rsidR="00335CBA" w:rsidRDefault="00335CBA" w:rsidP="00335CBA">
      <w:pPr>
        <w:rPr>
          <w:rFonts w:ascii="Microsoft Sans Serif" w:eastAsia="Microsoft Sans Serif" w:hAnsi="Microsoft Sans Serif" w:cs="Microsoft Sans Serif"/>
          <w:b/>
          <w:u w:val="single"/>
        </w:rPr>
        <w:sectPr w:rsidR="00335CBA" w:rsidSect="00B80D66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1E5D77D" w14:textId="625EB47A" w:rsidR="00335CBA" w:rsidRDefault="00335CBA" w:rsidP="00335CB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C-2023-3043068 - JESSICA </w:t>
      </w:r>
      <w:r w:rsidR="00C5145C">
        <w:rPr>
          <w:rFonts w:ascii="Microsoft Sans Serif" w:eastAsia="Microsoft Sans Serif" w:hAnsi="Microsoft Sans Serif" w:cs="Microsoft Sans Serif"/>
          <w:b/>
          <w:u w:val="single"/>
        </w:rPr>
        <w:t>STRUTHERS v.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VENANGO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JESSICA STRUTHERS</w:t>
      </w:r>
      <w:r>
        <w:rPr>
          <w:rFonts w:ascii="Microsoft Sans Serif" w:eastAsia="Microsoft Sans Serif" w:hAnsi="Microsoft Sans Serif" w:cs="Microsoft Sans Serif"/>
        </w:rPr>
        <w:cr/>
        <w:t>822 WALNUT STREET</w:t>
      </w:r>
      <w:r>
        <w:rPr>
          <w:rFonts w:ascii="Microsoft Sans Serif" w:eastAsia="Microsoft Sans Serif" w:hAnsi="Microsoft Sans Serif" w:cs="Microsoft Sans Serif"/>
        </w:rPr>
        <w:cr/>
        <w:t>PO BOX 56</w:t>
      </w:r>
      <w:r>
        <w:rPr>
          <w:rFonts w:ascii="Microsoft Sans Serif" w:eastAsia="Microsoft Sans Serif" w:hAnsi="Microsoft Sans Serif" w:cs="Microsoft Sans Serif"/>
        </w:rPr>
        <w:cr/>
        <w:t>RENO PA  16343</w:t>
      </w:r>
      <w:r>
        <w:rPr>
          <w:rFonts w:ascii="Microsoft Sans Serif" w:eastAsia="Microsoft Sans Serif" w:hAnsi="Microsoft Sans Serif" w:cs="Microsoft Sans Serif"/>
        </w:rPr>
        <w:cr/>
      </w:r>
      <w:r w:rsidRPr="00235F1A">
        <w:rPr>
          <w:rFonts w:ascii="Microsoft Sans Serif" w:eastAsia="Microsoft Sans Serif" w:hAnsi="Microsoft Sans Serif" w:cs="Microsoft Sans Serif"/>
          <w:b/>
          <w:bCs/>
        </w:rPr>
        <w:t>814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35F1A">
        <w:rPr>
          <w:rFonts w:ascii="Microsoft Sans Serif" w:eastAsia="Microsoft Sans Serif" w:hAnsi="Microsoft Sans Serif" w:cs="Microsoft Sans Serif"/>
          <w:b/>
          <w:bCs/>
        </w:rPr>
        <w:t>516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35F1A">
        <w:rPr>
          <w:rFonts w:ascii="Microsoft Sans Serif" w:eastAsia="Microsoft Sans Serif" w:hAnsi="Microsoft Sans Serif" w:cs="Microsoft Sans Serif"/>
          <w:b/>
          <w:bCs/>
        </w:rPr>
        <w:t>2145</w:t>
      </w:r>
      <w:r w:rsidRPr="00235F1A">
        <w:rPr>
          <w:rFonts w:ascii="Microsoft Sans Serif" w:eastAsia="Microsoft Sans Serif" w:hAnsi="Microsoft Sans Serif" w:cs="Microsoft Sans Serif"/>
          <w:b/>
          <w:bCs/>
        </w:rPr>
        <w:cr/>
      </w:r>
      <w:hyperlink r:id="rId9" w:history="1">
        <w:r w:rsidRPr="00946B30">
          <w:rPr>
            <w:rStyle w:val="Hyperlink"/>
            <w:rFonts w:ascii="Microsoft Sans Serif" w:eastAsia="Microsoft Sans Serif" w:hAnsi="Microsoft Sans Serif" w:cs="Microsoft Sans Serif"/>
          </w:rPr>
          <w:t>arminta1@gmail.com</w:t>
        </w:r>
      </w:hyperlink>
      <w:r>
        <w:rPr>
          <w:rFonts w:ascii="Microsoft Sans Serif" w:eastAsia="Microsoft Sans Serif" w:hAnsi="Microsoft Sans Serif" w:cs="Microsoft Sans Serif"/>
        </w:rPr>
        <w:br/>
        <w:t xml:space="preserve">Accepts eService and served via </w:t>
      </w:r>
      <w:proofErr w:type="gramStart"/>
      <w:r>
        <w:rPr>
          <w:rFonts w:ascii="Microsoft Sans Serif" w:eastAsia="Microsoft Sans Serif" w:hAnsi="Microsoft Sans Serif" w:cs="Microsoft Sans Serif"/>
        </w:rPr>
        <w:t>email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</w:p>
    <w:p w14:paraId="1988C89B" w14:textId="77777777" w:rsidR="00335CBA" w:rsidRDefault="00335CBA" w:rsidP="00335CB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RANDALL L RHOADS</w:t>
      </w:r>
      <w:r>
        <w:rPr>
          <w:rFonts w:ascii="Microsoft Sans Serif" w:eastAsia="Microsoft Sans Serif" w:hAnsi="Microsoft Sans Serif" w:cs="Microsoft Sans Serif"/>
        </w:rPr>
        <w:br/>
        <w:t>VENANGO WATER COMPANY</w:t>
      </w:r>
      <w:r>
        <w:rPr>
          <w:rFonts w:ascii="Microsoft Sans Serif" w:eastAsia="Microsoft Sans Serif" w:hAnsi="Microsoft Sans Serif" w:cs="Microsoft Sans Serif"/>
        </w:rPr>
        <w:cr/>
        <w:t>PO BOX 397</w:t>
      </w:r>
      <w:r>
        <w:rPr>
          <w:rFonts w:ascii="Microsoft Sans Serif" w:eastAsia="Microsoft Sans Serif" w:hAnsi="Microsoft Sans Serif" w:cs="Microsoft Sans Serif"/>
        </w:rPr>
        <w:cr/>
        <w:t>RENO PA  16343</w:t>
      </w:r>
      <w:r>
        <w:rPr>
          <w:rFonts w:ascii="Microsoft Sans Serif" w:eastAsia="Microsoft Sans Serif" w:hAnsi="Microsoft Sans Serif" w:cs="Microsoft Sans Serif"/>
        </w:rPr>
        <w:cr/>
      </w:r>
      <w:r w:rsidRPr="00A2061E">
        <w:rPr>
          <w:rFonts w:ascii="Microsoft Sans Serif" w:eastAsia="Microsoft Sans Serif" w:hAnsi="Microsoft Sans Serif" w:cs="Microsoft Sans Serif"/>
          <w:b/>
          <w:bCs/>
        </w:rPr>
        <w:t>814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2061E">
        <w:rPr>
          <w:rFonts w:ascii="Microsoft Sans Serif" w:eastAsia="Microsoft Sans Serif" w:hAnsi="Microsoft Sans Serif" w:cs="Microsoft Sans Serif"/>
          <w:b/>
          <w:bCs/>
        </w:rPr>
        <w:t>676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2061E">
        <w:rPr>
          <w:rFonts w:ascii="Microsoft Sans Serif" w:eastAsia="Microsoft Sans Serif" w:hAnsi="Microsoft Sans Serif" w:cs="Microsoft Sans Serif"/>
          <w:b/>
          <w:bCs/>
        </w:rPr>
        <w:t>2730</w:t>
      </w:r>
      <w:r w:rsidRPr="00A2061E">
        <w:rPr>
          <w:rFonts w:ascii="Microsoft Sans Serif" w:eastAsia="Microsoft Sans Serif" w:hAnsi="Microsoft Sans Serif" w:cs="Microsoft Sans Serif"/>
          <w:b/>
          <w:bCs/>
        </w:rPr>
        <w:cr/>
      </w:r>
      <w:hyperlink r:id="rId10" w:history="1">
        <w:r w:rsidRPr="00946B30">
          <w:rPr>
            <w:rStyle w:val="Hyperlink"/>
            <w:rFonts w:ascii="Microsoft Sans Serif" w:eastAsia="Microsoft Sans Serif" w:hAnsi="Microsoft Sans Serif" w:cs="Microsoft Sans Serif"/>
          </w:rPr>
          <w:t>vwc-rlr@pa.rr.com</w:t>
        </w:r>
      </w:hyperlink>
      <w:r>
        <w:rPr>
          <w:rFonts w:ascii="Microsoft Sans Serif" w:eastAsia="Microsoft Sans Serif" w:hAnsi="Microsoft Sans Serif" w:cs="Microsoft Sans Serif"/>
        </w:rPr>
        <w:br/>
      </w:r>
    </w:p>
    <w:p w14:paraId="2F848EE4" w14:textId="77777777" w:rsidR="00335CBA" w:rsidRDefault="00335CBA" w:rsidP="00335CB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</w:p>
    <w:p w14:paraId="001ADA49" w14:textId="5D65F56A" w:rsidR="00536E23" w:rsidRDefault="00536E23" w:rsidP="00260CC8">
      <w:pPr>
        <w:spacing w:after="0" w:line="240" w:lineRule="auto"/>
      </w:pPr>
    </w:p>
    <w:sectPr w:rsidR="00536E23" w:rsidSect="00B80D6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1A46D" w14:textId="77777777" w:rsidR="00DE3D92" w:rsidRDefault="00DE3D92" w:rsidP="001A75EB">
      <w:pPr>
        <w:spacing w:after="0" w:line="240" w:lineRule="auto"/>
      </w:pPr>
      <w:r>
        <w:separator/>
      </w:r>
    </w:p>
  </w:endnote>
  <w:endnote w:type="continuationSeparator" w:id="0">
    <w:p w14:paraId="2FF01F67" w14:textId="77777777" w:rsidR="00DE3D92" w:rsidRDefault="00DE3D92" w:rsidP="001A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3211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24D5EAE" w14:textId="77777777" w:rsidR="00B80D66" w:rsidRDefault="00B80D66">
        <w:pPr>
          <w:pStyle w:val="Footer"/>
          <w:jc w:val="center"/>
        </w:pPr>
        <w:r w:rsidRPr="008E74E4">
          <w:rPr>
            <w:sz w:val="20"/>
            <w:szCs w:val="20"/>
          </w:rPr>
          <w:fldChar w:fldCharType="begin"/>
        </w:r>
        <w:r w:rsidRPr="008E74E4">
          <w:rPr>
            <w:sz w:val="20"/>
            <w:szCs w:val="20"/>
          </w:rPr>
          <w:instrText xml:space="preserve"> PAGE   \* MERGEFORMAT </w:instrText>
        </w:r>
        <w:r w:rsidRPr="008E74E4">
          <w:rPr>
            <w:sz w:val="20"/>
            <w:szCs w:val="20"/>
          </w:rPr>
          <w:fldChar w:fldCharType="separate"/>
        </w:r>
        <w:r w:rsidRPr="008E74E4">
          <w:rPr>
            <w:noProof/>
            <w:sz w:val="20"/>
            <w:szCs w:val="20"/>
          </w:rPr>
          <w:t>2</w:t>
        </w:r>
        <w:r w:rsidRPr="008E74E4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A6FC" w14:textId="77777777" w:rsidR="00DE3D92" w:rsidRDefault="00DE3D92" w:rsidP="001A75EB">
      <w:pPr>
        <w:spacing w:after="0" w:line="240" w:lineRule="auto"/>
      </w:pPr>
      <w:r>
        <w:separator/>
      </w:r>
    </w:p>
  </w:footnote>
  <w:footnote w:type="continuationSeparator" w:id="0">
    <w:p w14:paraId="5B0E0BCF" w14:textId="77777777" w:rsidR="00DE3D92" w:rsidRDefault="00DE3D92" w:rsidP="001A75EB">
      <w:pPr>
        <w:spacing w:after="0" w:line="240" w:lineRule="auto"/>
      </w:pPr>
      <w:r>
        <w:continuationSeparator/>
      </w:r>
    </w:p>
  </w:footnote>
  <w:footnote w:id="1">
    <w:p w14:paraId="5D67DBE1" w14:textId="77777777" w:rsidR="00A36548" w:rsidRDefault="00A36548" w:rsidP="00A36548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201C2">
        <w:rPr>
          <w:i/>
          <w:iCs/>
        </w:rPr>
        <w:t>In re: Venango Water Company</w:t>
      </w:r>
      <w:r>
        <w:t xml:space="preserve">, Docket No. M-2023-3042180, </w:t>
      </w:r>
      <w:r w:rsidRPr="006201C2">
        <w:rPr>
          <w:i/>
          <w:iCs/>
        </w:rPr>
        <w:t xml:space="preserve">Ex </w:t>
      </w:r>
      <w:proofErr w:type="spellStart"/>
      <w:r w:rsidRPr="006201C2">
        <w:rPr>
          <w:i/>
          <w:iCs/>
        </w:rPr>
        <w:t>Parte</w:t>
      </w:r>
      <w:proofErr w:type="spellEnd"/>
      <w:r w:rsidRPr="006201C2">
        <w:rPr>
          <w:i/>
          <w:iCs/>
        </w:rPr>
        <w:t xml:space="preserve"> Emergency Order</w:t>
      </w:r>
      <w:r>
        <w:t>, Ordering Paragraph No. 4 (August 11, 2023) (hereinafter, Receivership Order).</w:t>
      </w:r>
    </w:p>
  </w:footnote>
  <w:footnote w:id="2">
    <w:p w14:paraId="746B334E" w14:textId="77777777" w:rsidR="00A36548" w:rsidRDefault="00A36548" w:rsidP="009F4FA7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  <w:iCs/>
        </w:rPr>
        <w:t>Id.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4E14"/>
    <w:multiLevelType w:val="hybridMultilevel"/>
    <w:tmpl w:val="0DF861B2"/>
    <w:lvl w:ilvl="0" w:tplc="11484D9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8465E4C"/>
    <w:multiLevelType w:val="hybridMultilevel"/>
    <w:tmpl w:val="F910A2B0"/>
    <w:lvl w:ilvl="0" w:tplc="C254B332">
      <w:start w:val="1"/>
      <w:numFmt w:val="decimal"/>
      <w:pStyle w:val="ListParagraph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23AAA"/>
    <w:multiLevelType w:val="hybridMultilevel"/>
    <w:tmpl w:val="D434760C"/>
    <w:lvl w:ilvl="0" w:tplc="E56CE62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42533806">
    <w:abstractNumId w:val="30"/>
  </w:num>
  <w:num w:numId="2" w16cid:durableId="124548716">
    <w:abstractNumId w:val="21"/>
  </w:num>
  <w:num w:numId="3" w16cid:durableId="1845629063">
    <w:abstractNumId w:val="28"/>
  </w:num>
  <w:num w:numId="4" w16cid:durableId="881526387">
    <w:abstractNumId w:val="32"/>
  </w:num>
  <w:num w:numId="5" w16cid:durableId="1105079687">
    <w:abstractNumId w:val="11"/>
  </w:num>
  <w:num w:numId="6" w16cid:durableId="1033267161">
    <w:abstractNumId w:val="8"/>
  </w:num>
  <w:num w:numId="7" w16cid:durableId="748423677">
    <w:abstractNumId w:val="6"/>
  </w:num>
  <w:num w:numId="8" w16cid:durableId="421530218">
    <w:abstractNumId w:val="31"/>
  </w:num>
  <w:num w:numId="9" w16cid:durableId="459804755">
    <w:abstractNumId w:val="3"/>
  </w:num>
  <w:num w:numId="10" w16cid:durableId="340859479">
    <w:abstractNumId w:val="23"/>
  </w:num>
  <w:num w:numId="11" w16cid:durableId="1369717506">
    <w:abstractNumId w:val="27"/>
  </w:num>
  <w:num w:numId="12" w16cid:durableId="572785026">
    <w:abstractNumId w:val="16"/>
  </w:num>
  <w:num w:numId="13" w16cid:durableId="1038046855">
    <w:abstractNumId w:val="24"/>
  </w:num>
  <w:num w:numId="14" w16cid:durableId="837381474">
    <w:abstractNumId w:val="29"/>
  </w:num>
  <w:num w:numId="15" w16cid:durableId="1234462025">
    <w:abstractNumId w:val="1"/>
  </w:num>
  <w:num w:numId="16" w16cid:durableId="1561791082">
    <w:abstractNumId w:val="22"/>
  </w:num>
  <w:num w:numId="17" w16cid:durableId="1120876512">
    <w:abstractNumId w:val="22"/>
  </w:num>
  <w:num w:numId="18" w16cid:durableId="2124111944">
    <w:abstractNumId w:val="10"/>
  </w:num>
  <w:num w:numId="19" w16cid:durableId="1399017104">
    <w:abstractNumId w:val="17"/>
  </w:num>
  <w:num w:numId="20" w16cid:durableId="788625336">
    <w:abstractNumId w:val="33"/>
  </w:num>
  <w:num w:numId="21" w16cid:durableId="1415126250">
    <w:abstractNumId w:val="13"/>
  </w:num>
  <w:num w:numId="22" w16cid:durableId="1679111065">
    <w:abstractNumId w:val="5"/>
  </w:num>
  <w:num w:numId="23" w16cid:durableId="311375231">
    <w:abstractNumId w:val="14"/>
  </w:num>
  <w:num w:numId="24" w16cid:durableId="2138524153">
    <w:abstractNumId w:val="36"/>
  </w:num>
  <w:num w:numId="25" w16cid:durableId="964502058">
    <w:abstractNumId w:val="2"/>
  </w:num>
  <w:num w:numId="26" w16cid:durableId="1079524708">
    <w:abstractNumId w:val="7"/>
  </w:num>
  <w:num w:numId="27" w16cid:durableId="106781889">
    <w:abstractNumId w:val="26"/>
  </w:num>
  <w:num w:numId="28" w16cid:durableId="2059668971">
    <w:abstractNumId w:val="12"/>
  </w:num>
  <w:num w:numId="29" w16cid:durableId="1209730741">
    <w:abstractNumId w:val="9"/>
  </w:num>
  <w:num w:numId="30" w16cid:durableId="199823820">
    <w:abstractNumId w:val="20"/>
  </w:num>
  <w:num w:numId="31" w16cid:durableId="1541282266">
    <w:abstractNumId w:val="34"/>
  </w:num>
  <w:num w:numId="32" w16cid:durableId="2124762270">
    <w:abstractNumId w:val="35"/>
  </w:num>
  <w:num w:numId="33" w16cid:durableId="760881051">
    <w:abstractNumId w:val="25"/>
  </w:num>
  <w:num w:numId="34" w16cid:durableId="561139344">
    <w:abstractNumId w:val="4"/>
  </w:num>
  <w:num w:numId="35" w16cid:durableId="49887248">
    <w:abstractNumId w:val="19"/>
  </w:num>
  <w:num w:numId="36" w16cid:durableId="1875801132">
    <w:abstractNumId w:val="0"/>
  </w:num>
  <w:num w:numId="37" w16cid:durableId="1643730328">
    <w:abstractNumId w:val="18"/>
  </w:num>
  <w:num w:numId="38" w16cid:durableId="18494468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C46EFEC-FEF4-47BA-BC39-378909FD53FC}"/>
    <w:docVar w:name="dgnword-eventsink" w:val="626330976"/>
  </w:docVars>
  <w:rsids>
    <w:rsidRoot w:val="004D0A01"/>
    <w:rsid w:val="00001CA1"/>
    <w:rsid w:val="00002E4F"/>
    <w:rsid w:val="00004C37"/>
    <w:rsid w:val="00005EC1"/>
    <w:rsid w:val="000066B3"/>
    <w:rsid w:val="000100E4"/>
    <w:rsid w:val="000114C4"/>
    <w:rsid w:val="00015EA4"/>
    <w:rsid w:val="00017F6F"/>
    <w:rsid w:val="0002756C"/>
    <w:rsid w:val="000448A2"/>
    <w:rsid w:val="0004560C"/>
    <w:rsid w:val="00045F5D"/>
    <w:rsid w:val="000502DE"/>
    <w:rsid w:val="00060A98"/>
    <w:rsid w:val="00062A1E"/>
    <w:rsid w:val="000646E8"/>
    <w:rsid w:val="00066D87"/>
    <w:rsid w:val="000676B2"/>
    <w:rsid w:val="00070E46"/>
    <w:rsid w:val="000861F9"/>
    <w:rsid w:val="00090DCB"/>
    <w:rsid w:val="00093C72"/>
    <w:rsid w:val="00094738"/>
    <w:rsid w:val="000A5524"/>
    <w:rsid w:val="000A5B86"/>
    <w:rsid w:val="000A6686"/>
    <w:rsid w:val="000B0196"/>
    <w:rsid w:val="000C2662"/>
    <w:rsid w:val="000D6DB3"/>
    <w:rsid w:val="000E198A"/>
    <w:rsid w:val="000E3EDE"/>
    <w:rsid w:val="00107E82"/>
    <w:rsid w:val="00111891"/>
    <w:rsid w:val="00112AC7"/>
    <w:rsid w:val="001212FA"/>
    <w:rsid w:val="00133143"/>
    <w:rsid w:val="00134902"/>
    <w:rsid w:val="00134958"/>
    <w:rsid w:val="00135B20"/>
    <w:rsid w:val="00156427"/>
    <w:rsid w:val="00171F2D"/>
    <w:rsid w:val="00172208"/>
    <w:rsid w:val="001774F7"/>
    <w:rsid w:val="00193240"/>
    <w:rsid w:val="001936CA"/>
    <w:rsid w:val="001A21B6"/>
    <w:rsid w:val="001A5531"/>
    <w:rsid w:val="001A75EB"/>
    <w:rsid w:val="001B0000"/>
    <w:rsid w:val="001B04CF"/>
    <w:rsid w:val="001B1CBA"/>
    <w:rsid w:val="001C0B18"/>
    <w:rsid w:val="001C1DAC"/>
    <w:rsid w:val="001C4924"/>
    <w:rsid w:val="001C5D05"/>
    <w:rsid w:val="001D0D07"/>
    <w:rsid w:val="001D2AF7"/>
    <w:rsid w:val="001D40F5"/>
    <w:rsid w:val="001E3E1E"/>
    <w:rsid w:val="001F01D3"/>
    <w:rsid w:val="001F07DE"/>
    <w:rsid w:val="001F2276"/>
    <w:rsid w:val="00203738"/>
    <w:rsid w:val="00207743"/>
    <w:rsid w:val="00213167"/>
    <w:rsid w:val="00217AA0"/>
    <w:rsid w:val="00224DC2"/>
    <w:rsid w:val="0022522C"/>
    <w:rsid w:val="00231C21"/>
    <w:rsid w:val="00233A27"/>
    <w:rsid w:val="002365BB"/>
    <w:rsid w:val="0024069A"/>
    <w:rsid w:val="002414BD"/>
    <w:rsid w:val="00241D2C"/>
    <w:rsid w:val="00246488"/>
    <w:rsid w:val="00247BFE"/>
    <w:rsid w:val="002512F9"/>
    <w:rsid w:val="00260CC8"/>
    <w:rsid w:val="002613FA"/>
    <w:rsid w:val="0026304A"/>
    <w:rsid w:val="00274E27"/>
    <w:rsid w:val="00281707"/>
    <w:rsid w:val="002832B4"/>
    <w:rsid w:val="00287AAF"/>
    <w:rsid w:val="002C2DAF"/>
    <w:rsid w:val="002C2EC5"/>
    <w:rsid w:val="002C7C0A"/>
    <w:rsid w:val="002D0623"/>
    <w:rsid w:val="002D48B6"/>
    <w:rsid w:val="002D5991"/>
    <w:rsid w:val="002E1054"/>
    <w:rsid w:val="002F353F"/>
    <w:rsid w:val="002F6AC0"/>
    <w:rsid w:val="00301C56"/>
    <w:rsid w:val="00303355"/>
    <w:rsid w:val="00312BD0"/>
    <w:rsid w:val="003145FA"/>
    <w:rsid w:val="003219EA"/>
    <w:rsid w:val="003265E7"/>
    <w:rsid w:val="00335CBA"/>
    <w:rsid w:val="003412EC"/>
    <w:rsid w:val="003507E7"/>
    <w:rsid w:val="00351C7A"/>
    <w:rsid w:val="00355062"/>
    <w:rsid w:val="0035647F"/>
    <w:rsid w:val="00361F14"/>
    <w:rsid w:val="00367A41"/>
    <w:rsid w:val="00370C4C"/>
    <w:rsid w:val="003711D9"/>
    <w:rsid w:val="00376418"/>
    <w:rsid w:val="003767A8"/>
    <w:rsid w:val="003835FF"/>
    <w:rsid w:val="00386851"/>
    <w:rsid w:val="00392FD3"/>
    <w:rsid w:val="00393C92"/>
    <w:rsid w:val="003977CF"/>
    <w:rsid w:val="003A1A41"/>
    <w:rsid w:val="003A3E09"/>
    <w:rsid w:val="003B11C8"/>
    <w:rsid w:val="003C60DB"/>
    <w:rsid w:val="003D3BA7"/>
    <w:rsid w:val="003E1196"/>
    <w:rsid w:val="00417566"/>
    <w:rsid w:val="004222AC"/>
    <w:rsid w:val="0043225E"/>
    <w:rsid w:val="00432889"/>
    <w:rsid w:val="0043302B"/>
    <w:rsid w:val="0043401B"/>
    <w:rsid w:val="004353A7"/>
    <w:rsid w:val="004424C1"/>
    <w:rsid w:val="004428A2"/>
    <w:rsid w:val="00447CAB"/>
    <w:rsid w:val="00450E8F"/>
    <w:rsid w:val="00462E76"/>
    <w:rsid w:val="004722B1"/>
    <w:rsid w:val="00474859"/>
    <w:rsid w:val="004802BB"/>
    <w:rsid w:val="00483D26"/>
    <w:rsid w:val="00485644"/>
    <w:rsid w:val="004A7D69"/>
    <w:rsid w:val="004B1320"/>
    <w:rsid w:val="004B29BE"/>
    <w:rsid w:val="004C58AD"/>
    <w:rsid w:val="004C5C96"/>
    <w:rsid w:val="004D0A01"/>
    <w:rsid w:val="004D465D"/>
    <w:rsid w:val="004D523C"/>
    <w:rsid w:val="004D5C7A"/>
    <w:rsid w:val="004E72BC"/>
    <w:rsid w:val="004F13BE"/>
    <w:rsid w:val="004F4531"/>
    <w:rsid w:val="005036BC"/>
    <w:rsid w:val="00505FCD"/>
    <w:rsid w:val="005077F8"/>
    <w:rsid w:val="00536E23"/>
    <w:rsid w:val="00540C01"/>
    <w:rsid w:val="00550558"/>
    <w:rsid w:val="00554551"/>
    <w:rsid w:val="00563DCB"/>
    <w:rsid w:val="00565EF5"/>
    <w:rsid w:val="00566E48"/>
    <w:rsid w:val="00585DD1"/>
    <w:rsid w:val="00586544"/>
    <w:rsid w:val="00591B1A"/>
    <w:rsid w:val="005A0F4C"/>
    <w:rsid w:val="005A1C17"/>
    <w:rsid w:val="005A2ABA"/>
    <w:rsid w:val="005B198A"/>
    <w:rsid w:val="005B1D7D"/>
    <w:rsid w:val="005C0EC7"/>
    <w:rsid w:val="005C258E"/>
    <w:rsid w:val="005C4494"/>
    <w:rsid w:val="005D180A"/>
    <w:rsid w:val="005D512C"/>
    <w:rsid w:val="005D56FE"/>
    <w:rsid w:val="005E78D9"/>
    <w:rsid w:val="005E7B69"/>
    <w:rsid w:val="00606138"/>
    <w:rsid w:val="0060647F"/>
    <w:rsid w:val="00613D88"/>
    <w:rsid w:val="00615D7F"/>
    <w:rsid w:val="0061775F"/>
    <w:rsid w:val="006201C2"/>
    <w:rsid w:val="006230A8"/>
    <w:rsid w:val="00624427"/>
    <w:rsid w:val="00636C95"/>
    <w:rsid w:val="0064094F"/>
    <w:rsid w:val="00642EB6"/>
    <w:rsid w:val="0065297A"/>
    <w:rsid w:val="006636F1"/>
    <w:rsid w:val="00666EEB"/>
    <w:rsid w:val="0067328F"/>
    <w:rsid w:val="00685A74"/>
    <w:rsid w:val="00692F6C"/>
    <w:rsid w:val="006936FB"/>
    <w:rsid w:val="0069679E"/>
    <w:rsid w:val="00696C0D"/>
    <w:rsid w:val="006B46B3"/>
    <w:rsid w:val="006C145A"/>
    <w:rsid w:val="006C66B8"/>
    <w:rsid w:val="006C6A0D"/>
    <w:rsid w:val="006F0329"/>
    <w:rsid w:val="006F2B45"/>
    <w:rsid w:val="006F6A7E"/>
    <w:rsid w:val="00700807"/>
    <w:rsid w:val="00705FF3"/>
    <w:rsid w:val="00712E58"/>
    <w:rsid w:val="007161AB"/>
    <w:rsid w:val="00717C9A"/>
    <w:rsid w:val="00720899"/>
    <w:rsid w:val="00721272"/>
    <w:rsid w:val="00726E7A"/>
    <w:rsid w:val="007407AC"/>
    <w:rsid w:val="00743CD4"/>
    <w:rsid w:val="00745FD5"/>
    <w:rsid w:val="00746E44"/>
    <w:rsid w:val="00755D72"/>
    <w:rsid w:val="00762C4C"/>
    <w:rsid w:val="0077046D"/>
    <w:rsid w:val="0077096F"/>
    <w:rsid w:val="0077444F"/>
    <w:rsid w:val="00780AEB"/>
    <w:rsid w:val="00790FA6"/>
    <w:rsid w:val="00792796"/>
    <w:rsid w:val="00796268"/>
    <w:rsid w:val="00796730"/>
    <w:rsid w:val="00796B64"/>
    <w:rsid w:val="007A047F"/>
    <w:rsid w:val="007A1A55"/>
    <w:rsid w:val="007A685A"/>
    <w:rsid w:val="007B0736"/>
    <w:rsid w:val="007B1295"/>
    <w:rsid w:val="007C7217"/>
    <w:rsid w:val="007D0648"/>
    <w:rsid w:val="007D3E7A"/>
    <w:rsid w:val="007E3EDB"/>
    <w:rsid w:val="007E6779"/>
    <w:rsid w:val="00810457"/>
    <w:rsid w:val="008131F3"/>
    <w:rsid w:val="00820B4C"/>
    <w:rsid w:val="00826EFB"/>
    <w:rsid w:val="00827C3B"/>
    <w:rsid w:val="00830EC7"/>
    <w:rsid w:val="0083239D"/>
    <w:rsid w:val="00833C81"/>
    <w:rsid w:val="008354D1"/>
    <w:rsid w:val="0085103A"/>
    <w:rsid w:val="008529D2"/>
    <w:rsid w:val="00852D94"/>
    <w:rsid w:val="00861DD4"/>
    <w:rsid w:val="008649FD"/>
    <w:rsid w:val="0086519B"/>
    <w:rsid w:val="00865567"/>
    <w:rsid w:val="00865BC6"/>
    <w:rsid w:val="00875BDD"/>
    <w:rsid w:val="00877FE7"/>
    <w:rsid w:val="0088105E"/>
    <w:rsid w:val="008A14C9"/>
    <w:rsid w:val="008A1B8F"/>
    <w:rsid w:val="008A3C2D"/>
    <w:rsid w:val="008A440E"/>
    <w:rsid w:val="008A72D1"/>
    <w:rsid w:val="008B3666"/>
    <w:rsid w:val="008C431E"/>
    <w:rsid w:val="008D2BBA"/>
    <w:rsid w:val="008E2E9E"/>
    <w:rsid w:val="008E351A"/>
    <w:rsid w:val="008E7244"/>
    <w:rsid w:val="008E74E4"/>
    <w:rsid w:val="008F1262"/>
    <w:rsid w:val="008F37A4"/>
    <w:rsid w:val="008F69B9"/>
    <w:rsid w:val="00903259"/>
    <w:rsid w:val="0090338D"/>
    <w:rsid w:val="009079E9"/>
    <w:rsid w:val="00915493"/>
    <w:rsid w:val="00917DCA"/>
    <w:rsid w:val="00921395"/>
    <w:rsid w:val="00934387"/>
    <w:rsid w:val="00937AFF"/>
    <w:rsid w:val="009479E4"/>
    <w:rsid w:val="0095185E"/>
    <w:rsid w:val="0095354F"/>
    <w:rsid w:val="00963273"/>
    <w:rsid w:val="009650CC"/>
    <w:rsid w:val="00965FD9"/>
    <w:rsid w:val="0097262B"/>
    <w:rsid w:val="009777B6"/>
    <w:rsid w:val="009778BE"/>
    <w:rsid w:val="00977A46"/>
    <w:rsid w:val="0098050D"/>
    <w:rsid w:val="00980CF8"/>
    <w:rsid w:val="00984E9F"/>
    <w:rsid w:val="009917A9"/>
    <w:rsid w:val="0099635A"/>
    <w:rsid w:val="009A2BB1"/>
    <w:rsid w:val="009D0B4F"/>
    <w:rsid w:val="009D0ED0"/>
    <w:rsid w:val="009D1B25"/>
    <w:rsid w:val="009D733B"/>
    <w:rsid w:val="009D77CD"/>
    <w:rsid w:val="009E2DA1"/>
    <w:rsid w:val="009E5AB6"/>
    <w:rsid w:val="009E6B13"/>
    <w:rsid w:val="009F1C45"/>
    <w:rsid w:val="009F4FA7"/>
    <w:rsid w:val="009F58EC"/>
    <w:rsid w:val="00A04053"/>
    <w:rsid w:val="00A0677C"/>
    <w:rsid w:val="00A15D6F"/>
    <w:rsid w:val="00A24A53"/>
    <w:rsid w:val="00A255D8"/>
    <w:rsid w:val="00A25DA9"/>
    <w:rsid w:val="00A34584"/>
    <w:rsid w:val="00A36548"/>
    <w:rsid w:val="00A36BFF"/>
    <w:rsid w:val="00A4397D"/>
    <w:rsid w:val="00A43FBB"/>
    <w:rsid w:val="00A47096"/>
    <w:rsid w:val="00A50E92"/>
    <w:rsid w:val="00A50F01"/>
    <w:rsid w:val="00A532DB"/>
    <w:rsid w:val="00A56748"/>
    <w:rsid w:val="00A72B32"/>
    <w:rsid w:val="00A86E8C"/>
    <w:rsid w:val="00A86F2A"/>
    <w:rsid w:val="00A9599A"/>
    <w:rsid w:val="00A96D41"/>
    <w:rsid w:val="00AA2EC5"/>
    <w:rsid w:val="00AB4C73"/>
    <w:rsid w:val="00AC3AB7"/>
    <w:rsid w:val="00AC6F41"/>
    <w:rsid w:val="00AD162A"/>
    <w:rsid w:val="00AD1B20"/>
    <w:rsid w:val="00AD27C0"/>
    <w:rsid w:val="00AD5B60"/>
    <w:rsid w:val="00AE1573"/>
    <w:rsid w:val="00AE3BF0"/>
    <w:rsid w:val="00AE5C23"/>
    <w:rsid w:val="00AE6F47"/>
    <w:rsid w:val="00B04A31"/>
    <w:rsid w:val="00B106B8"/>
    <w:rsid w:val="00B249E3"/>
    <w:rsid w:val="00B57F39"/>
    <w:rsid w:val="00B80269"/>
    <w:rsid w:val="00B80D66"/>
    <w:rsid w:val="00B83FA7"/>
    <w:rsid w:val="00B87443"/>
    <w:rsid w:val="00B915FC"/>
    <w:rsid w:val="00B91E47"/>
    <w:rsid w:val="00BA00A9"/>
    <w:rsid w:val="00BC563E"/>
    <w:rsid w:val="00BC6B21"/>
    <w:rsid w:val="00BD1415"/>
    <w:rsid w:val="00BD19EC"/>
    <w:rsid w:val="00BE7A3F"/>
    <w:rsid w:val="00BF3A48"/>
    <w:rsid w:val="00BF4E16"/>
    <w:rsid w:val="00BF60FE"/>
    <w:rsid w:val="00C00359"/>
    <w:rsid w:val="00C021E6"/>
    <w:rsid w:val="00C115C2"/>
    <w:rsid w:val="00C11B13"/>
    <w:rsid w:val="00C15C67"/>
    <w:rsid w:val="00C17EB1"/>
    <w:rsid w:val="00C33583"/>
    <w:rsid w:val="00C34D59"/>
    <w:rsid w:val="00C34DC5"/>
    <w:rsid w:val="00C36676"/>
    <w:rsid w:val="00C45445"/>
    <w:rsid w:val="00C5145C"/>
    <w:rsid w:val="00C5359A"/>
    <w:rsid w:val="00C67744"/>
    <w:rsid w:val="00C83801"/>
    <w:rsid w:val="00C85EA8"/>
    <w:rsid w:val="00C87BBF"/>
    <w:rsid w:val="00C87E57"/>
    <w:rsid w:val="00C901A8"/>
    <w:rsid w:val="00C92ED8"/>
    <w:rsid w:val="00C977CA"/>
    <w:rsid w:val="00C9780A"/>
    <w:rsid w:val="00CB1E67"/>
    <w:rsid w:val="00CC78DA"/>
    <w:rsid w:val="00CD0FD7"/>
    <w:rsid w:val="00CD5EE5"/>
    <w:rsid w:val="00CE1961"/>
    <w:rsid w:val="00CE1C81"/>
    <w:rsid w:val="00CE3ACA"/>
    <w:rsid w:val="00CF6143"/>
    <w:rsid w:val="00D05D91"/>
    <w:rsid w:val="00D10F61"/>
    <w:rsid w:val="00D157D2"/>
    <w:rsid w:val="00D20DEA"/>
    <w:rsid w:val="00D21859"/>
    <w:rsid w:val="00D26C20"/>
    <w:rsid w:val="00D274FB"/>
    <w:rsid w:val="00D27D0F"/>
    <w:rsid w:val="00D30FB5"/>
    <w:rsid w:val="00D313D6"/>
    <w:rsid w:val="00D3214F"/>
    <w:rsid w:val="00D368F5"/>
    <w:rsid w:val="00D456A6"/>
    <w:rsid w:val="00D531CC"/>
    <w:rsid w:val="00D57528"/>
    <w:rsid w:val="00D653DE"/>
    <w:rsid w:val="00D86F5F"/>
    <w:rsid w:val="00D90DAB"/>
    <w:rsid w:val="00D928D0"/>
    <w:rsid w:val="00D969A9"/>
    <w:rsid w:val="00DB11E4"/>
    <w:rsid w:val="00DB6C82"/>
    <w:rsid w:val="00DB6E28"/>
    <w:rsid w:val="00DD5694"/>
    <w:rsid w:val="00DD5931"/>
    <w:rsid w:val="00DD5C37"/>
    <w:rsid w:val="00DE3D92"/>
    <w:rsid w:val="00DE3E6D"/>
    <w:rsid w:val="00DF1038"/>
    <w:rsid w:val="00DF1323"/>
    <w:rsid w:val="00DF2367"/>
    <w:rsid w:val="00DF35D9"/>
    <w:rsid w:val="00DF69D1"/>
    <w:rsid w:val="00E01FBC"/>
    <w:rsid w:val="00E031F8"/>
    <w:rsid w:val="00E04D17"/>
    <w:rsid w:val="00E06E4B"/>
    <w:rsid w:val="00E10016"/>
    <w:rsid w:val="00E131F1"/>
    <w:rsid w:val="00E15C15"/>
    <w:rsid w:val="00E17C4A"/>
    <w:rsid w:val="00E17EB8"/>
    <w:rsid w:val="00E41640"/>
    <w:rsid w:val="00E4239A"/>
    <w:rsid w:val="00E43929"/>
    <w:rsid w:val="00E62DE7"/>
    <w:rsid w:val="00E662F6"/>
    <w:rsid w:val="00E90108"/>
    <w:rsid w:val="00E92579"/>
    <w:rsid w:val="00E936E6"/>
    <w:rsid w:val="00EB027A"/>
    <w:rsid w:val="00EC1CBA"/>
    <w:rsid w:val="00ED5234"/>
    <w:rsid w:val="00EE7801"/>
    <w:rsid w:val="00EE7817"/>
    <w:rsid w:val="00F004BE"/>
    <w:rsid w:val="00F02B26"/>
    <w:rsid w:val="00F06634"/>
    <w:rsid w:val="00F10E34"/>
    <w:rsid w:val="00F11A19"/>
    <w:rsid w:val="00F13AE2"/>
    <w:rsid w:val="00F16554"/>
    <w:rsid w:val="00F2180B"/>
    <w:rsid w:val="00F226BC"/>
    <w:rsid w:val="00F3458C"/>
    <w:rsid w:val="00F35C0B"/>
    <w:rsid w:val="00F35C9D"/>
    <w:rsid w:val="00F417A6"/>
    <w:rsid w:val="00F47E55"/>
    <w:rsid w:val="00F544E1"/>
    <w:rsid w:val="00F62B38"/>
    <w:rsid w:val="00F71221"/>
    <w:rsid w:val="00F73DFB"/>
    <w:rsid w:val="00F845BA"/>
    <w:rsid w:val="00F9096B"/>
    <w:rsid w:val="00FA4B60"/>
    <w:rsid w:val="00FA4E98"/>
    <w:rsid w:val="00FA59A7"/>
    <w:rsid w:val="00FB136E"/>
    <w:rsid w:val="00FB2481"/>
    <w:rsid w:val="00FD5C10"/>
    <w:rsid w:val="00FD7B21"/>
    <w:rsid w:val="00FE3CB4"/>
    <w:rsid w:val="00FE6761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6B504"/>
  <w15:chartTrackingRefBased/>
  <w15:docId w15:val="{76B1F042-8D7F-4D1A-9927-4668EEF0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5EB"/>
    <w:pPr>
      <w:spacing w:after="20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55062"/>
    <w:pPr>
      <w:numPr>
        <w:numId w:val="38"/>
      </w:numPr>
      <w:spacing w:after="0"/>
      <w:ind w:left="0" w:firstLine="1440"/>
    </w:pPr>
  </w:style>
  <w:style w:type="paragraph" w:styleId="FootnoteText">
    <w:name w:val="footnote text"/>
    <w:aliases w:val="Car"/>
    <w:basedOn w:val="Normal"/>
    <w:link w:val="FootnoteTextChar"/>
    <w:qFormat/>
    <w:rsid w:val="001212F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1212FA"/>
    <w:rPr>
      <w:rFonts w:eastAsia="Times New Roman" w:cstheme="minorBidi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unhideWhenUsed/>
    <w:rsid w:val="001A75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D66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D66"/>
    <w:rPr>
      <w:rFonts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335C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wc-rlr@pa.r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inta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DC7F-2CBF-4A7E-AEBB-F9417759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Foster, Laythan</cp:lastModifiedBy>
  <cp:revision>2</cp:revision>
  <cp:lastPrinted>2019-10-25T15:36:00Z</cp:lastPrinted>
  <dcterms:created xsi:type="dcterms:W3CDTF">2023-12-12T19:11:00Z</dcterms:created>
  <dcterms:modified xsi:type="dcterms:W3CDTF">2023-12-12T19:11:00Z</dcterms:modified>
</cp:coreProperties>
</file>