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9B3B3" w14:textId="77777777" w:rsidR="007627CB" w:rsidRPr="00341560" w:rsidRDefault="007627CB" w:rsidP="007627CB">
      <w:pPr>
        <w:autoSpaceDE w:val="0"/>
        <w:autoSpaceDN w:val="0"/>
        <w:jc w:val="center"/>
        <w:rPr>
          <w:b/>
          <w:bCs/>
        </w:rPr>
      </w:pPr>
      <w:r w:rsidRPr="00341560">
        <w:rPr>
          <w:b/>
          <w:bCs/>
        </w:rPr>
        <w:t>BEFORE THE</w:t>
      </w:r>
    </w:p>
    <w:p w14:paraId="35EFD62F" w14:textId="77777777" w:rsidR="007627CB" w:rsidRPr="00341560" w:rsidRDefault="007627CB" w:rsidP="007627CB">
      <w:pPr>
        <w:tabs>
          <w:tab w:val="center" w:pos="4680"/>
        </w:tabs>
        <w:suppressAutoHyphens/>
        <w:autoSpaceDE w:val="0"/>
        <w:autoSpaceDN w:val="0"/>
        <w:jc w:val="center"/>
        <w:rPr>
          <w:b/>
          <w:bCs/>
          <w:spacing w:val="-3"/>
        </w:rPr>
      </w:pPr>
      <w:r w:rsidRPr="00341560">
        <w:rPr>
          <w:b/>
          <w:bCs/>
          <w:spacing w:val="-3"/>
        </w:rPr>
        <w:t>PENNSYLVANIA PUBLIC UTILITY COMMISSION</w:t>
      </w:r>
    </w:p>
    <w:p w14:paraId="4CF8A22A" w14:textId="77777777" w:rsidR="007627CB" w:rsidRPr="00341560" w:rsidRDefault="007627CB" w:rsidP="007627CB">
      <w:pPr>
        <w:tabs>
          <w:tab w:val="left" w:pos="-720"/>
        </w:tabs>
        <w:suppressAutoHyphens/>
        <w:autoSpaceDE w:val="0"/>
        <w:autoSpaceDN w:val="0"/>
        <w:rPr>
          <w:bCs/>
          <w:spacing w:val="-3"/>
        </w:rPr>
      </w:pPr>
    </w:p>
    <w:p w14:paraId="7971FDF8" w14:textId="77777777" w:rsidR="007627CB" w:rsidRPr="00341560" w:rsidRDefault="007627CB" w:rsidP="007627CB">
      <w:pPr>
        <w:tabs>
          <w:tab w:val="left" w:pos="-720"/>
        </w:tabs>
        <w:suppressAutoHyphens/>
        <w:autoSpaceDE w:val="0"/>
        <w:autoSpaceDN w:val="0"/>
        <w:rPr>
          <w:bCs/>
          <w:spacing w:val="-3"/>
        </w:rPr>
      </w:pPr>
    </w:p>
    <w:p w14:paraId="252915B2" w14:textId="77777777" w:rsidR="007627CB" w:rsidRPr="00341560" w:rsidRDefault="007627CB" w:rsidP="007627CB">
      <w:pPr>
        <w:tabs>
          <w:tab w:val="left" w:pos="-720"/>
        </w:tabs>
        <w:suppressAutoHyphens/>
        <w:autoSpaceDE w:val="0"/>
        <w:autoSpaceDN w:val="0"/>
        <w:jc w:val="both"/>
        <w:rPr>
          <w:bCs/>
          <w:spacing w:val="-3"/>
        </w:rPr>
      </w:pPr>
    </w:p>
    <w:p w14:paraId="34321838" w14:textId="77777777" w:rsidR="007627CB" w:rsidRPr="00341560" w:rsidRDefault="007627CB" w:rsidP="007627CB">
      <w:pPr>
        <w:rPr>
          <w:bCs/>
        </w:rPr>
      </w:pPr>
      <w:r w:rsidRPr="00341560">
        <w:rPr>
          <w:bCs/>
        </w:rPr>
        <w:t xml:space="preserve">Liza </w:t>
      </w:r>
      <w:proofErr w:type="spellStart"/>
      <w:r w:rsidRPr="00341560">
        <w:rPr>
          <w:bCs/>
        </w:rPr>
        <w:t>Mousios</w:t>
      </w:r>
      <w:proofErr w:type="spellEnd"/>
      <w:r w:rsidRPr="00341560">
        <w:rPr>
          <w:bCs/>
        </w:rPr>
        <w:t xml:space="preserve"> </w:t>
      </w:r>
      <w:r w:rsidRPr="00341560">
        <w:rPr>
          <w:bCs/>
        </w:rPr>
        <w:tab/>
      </w:r>
      <w:r w:rsidRPr="00341560">
        <w:rPr>
          <w:bCs/>
        </w:rPr>
        <w:tab/>
      </w:r>
      <w:r w:rsidRPr="00341560">
        <w:rPr>
          <w:bCs/>
        </w:rPr>
        <w:tab/>
      </w:r>
      <w:r w:rsidRPr="00341560">
        <w:rPr>
          <w:bCs/>
        </w:rPr>
        <w:tab/>
      </w:r>
      <w:r w:rsidRPr="00341560">
        <w:rPr>
          <w:bCs/>
        </w:rPr>
        <w:tab/>
      </w:r>
      <w:r w:rsidRPr="00341560">
        <w:rPr>
          <w:bCs/>
        </w:rPr>
        <w:tab/>
        <w:t>:</w:t>
      </w:r>
    </w:p>
    <w:p w14:paraId="00D7EBEC" w14:textId="77777777" w:rsidR="007627CB" w:rsidRPr="00341560" w:rsidRDefault="007627CB" w:rsidP="007627CB">
      <w:pPr>
        <w:tabs>
          <w:tab w:val="left" w:pos="-720"/>
        </w:tabs>
        <w:suppressAutoHyphens/>
        <w:autoSpaceDE w:val="0"/>
        <w:autoSpaceDN w:val="0"/>
        <w:jc w:val="both"/>
        <w:rPr>
          <w:bCs/>
          <w:spacing w:val="-3"/>
        </w:rPr>
      </w:pPr>
      <w:r w:rsidRPr="00341560">
        <w:rPr>
          <w:bCs/>
          <w:spacing w:val="-3"/>
        </w:rPr>
        <w:tab/>
      </w:r>
      <w:r w:rsidRPr="00341560">
        <w:rPr>
          <w:bCs/>
          <w:spacing w:val="-3"/>
        </w:rPr>
        <w:tab/>
      </w:r>
      <w:r w:rsidRPr="00341560">
        <w:rPr>
          <w:bCs/>
          <w:spacing w:val="-3"/>
        </w:rPr>
        <w:tab/>
      </w:r>
      <w:r w:rsidRPr="00341560">
        <w:rPr>
          <w:bCs/>
          <w:spacing w:val="-3"/>
        </w:rPr>
        <w:tab/>
      </w:r>
      <w:r w:rsidRPr="00341560">
        <w:rPr>
          <w:bCs/>
          <w:spacing w:val="-3"/>
        </w:rPr>
        <w:tab/>
      </w:r>
      <w:r w:rsidRPr="00341560">
        <w:rPr>
          <w:bCs/>
          <w:spacing w:val="-3"/>
        </w:rPr>
        <w:tab/>
      </w:r>
      <w:r w:rsidRPr="00341560">
        <w:rPr>
          <w:bCs/>
          <w:spacing w:val="-3"/>
        </w:rPr>
        <w:tab/>
        <w:t>:</w:t>
      </w:r>
      <w:r w:rsidRPr="00341560">
        <w:rPr>
          <w:bCs/>
          <w:spacing w:val="-3"/>
        </w:rPr>
        <w:tab/>
      </w:r>
      <w:r w:rsidRPr="00341560">
        <w:rPr>
          <w:bCs/>
          <w:spacing w:val="-3"/>
        </w:rPr>
        <w:tab/>
      </w:r>
      <w:r w:rsidRPr="00341560">
        <w:rPr>
          <w:bCs/>
        </w:rPr>
        <w:t xml:space="preserve">C-2019-3007989 </w:t>
      </w:r>
    </w:p>
    <w:p w14:paraId="76826C76" w14:textId="77777777" w:rsidR="007627CB" w:rsidRPr="00341560" w:rsidRDefault="007627CB" w:rsidP="007627CB">
      <w:pPr>
        <w:tabs>
          <w:tab w:val="left" w:pos="-720"/>
        </w:tabs>
        <w:suppressAutoHyphens/>
        <w:autoSpaceDE w:val="0"/>
        <w:autoSpaceDN w:val="0"/>
        <w:jc w:val="both"/>
        <w:rPr>
          <w:bCs/>
          <w:spacing w:val="-3"/>
        </w:rPr>
      </w:pPr>
      <w:r w:rsidRPr="00341560">
        <w:rPr>
          <w:bCs/>
          <w:spacing w:val="-3"/>
        </w:rPr>
        <w:tab/>
        <w:t>v.</w:t>
      </w:r>
      <w:r w:rsidRPr="00341560">
        <w:rPr>
          <w:bCs/>
          <w:spacing w:val="-3"/>
        </w:rPr>
        <w:tab/>
      </w:r>
      <w:r w:rsidRPr="00341560">
        <w:rPr>
          <w:bCs/>
          <w:spacing w:val="-3"/>
        </w:rPr>
        <w:tab/>
      </w:r>
      <w:r w:rsidRPr="00341560">
        <w:rPr>
          <w:bCs/>
          <w:spacing w:val="-3"/>
        </w:rPr>
        <w:tab/>
      </w:r>
      <w:r w:rsidRPr="00341560">
        <w:rPr>
          <w:bCs/>
          <w:spacing w:val="-3"/>
        </w:rPr>
        <w:tab/>
      </w:r>
      <w:r w:rsidRPr="00341560">
        <w:rPr>
          <w:bCs/>
          <w:spacing w:val="-3"/>
        </w:rPr>
        <w:tab/>
      </w:r>
      <w:r w:rsidRPr="00341560">
        <w:rPr>
          <w:bCs/>
          <w:spacing w:val="-3"/>
        </w:rPr>
        <w:tab/>
        <w:t>:</w:t>
      </w:r>
    </w:p>
    <w:p w14:paraId="0487DFC3" w14:textId="77777777" w:rsidR="007627CB" w:rsidRPr="00341560" w:rsidRDefault="007627CB" w:rsidP="007627CB">
      <w:pPr>
        <w:tabs>
          <w:tab w:val="left" w:pos="-720"/>
        </w:tabs>
        <w:suppressAutoHyphens/>
        <w:autoSpaceDE w:val="0"/>
        <w:autoSpaceDN w:val="0"/>
        <w:jc w:val="both"/>
        <w:rPr>
          <w:bCs/>
        </w:rPr>
      </w:pPr>
      <w:r w:rsidRPr="00341560">
        <w:rPr>
          <w:bCs/>
          <w:spacing w:val="-3"/>
        </w:rPr>
        <w:tab/>
      </w:r>
      <w:r w:rsidRPr="00341560">
        <w:rPr>
          <w:bCs/>
          <w:spacing w:val="-3"/>
        </w:rPr>
        <w:tab/>
      </w:r>
      <w:r w:rsidRPr="00341560">
        <w:rPr>
          <w:bCs/>
          <w:spacing w:val="-3"/>
        </w:rPr>
        <w:tab/>
      </w:r>
      <w:r w:rsidRPr="00341560">
        <w:rPr>
          <w:bCs/>
          <w:spacing w:val="-3"/>
        </w:rPr>
        <w:tab/>
      </w:r>
      <w:r w:rsidRPr="00341560">
        <w:rPr>
          <w:bCs/>
        </w:rPr>
        <w:tab/>
      </w:r>
      <w:r w:rsidRPr="00341560">
        <w:rPr>
          <w:bCs/>
        </w:rPr>
        <w:tab/>
      </w:r>
      <w:r w:rsidRPr="00341560">
        <w:rPr>
          <w:bCs/>
        </w:rPr>
        <w:tab/>
        <w:t>:</w:t>
      </w:r>
    </w:p>
    <w:p w14:paraId="6B9FE247" w14:textId="77777777" w:rsidR="007627CB" w:rsidRPr="00341560" w:rsidRDefault="007627CB" w:rsidP="007627CB">
      <w:pPr>
        <w:tabs>
          <w:tab w:val="left" w:pos="-720"/>
          <w:tab w:val="left" w:pos="5040"/>
        </w:tabs>
        <w:suppressAutoHyphens/>
        <w:autoSpaceDE w:val="0"/>
        <w:autoSpaceDN w:val="0"/>
        <w:jc w:val="both"/>
        <w:rPr>
          <w:bCs/>
          <w:i/>
          <w:spacing w:val="-3"/>
        </w:rPr>
      </w:pPr>
      <w:r w:rsidRPr="00341560">
        <w:rPr>
          <w:bCs/>
        </w:rPr>
        <w:t>Metropolitan Edison Company</w:t>
      </w:r>
      <w:r w:rsidRPr="00341560">
        <w:rPr>
          <w:bCs/>
        </w:rPr>
        <w:tab/>
        <w:t>:</w:t>
      </w:r>
    </w:p>
    <w:p w14:paraId="6FB89E99" w14:textId="77777777" w:rsidR="007627CB" w:rsidRPr="00341560" w:rsidRDefault="007627CB" w:rsidP="007627CB">
      <w:pPr>
        <w:tabs>
          <w:tab w:val="left" w:pos="-720"/>
          <w:tab w:val="left" w:pos="5040"/>
        </w:tabs>
        <w:suppressAutoHyphens/>
        <w:autoSpaceDE w:val="0"/>
        <w:autoSpaceDN w:val="0"/>
        <w:jc w:val="both"/>
        <w:rPr>
          <w:bCs/>
          <w:spacing w:val="-3"/>
        </w:rPr>
      </w:pPr>
      <w:r w:rsidRPr="00341560">
        <w:rPr>
          <w:bCs/>
          <w:spacing w:val="-3"/>
        </w:rPr>
        <w:tab/>
        <w:t>:</w:t>
      </w:r>
    </w:p>
    <w:p w14:paraId="18A94780" w14:textId="77777777" w:rsidR="007627CB" w:rsidRPr="00341560" w:rsidRDefault="007627CB" w:rsidP="007627CB">
      <w:pPr>
        <w:tabs>
          <w:tab w:val="left" w:pos="-720"/>
          <w:tab w:val="left" w:pos="5040"/>
        </w:tabs>
        <w:suppressAutoHyphens/>
        <w:autoSpaceDE w:val="0"/>
        <w:autoSpaceDN w:val="0"/>
        <w:jc w:val="both"/>
        <w:rPr>
          <w:bCs/>
          <w:spacing w:val="-3"/>
        </w:rPr>
      </w:pPr>
      <w:r w:rsidRPr="00341560">
        <w:rPr>
          <w:bCs/>
          <w:spacing w:val="-3"/>
        </w:rPr>
        <w:tab/>
        <w:t>:</w:t>
      </w:r>
    </w:p>
    <w:p w14:paraId="3128ACFA" w14:textId="77777777" w:rsidR="007627CB" w:rsidRPr="00341560" w:rsidRDefault="007627CB" w:rsidP="007627CB">
      <w:pPr>
        <w:pStyle w:val="NoSpacing"/>
        <w:rPr>
          <w:rFonts w:ascii="Times New Roman" w:hAnsi="Times New Roman"/>
          <w:bCs/>
          <w:sz w:val="24"/>
          <w:szCs w:val="24"/>
        </w:rPr>
      </w:pPr>
      <w:r w:rsidRPr="00341560">
        <w:rPr>
          <w:rFonts w:ascii="Times New Roman" w:hAnsi="Times New Roman"/>
          <w:bCs/>
          <w:sz w:val="24"/>
          <w:szCs w:val="24"/>
        </w:rPr>
        <w:t>Roy Cumming</w:t>
      </w:r>
      <w:r w:rsidRPr="00341560">
        <w:rPr>
          <w:rFonts w:ascii="Times New Roman" w:hAnsi="Times New Roman"/>
          <w:bCs/>
          <w:sz w:val="24"/>
          <w:szCs w:val="24"/>
        </w:rPr>
        <w:tab/>
      </w:r>
      <w:r w:rsidRPr="00341560">
        <w:rPr>
          <w:rFonts w:ascii="Times New Roman" w:hAnsi="Times New Roman"/>
          <w:bCs/>
          <w:sz w:val="24"/>
          <w:szCs w:val="24"/>
        </w:rPr>
        <w:tab/>
      </w:r>
      <w:r w:rsidRPr="00341560">
        <w:rPr>
          <w:rFonts w:ascii="Times New Roman" w:hAnsi="Times New Roman"/>
          <w:bCs/>
          <w:sz w:val="24"/>
          <w:szCs w:val="24"/>
        </w:rPr>
        <w:tab/>
      </w:r>
      <w:r w:rsidRPr="00341560">
        <w:rPr>
          <w:rFonts w:ascii="Times New Roman" w:hAnsi="Times New Roman"/>
          <w:bCs/>
          <w:sz w:val="24"/>
          <w:szCs w:val="24"/>
        </w:rPr>
        <w:tab/>
      </w:r>
      <w:r w:rsidRPr="00341560">
        <w:rPr>
          <w:rFonts w:ascii="Times New Roman" w:hAnsi="Times New Roman"/>
          <w:bCs/>
          <w:sz w:val="24"/>
          <w:szCs w:val="24"/>
        </w:rPr>
        <w:tab/>
      </w:r>
      <w:r w:rsidRPr="00341560">
        <w:rPr>
          <w:rFonts w:ascii="Times New Roman" w:hAnsi="Times New Roman"/>
          <w:bCs/>
          <w:sz w:val="24"/>
          <w:szCs w:val="24"/>
        </w:rPr>
        <w:tab/>
        <w:t>:</w:t>
      </w:r>
    </w:p>
    <w:p w14:paraId="0080C47F" w14:textId="77777777" w:rsidR="007627CB" w:rsidRPr="00341560" w:rsidRDefault="007627CB" w:rsidP="007627CB">
      <w:pPr>
        <w:pStyle w:val="NoSpacing"/>
        <w:rPr>
          <w:rFonts w:ascii="Times New Roman" w:hAnsi="Times New Roman"/>
          <w:bCs/>
          <w:sz w:val="24"/>
          <w:szCs w:val="24"/>
        </w:rPr>
      </w:pPr>
      <w:r w:rsidRPr="00341560">
        <w:rPr>
          <w:rFonts w:ascii="Times New Roman" w:hAnsi="Times New Roman"/>
          <w:bCs/>
          <w:sz w:val="24"/>
          <w:szCs w:val="24"/>
        </w:rPr>
        <w:tab/>
      </w:r>
      <w:r w:rsidRPr="00341560">
        <w:rPr>
          <w:rFonts w:ascii="Times New Roman" w:hAnsi="Times New Roman"/>
          <w:bCs/>
          <w:sz w:val="24"/>
          <w:szCs w:val="24"/>
        </w:rPr>
        <w:tab/>
      </w:r>
      <w:r w:rsidRPr="00341560">
        <w:rPr>
          <w:rFonts w:ascii="Times New Roman" w:hAnsi="Times New Roman"/>
          <w:bCs/>
          <w:sz w:val="24"/>
          <w:szCs w:val="24"/>
        </w:rPr>
        <w:tab/>
      </w:r>
      <w:r w:rsidRPr="00341560">
        <w:rPr>
          <w:rFonts w:ascii="Times New Roman" w:hAnsi="Times New Roman"/>
          <w:bCs/>
          <w:sz w:val="24"/>
          <w:szCs w:val="24"/>
        </w:rPr>
        <w:tab/>
      </w:r>
      <w:r w:rsidRPr="00341560">
        <w:rPr>
          <w:rFonts w:ascii="Times New Roman" w:hAnsi="Times New Roman"/>
          <w:bCs/>
          <w:sz w:val="24"/>
          <w:szCs w:val="24"/>
        </w:rPr>
        <w:tab/>
      </w:r>
      <w:r w:rsidRPr="00341560">
        <w:rPr>
          <w:rFonts w:ascii="Times New Roman" w:hAnsi="Times New Roman"/>
          <w:bCs/>
          <w:sz w:val="24"/>
          <w:szCs w:val="24"/>
        </w:rPr>
        <w:tab/>
      </w:r>
      <w:r w:rsidRPr="00341560">
        <w:rPr>
          <w:rFonts w:ascii="Times New Roman" w:hAnsi="Times New Roman"/>
          <w:bCs/>
          <w:sz w:val="24"/>
          <w:szCs w:val="24"/>
        </w:rPr>
        <w:tab/>
        <w:t>:</w:t>
      </w:r>
    </w:p>
    <w:p w14:paraId="66FEEF29" w14:textId="77777777" w:rsidR="007627CB" w:rsidRPr="00341560" w:rsidRDefault="007627CB" w:rsidP="007627CB">
      <w:pPr>
        <w:pStyle w:val="NoSpacing"/>
        <w:ind w:firstLine="720"/>
        <w:rPr>
          <w:rFonts w:ascii="Times New Roman" w:hAnsi="Times New Roman"/>
          <w:bCs/>
          <w:sz w:val="24"/>
          <w:szCs w:val="24"/>
        </w:rPr>
      </w:pPr>
      <w:r w:rsidRPr="00341560">
        <w:rPr>
          <w:rFonts w:ascii="Times New Roman" w:hAnsi="Times New Roman"/>
          <w:bCs/>
          <w:sz w:val="24"/>
          <w:szCs w:val="24"/>
        </w:rPr>
        <w:t>v.</w:t>
      </w:r>
      <w:r w:rsidRPr="00341560">
        <w:rPr>
          <w:rFonts w:ascii="Times New Roman" w:hAnsi="Times New Roman"/>
          <w:bCs/>
          <w:sz w:val="24"/>
          <w:szCs w:val="24"/>
        </w:rPr>
        <w:tab/>
      </w:r>
      <w:r w:rsidRPr="00341560">
        <w:rPr>
          <w:rFonts w:ascii="Times New Roman" w:hAnsi="Times New Roman"/>
          <w:bCs/>
          <w:sz w:val="24"/>
          <w:szCs w:val="24"/>
        </w:rPr>
        <w:tab/>
      </w:r>
      <w:r w:rsidRPr="00341560">
        <w:rPr>
          <w:rFonts w:ascii="Times New Roman" w:hAnsi="Times New Roman"/>
          <w:bCs/>
          <w:sz w:val="24"/>
          <w:szCs w:val="24"/>
        </w:rPr>
        <w:tab/>
      </w:r>
      <w:r w:rsidRPr="00341560">
        <w:rPr>
          <w:rFonts w:ascii="Times New Roman" w:hAnsi="Times New Roman"/>
          <w:bCs/>
          <w:sz w:val="24"/>
          <w:szCs w:val="24"/>
        </w:rPr>
        <w:tab/>
      </w:r>
      <w:r w:rsidRPr="00341560">
        <w:rPr>
          <w:rFonts w:ascii="Times New Roman" w:hAnsi="Times New Roman"/>
          <w:bCs/>
          <w:sz w:val="24"/>
          <w:szCs w:val="24"/>
        </w:rPr>
        <w:tab/>
      </w:r>
      <w:r w:rsidRPr="00341560">
        <w:rPr>
          <w:rFonts w:ascii="Times New Roman" w:hAnsi="Times New Roman"/>
          <w:bCs/>
          <w:sz w:val="24"/>
          <w:szCs w:val="24"/>
        </w:rPr>
        <w:tab/>
        <w:t>:</w:t>
      </w:r>
      <w:r w:rsidRPr="00341560">
        <w:rPr>
          <w:rFonts w:ascii="Times New Roman" w:hAnsi="Times New Roman"/>
          <w:bCs/>
          <w:sz w:val="24"/>
          <w:szCs w:val="24"/>
        </w:rPr>
        <w:tab/>
      </w:r>
      <w:r w:rsidRPr="00341560">
        <w:rPr>
          <w:rFonts w:ascii="Times New Roman" w:hAnsi="Times New Roman"/>
          <w:bCs/>
          <w:sz w:val="24"/>
          <w:szCs w:val="24"/>
        </w:rPr>
        <w:tab/>
        <w:t>C-2019-3007995</w:t>
      </w:r>
    </w:p>
    <w:p w14:paraId="5D29EC7C" w14:textId="77777777" w:rsidR="007627CB" w:rsidRPr="00341560" w:rsidRDefault="007627CB" w:rsidP="007627CB">
      <w:pPr>
        <w:pStyle w:val="NoSpacing"/>
        <w:rPr>
          <w:rFonts w:ascii="Times New Roman" w:hAnsi="Times New Roman"/>
          <w:bCs/>
          <w:sz w:val="24"/>
          <w:szCs w:val="24"/>
        </w:rPr>
      </w:pPr>
      <w:r w:rsidRPr="00341560">
        <w:rPr>
          <w:rFonts w:ascii="Times New Roman" w:hAnsi="Times New Roman"/>
          <w:bCs/>
          <w:sz w:val="24"/>
          <w:szCs w:val="24"/>
        </w:rPr>
        <w:tab/>
      </w:r>
      <w:r w:rsidRPr="00341560">
        <w:rPr>
          <w:rFonts w:ascii="Times New Roman" w:hAnsi="Times New Roman"/>
          <w:bCs/>
          <w:sz w:val="24"/>
          <w:szCs w:val="24"/>
        </w:rPr>
        <w:tab/>
      </w:r>
      <w:r w:rsidRPr="00341560">
        <w:rPr>
          <w:rFonts w:ascii="Times New Roman" w:hAnsi="Times New Roman"/>
          <w:bCs/>
          <w:sz w:val="24"/>
          <w:szCs w:val="24"/>
        </w:rPr>
        <w:tab/>
      </w:r>
      <w:r w:rsidRPr="00341560">
        <w:rPr>
          <w:rFonts w:ascii="Times New Roman" w:hAnsi="Times New Roman"/>
          <w:bCs/>
          <w:sz w:val="24"/>
          <w:szCs w:val="24"/>
        </w:rPr>
        <w:tab/>
      </w:r>
      <w:r w:rsidRPr="00341560">
        <w:rPr>
          <w:rFonts w:ascii="Times New Roman" w:hAnsi="Times New Roman"/>
          <w:bCs/>
          <w:sz w:val="24"/>
          <w:szCs w:val="24"/>
        </w:rPr>
        <w:tab/>
      </w:r>
      <w:r w:rsidRPr="00341560">
        <w:rPr>
          <w:rFonts w:ascii="Times New Roman" w:hAnsi="Times New Roman"/>
          <w:bCs/>
          <w:sz w:val="24"/>
          <w:szCs w:val="24"/>
        </w:rPr>
        <w:tab/>
      </w:r>
      <w:r w:rsidRPr="00341560">
        <w:rPr>
          <w:rFonts w:ascii="Times New Roman" w:hAnsi="Times New Roman"/>
          <w:bCs/>
          <w:sz w:val="24"/>
          <w:szCs w:val="24"/>
        </w:rPr>
        <w:tab/>
        <w:t>:</w:t>
      </w:r>
    </w:p>
    <w:p w14:paraId="2C622844" w14:textId="4043B5B8" w:rsidR="007627CB" w:rsidRPr="00341560" w:rsidRDefault="007627CB" w:rsidP="007627CB">
      <w:pPr>
        <w:tabs>
          <w:tab w:val="left" w:pos="-720"/>
          <w:tab w:val="left" w:pos="5040"/>
        </w:tabs>
        <w:suppressAutoHyphens/>
        <w:autoSpaceDE w:val="0"/>
        <w:autoSpaceDN w:val="0"/>
        <w:jc w:val="both"/>
        <w:rPr>
          <w:bCs/>
          <w:spacing w:val="-3"/>
        </w:rPr>
      </w:pPr>
      <w:r w:rsidRPr="00341560">
        <w:rPr>
          <w:bCs/>
        </w:rPr>
        <w:t>Metropolitan Edison Company</w:t>
      </w:r>
      <w:r w:rsidR="00287D02" w:rsidRPr="00341560">
        <w:rPr>
          <w:bCs/>
        </w:rPr>
        <w:tab/>
        <w:t>:</w:t>
      </w:r>
    </w:p>
    <w:p w14:paraId="4CAF7CAA" w14:textId="77777777" w:rsidR="007627CB" w:rsidRPr="00341560" w:rsidRDefault="007627CB" w:rsidP="007627CB"/>
    <w:p w14:paraId="034E55EF" w14:textId="77777777" w:rsidR="007627CB" w:rsidRPr="00341560" w:rsidRDefault="007627CB" w:rsidP="007627CB"/>
    <w:p w14:paraId="6F4372EF" w14:textId="77777777" w:rsidR="007627CB" w:rsidRPr="00341560" w:rsidRDefault="007627CB" w:rsidP="007627CB"/>
    <w:p w14:paraId="099D351D" w14:textId="77777777" w:rsidR="007627CB" w:rsidRPr="00341560" w:rsidRDefault="007627CB" w:rsidP="007627CB">
      <w:pPr>
        <w:tabs>
          <w:tab w:val="center" w:pos="4680"/>
        </w:tabs>
        <w:suppressAutoHyphens/>
        <w:autoSpaceDE w:val="0"/>
        <w:autoSpaceDN w:val="0"/>
        <w:jc w:val="center"/>
        <w:rPr>
          <w:b/>
          <w:bCs/>
          <w:spacing w:val="-3"/>
          <w:u w:val="single"/>
        </w:rPr>
      </w:pPr>
      <w:r w:rsidRPr="00341560">
        <w:rPr>
          <w:b/>
          <w:bCs/>
          <w:spacing w:val="-3"/>
          <w:u w:val="single"/>
        </w:rPr>
        <w:t xml:space="preserve">BRIEFING ORDER </w:t>
      </w:r>
    </w:p>
    <w:p w14:paraId="2FD1F7FC" w14:textId="1DC999C6" w:rsidR="007627CB" w:rsidRPr="00341560" w:rsidRDefault="007627CB" w:rsidP="007627CB">
      <w:pPr>
        <w:tabs>
          <w:tab w:val="center" w:pos="4680"/>
        </w:tabs>
        <w:suppressAutoHyphens/>
        <w:autoSpaceDE w:val="0"/>
        <w:autoSpaceDN w:val="0"/>
        <w:jc w:val="center"/>
        <w:rPr>
          <w:b/>
          <w:bCs/>
          <w:spacing w:val="-3"/>
          <w:u w:val="single"/>
        </w:rPr>
      </w:pPr>
      <w:r w:rsidRPr="00341560">
        <w:rPr>
          <w:b/>
          <w:bCs/>
          <w:spacing w:val="-3"/>
          <w:u w:val="single"/>
        </w:rPr>
        <w:t xml:space="preserve">and </w:t>
      </w:r>
    </w:p>
    <w:p w14:paraId="5208D4CF" w14:textId="6A058841" w:rsidR="007627CB" w:rsidRPr="00341560" w:rsidRDefault="007627CB" w:rsidP="007627CB">
      <w:pPr>
        <w:tabs>
          <w:tab w:val="center" w:pos="4680"/>
        </w:tabs>
        <w:suppressAutoHyphens/>
        <w:autoSpaceDE w:val="0"/>
        <w:autoSpaceDN w:val="0"/>
        <w:jc w:val="center"/>
        <w:rPr>
          <w:b/>
          <w:bCs/>
          <w:spacing w:val="-3"/>
          <w:u w:val="single"/>
        </w:rPr>
      </w:pPr>
      <w:r w:rsidRPr="00341560">
        <w:rPr>
          <w:b/>
          <w:bCs/>
          <w:spacing w:val="-3"/>
          <w:u w:val="single"/>
        </w:rPr>
        <w:t>ORDER REGARDING OBJECTIONS TO DISCOVERY</w:t>
      </w:r>
    </w:p>
    <w:p w14:paraId="6F0B4E82" w14:textId="77777777" w:rsidR="007627CB" w:rsidRPr="00341560" w:rsidRDefault="007627CB" w:rsidP="007627CB">
      <w:pPr>
        <w:tabs>
          <w:tab w:val="center" w:pos="4680"/>
        </w:tabs>
        <w:suppressAutoHyphens/>
        <w:autoSpaceDE w:val="0"/>
        <w:autoSpaceDN w:val="0"/>
        <w:spacing w:line="360" w:lineRule="auto"/>
        <w:jc w:val="center"/>
        <w:rPr>
          <w:b/>
          <w:bCs/>
          <w:spacing w:val="-3"/>
          <w:u w:val="single"/>
        </w:rPr>
      </w:pPr>
    </w:p>
    <w:p w14:paraId="50F5267B" w14:textId="3CD6D6D0" w:rsidR="007627CB" w:rsidRPr="00341560" w:rsidRDefault="007627CB" w:rsidP="007627CB">
      <w:pPr>
        <w:spacing w:line="360" w:lineRule="auto"/>
        <w:ind w:firstLine="1440"/>
      </w:pPr>
      <w:r w:rsidRPr="00341560">
        <w:t>Given that the Commission issued an Order lifting the stay on cases involving Smart Meter procurement</w:t>
      </w:r>
      <w:r w:rsidR="00341560" w:rsidRPr="00341560">
        <w:t xml:space="preserve"> and installation</w:t>
      </w:r>
      <w:r w:rsidRPr="00341560">
        <w:t xml:space="preserve">, this second supplement briefing order is issued.  This order also addresses the Objections </w:t>
      </w:r>
      <w:r w:rsidR="001F1C99" w:rsidRPr="00341560">
        <w:t>t</w:t>
      </w:r>
      <w:r w:rsidRPr="00341560">
        <w:t xml:space="preserve">o Discovery Requests filed by Metropolitan Edison on August 11, 2020. </w:t>
      </w:r>
    </w:p>
    <w:p w14:paraId="016F0797" w14:textId="77777777" w:rsidR="007627CB" w:rsidRPr="00341560" w:rsidRDefault="007627CB" w:rsidP="007627CB">
      <w:pPr>
        <w:spacing w:line="360" w:lineRule="auto"/>
        <w:ind w:firstLine="1440"/>
      </w:pPr>
    </w:p>
    <w:p w14:paraId="5CAFF5C8" w14:textId="77777777" w:rsidR="00341560" w:rsidRPr="00341560" w:rsidRDefault="007627CB" w:rsidP="00F1520C">
      <w:pPr>
        <w:pStyle w:val="NoSpacing"/>
        <w:spacing w:line="360" w:lineRule="auto"/>
        <w:ind w:firstLine="1440"/>
        <w:rPr>
          <w:rFonts w:ascii="Times New Roman" w:hAnsi="Times New Roman"/>
          <w:bCs/>
          <w:sz w:val="24"/>
          <w:szCs w:val="24"/>
        </w:rPr>
      </w:pPr>
      <w:r w:rsidRPr="00341560">
        <w:rPr>
          <w:rFonts w:ascii="Times New Roman" w:hAnsi="Times New Roman"/>
          <w:bCs/>
          <w:sz w:val="24"/>
          <w:szCs w:val="24"/>
        </w:rPr>
        <w:t xml:space="preserve">On January 8, 2018, Complainant Liza </w:t>
      </w:r>
      <w:proofErr w:type="spellStart"/>
      <w:r w:rsidRPr="00341560">
        <w:rPr>
          <w:rFonts w:ascii="Times New Roman" w:hAnsi="Times New Roman"/>
          <w:bCs/>
          <w:sz w:val="24"/>
          <w:szCs w:val="24"/>
        </w:rPr>
        <w:t>Mousios</w:t>
      </w:r>
      <w:proofErr w:type="spellEnd"/>
      <w:r w:rsidRPr="00341560">
        <w:rPr>
          <w:rFonts w:ascii="Times New Roman" w:hAnsi="Times New Roman"/>
          <w:bCs/>
          <w:sz w:val="24"/>
          <w:szCs w:val="24"/>
        </w:rPr>
        <w:t xml:space="preserve"> telephoned the Commission and requested that the hearing be conducted in writing.  She averred that she was also speaking on behalf of Mr. Cumming.  Ms. </w:t>
      </w:r>
      <w:proofErr w:type="spellStart"/>
      <w:r w:rsidRPr="00341560">
        <w:rPr>
          <w:rFonts w:ascii="Times New Roman" w:hAnsi="Times New Roman"/>
          <w:bCs/>
          <w:sz w:val="24"/>
          <w:szCs w:val="24"/>
        </w:rPr>
        <w:t>Mousios</w:t>
      </w:r>
      <w:proofErr w:type="spellEnd"/>
      <w:r w:rsidRPr="00341560">
        <w:rPr>
          <w:rFonts w:ascii="Times New Roman" w:hAnsi="Times New Roman"/>
          <w:bCs/>
          <w:sz w:val="24"/>
          <w:szCs w:val="24"/>
        </w:rPr>
        <w:t xml:space="preserve"> also stated in the phone call that she is ill and cannot attend the hearing in person.  Ms. </w:t>
      </w:r>
      <w:proofErr w:type="spellStart"/>
      <w:r w:rsidRPr="00341560">
        <w:rPr>
          <w:rFonts w:ascii="Times New Roman" w:hAnsi="Times New Roman"/>
          <w:bCs/>
          <w:sz w:val="24"/>
          <w:szCs w:val="24"/>
        </w:rPr>
        <w:t>Mousios</w:t>
      </w:r>
      <w:proofErr w:type="spellEnd"/>
      <w:r w:rsidRPr="00341560">
        <w:rPr>
          <w:rFonts w:ascii="Times New Roman" w:hAnsi="Times New Roman"/>
          <w:bCs/>
          <w:sz w:val="24"/>
          <w:szCs w:val="24"/>
        </w:rPr>
        <w:t xml:space="preserve"> also averred that Mr. Cumming had no objection to a "hearing in writing."  </w:t>
      </w:r>
      <w:r w:rsidR="00341560" w:rsidRPr="00341560">
        <w:rPr>
          <w:rFonts w:ascii="Times New Roman" w:hAnsi="Times New Roman"/>
          <w:bCs/>
          <w:sz w:val="24"/>
          <w:szCs w:val="24"/>
        </w:rPr>
        <w:t>This matter was transferred to the undersigned on October 21, 2019.</w:t>
      </w:r>
    </w:p>
    <w:p w14:paraId="5126FB2D" w14:textId="77777777" w:rsidR="00341560" w:rsidRPr="00341560" w:rsidRDefault="00341560" w:rsidP="00F1520C">
      <w:pPr>
        <w:pStyle w:val="NoSpacing"/>
        <w:spacing w:line="360" w:lineRule="auto"/>
        <w:ind w:firstLine="1440"/>
        <w:rPr>
          <w:rFonts w:ascii="Times New Roman" w:hAnsi="Times New Roman"/>
          <w:bCs/>
          <w:sz w:val="24"/>
          <w:szCs w:val="24"/>
        </w:rPr>
      </w:pPr>
    </w:p>
    <w:p w14:paraId="7DA44C97" w14:textId="06F44BD1" w:rsidR="00341560" w:rsidRPr="00341560" w:rsidRDefault="007627CB" w:rsidP="00F1520C">
      <w:pPr>
        <w:pStyle w:val="NoSpacing"/>
        <w:spacing w:line="360" w:lineRule="auto"/>
        <w:ind w:firstLine="1440"/>
        <w:rPr>
          <w:rFonts w:ascii="Times New Roman" w:hAnsi="Times New Roman"/>
          <w:bCs/>
          <w:sz w:val="24"/>
          <w:szCs w:val="24"/>
        </w:rPr>
      </w:pPr>
      <w:r w:rsidRPr="00341560">
        <w:rPr>
          <w:rFonts w:ascii="Times New Roman" w:hAnsi="Times New Roman"/>
          <w:bCs/>
          <w:sz w:val="24"/>
          <w:szCs w:val="24"/>
        </w:rPr>
        <w:t xml:space="preserve">On January 9, 2020, an Order was issued granting the request of the </w:t>
      </w:r>
      <w:r w:rsidR="00341560">
        <w:rPr>
          <w:rFonts w:ascii="Times New Roman" w:hAnsi="Times New Roman"/>
          <w:bCs/>
          <w:sz w:val="24"/>
          <w:szCs w:val="24"/>
        </w:rPr>
        <w:t xml:space="preserve">request of </w:t>
      </w:r>
      <w:r w:rsidRPr="00341560">
        <w:rPr>
          <w:rFonts w:ascii="Times New Roman" w:hAnsi="Times New Roman"/>
          <w:bCs/>
          <w:sz w:val="24"/>
          <w:szCs w:val="24"/>
        </w:rPr>
        <w:t xml:space="preserve">Ms. </w:t>
      </w:r>
      <w:proofErr w:type="spellStart"/>
      <w:r w:rsidRPr="00341560">
        <w:rPr>
          <w:rFonts w:ascii="Times New Roman" w:hAnsi="Times New Roman"/>
          <w:bCs/>
          <w:sz w:val="24"/>
          <w:szCs w:val="24"/>
        </w:rPr>
        <w:t>Mousios</w:t>
      </w:r>
      <w:proofErr w:type="spellEnd"/>
      <w:r w:rsidR="00F1520C" w:rsidRPr="00341560">
        <w:rPr>
          <w:rFonts w:ascii="Times New Roman" w:hAnsi="Times New Roman"/>
          <w:bCs/>
          <w:sz w:val="24"/>
          <w:szCs w:val="24"/>
        </w:rPr>
        <w:t xml:space="preserve"> </w:t>
      </w:r>
      <w:r w:rsidRPr="00341560">
        <w:rPr>
          <w:rFonts w:ascii="Times New Roman" w:hAnsi="Times New Roman"/>
          <w:bCs/>
          <w:sz w:val="24"/>
          <w:szCs w:val="24"/>
        </w:rPr>
        <w:t xml:space="preserve">that this matter be handled </w:t>
      </w:r>
      <w:r w:rsidR="00F1520C" w:rsidRPr="00341560">
        <w:rPr>
          <w:rFonts w:ascii="Times New Roman" w:hAnsi="Times New Roman"/>
          <w:bCs/>
          <w:sz w:val="24"/>
          <w:szCs w:val="24"/>
        </w:rPr>
        <w:t>in writing.</w:t>
      </w:r>
      <w:r w:rsidR="00341560" w:rsidRPr="00341560">
        <w:rPr>
          <w:rFonts w:ascii="Times New Roman" w:hAnsi="Times New Roman"/>
          <w:bCs/>
          <w:sz w:val="24"/>
          <w:szCs w:val="24"/>
        </w:rPr>
        <w:t xml:space="preserve"> </w:t>
      </w:r>
      <w:r w:rsidR="00F1520C" w:rsidRPr="00341560">
        <w:rPr>
          <w:rFonts w:ascii="Times New Roman" w:hAnsi="Times New Roman"/>
          <w:bCs/>
          <w:sz w:val="24"/>
          <w:szCs w:val="24"/>
        </w:rPr>
        <w:t xml:space="preserve">The matter proceeded and </w:t>
      </w:r>
      <w:r w:rsidR="00341560" w:rsidRPr="00341560">
        <w:rPr>
          <w:rFonts w:ascii="Times New Roman" w:hAnsi="Times New Roman"/>
          <w:bCs/>
          <w:sz w:val="24"/>
          <w:szCs w:val="24"/>
        </w:rPr>
        <w:t>the parties</w:t>
      </w:r>
      <w:r w:rsidR="00F1520C" w:rsidRPr="00341560">
        <w:rPr>
          <w:rFonts w:ascii="Times New Roman" w:hAnsi="Times New Roman"/>
          <w:bCs/>
          <w:sz w:val="24"/>
          <w:szCs w:val="24"/>
        </w:rPr>
        <w:t xml:space="preserve"> submitted written testimony. </w:t>
      </w:r>
    </w:p>
    <w:p w14:paraId="41EB478E" w14:textId="5E134103" w:rsidR="00485DBE" w:rsidRPr="008D02C6" w:rsidRDefault="00485DBE" w:rsidP="00485DBE">
      <w:pPr>
        <w:spacing w:line="360" w:lineRule="auto"/>
        <w:ind w:firstLine="1440"/>
      </w:pPr>
      <w:r w:rsidRPr="008D02C6">
        <w:lastRenderedPageBreak/>
        <w:t xml:space="preserve">Given </w:t>
      </w:r>
      <w:r>
        <w:t>COVID-19</w:t>
      </w:r>
      <w:r w:rsidRPr="008D02C6">
        <w:t xml:space="preserve"> stay home directive</w:t>
      </w:r>
      <w:r>
        <w:t>s issued during this period, an order was issued on</w:t>
      </w:r>
      <w:r w:rsidRPr="008D02C6">
        <w:t xml:space="preserve"> April 14, 2020</w:t>
      </w:r>
      <w:r>
        <w:t xml:space="preserve"> that extended deadlines</w:t>
      </w:r>
      <w:r w:rsidRPr="008D02C6">
        <w:t xml:space="preserve"> as follows:</w:t>
      </w:r>
    </w:p>
    <w:p w14:paraId="7A24F8B6" w14:textId="77777777" w:rsidR="00485DBE" w:rsidRPr="008D02C6" w:rsidRDefault="00485DBE" w:rsidP="00485DBE">
      <w:pPr>
        <w:pStyle w:val="ListParagraph"/>
        <w:numPr>
          <w:ilvl w:val="4"/>
          <w:numId w:val="3"/>
        </w:numPr>
        <w:tabs>
          <w:tab w:val="left" w:pos="-720"/>
          <w:tab w:val="left" w:pos="2610"/>
        </w:tabs>
        <w:suppressAutoHyphens/>
        <w:autoSpaceDE w:val="0"/>
        <w:autoSpaceDN w:val="0"/>
        <w:ind w:left="2880" w:right="1440"/>
        <w:contextualSpacing w:val="0"/>
      </w:pPr>
      <w:r w:rsidRPr="008D02C6">
        <w:rPr>
          <w:bCs/>
        </w:rPr>
        <w:t xml:space="preserve">Rebuttal written testimony of the Respondent witnesses, with exhibits – </w:t>
      </w:r>
      <w:r w:rsidRPr="008D02C6">
        <w:rPr>
          <w:b/>
        </w:rPr>
        <w:t>June 18, 2020.</w:t>
      </w:r>
    </w:p>
    <w:p w14:paraId="77664E0F" w14:textId="77777777" w:rsidR="00485DBE" w:rsidRPr="008D02C6" w:rsidRDefault="00485DBE" w:rsidP="00485DBE">
      <w:pPr>
        <w:pStyle w:val="ListParagraph"/>
        <w:numPr>
          <w:ilvl w:val="1"/>
          <w:numId w:val="3"/>
        </w:numPr>
        <w:tabs>
          <w:tab w:val="left" w:pos="-720"/>
          <w:tab w:val="left" w:pos="2160"/>
        </w:tabs>
        <w:suppressAutoHyphens/>
        <w:autoSpaceDE w:val="0"/>
        <w:autoSpaceDN w:val="0"/>
        <w:ind w:left="2880" w:right="1440"/>
        <w:contextualSpacing w:val="0"/>
        <w:rPr>
          <w:b/>
        </w:rPr>
      </w:pPr>
      <w:r w:rsidRPr="008D02C6">
        <w:rPr>
          <w:bCs/>
        </w:rPr>
        <w:t xml:space="preserve">Surrebuttal written testimony of the Complainants, and testimony and exhibits of Mr. Bathgate - </w:t>
      </w:r>
      <w:r w:rsidRPr="008D02C6">
        <w:rPr>
          <w:b/>
        </w:rPr>
        <w:t>July 9, 2020.</w:t>
      </w:r>
    </w:p>
    <w:p w14:paraId="2ACD7DAD" w14:textId="77777777" w:rsidR="00485DBE" w:rsidRDefault="00485DBE" w:rsidP="00485DBE">
      <w:pPr>
        <w:pStyle w:val="ListParagraph"/>
        <w:numPr>
          <w:ilvl w:val="1"/>
          <w:numId w:val="3"/>
        </w:numPr>
        <w:tabs>
          <w:tab w:val="left" w:pos="-720"/>
          <w:tab w:val="left" w:pos="2160"/>
        </w:tabs>
        <w:suppressAutoHyphens/>
        <w:autoSpaceDE w:val="0"/>
        <w:autoSpaceDN w:val="0"/>
        <w:ind w:left="2880" w:right="1440"/>
        <w:contextualSpacing w:val="0"/>
        <w:rPr>
          <w:bCs/>
        </w:rPr>
      </w:pPr>
      <w:r w:rsidRPr="008D02C6">
        <w:rPr>
          <w:bCs/>
        </w:rPr>
        <w:t xml:space="preserve">Respondent Rebuttal testimony and evidence regarding Mr. Bathgate – </w:t>
      </w:r>
      <w:r w:rsidRPr="008D02C6">
        <w:rPr>
          <w:b/>
        </w:rPr>
        <w:t>July 23, 2020</w:t>
      </w:r>
      <w:r w:rsidRPr="008D02C6">
        <w:rPr>
          <w:bCs/>
        </w:rPr>
        <w:t>.</w:t>
      </w:r>
    </w:p>
    <w:p w14:paraId="7C3FB76E" w14:textId="77777777" w:rsidR="00485DBE" w:rsidRPr="008D02C6" w:rsidRDefault="00485DBE" w:rsidP="00485DBE">
      <w:pPr>
        <w:pStyle w:val="ListParagraph"/>
        <w:tabs>
          <w:tab w:val="left" w:pos="-720"/>
          <w:tab w:val="left" w:pos="2160"/>
        </w:tabs>
        <w:suppressAutoHyphens/>
        <w:autoSpaceDE w:val="0"/>
        <w:autoSpaceDN w:val="0"/>
        <w:ind w:left="2880" w:right="1440"/>
        <w:contextualSpacing w:val="0"/>
        <w:rPr>
          <w:bCs/>
        </w:rPr>
      </w:pPr>
    </w:p>
    <w:p w14:paraId="75EE3C74" w14:textId="5C3D0EA5" w:rsidR="00485DBE" w:rsidRDefault="00485DBE" w:rsidP="00485DBE">
      <w:pPr>
        <w:pStyle w:val="NoSpacing"/>
        <w:spacing w:line="360" w:lineRule="auto"/>
        <w:rPr>
          <w:rFonts w:ascii="Times New Roman" w:hAnsi="Times New Roman"/>
          <w:bCs/>
          <w:sz w:val="24"/>
          <w:szCs w:val="24"/>
        </w:rPr>
      </w:pPr>
      <w:r>
        <w:rPr>
          <w:rFonts w:ascii="Times New Roman" w:hAnsi="Times New Roman"/>
          <w:bCs/>
          <w:sz w:val="24"/>
          <w:szCs w:val="24"/>
        </w:rPr>
        <w:t xml:space="preserve">On July 6, 2020, the Complainants filed what is entitled </w:t>
      </w:r>
      <w:r w:rsidR="00CA0572">
        <w:rPr>
          <w:rFonts w:ascii="Times New Roman" w:hAnsi="Times New Roman"/>
          <w:bCs/>
          <w:sz w:val="24"/>
          <w:szCs w:val="24"/>
        </w:rPr>
        <w:t>“</w:t>
      </w:r>
      <w:r>
        <w:rPr>
          <w:rFonts w:ascii="Times New Roman" w:hAnsi="Times New Roman"/>
          <w:bCs/>
          <w:sz w:val="24"/>
          <w:szCs w:val="24"/>
        </w:rPr>
        <w:t>Main Brief.</w:t>
      </w:r>
      <w:r w:rsidR="00CA0572">
        <w:rPr>
          <w:rFonts w:ascii="Times New Roman" w:hAnsi="Times New Roman"/>
          <w:bCs/>
          <w:sz w:val="24"/>
          <w:szCs w:val="24"/>
        </w:rPr>
        <w:t>”</w:t>
      </w:r>
      <w:r>
        <w:rPr>
          <w:rFonts w:ascii="Times New Roman" w:hAnsi="Times New Roman"/>
          <w:bCs/>
          <w:sz w:val="24"/>
          <w:szCs w:val="24"/>
        </w:rPr>
        <w:t xml:space="preserve"> </w:t>
      </w:r>
    </w:p>
    <w:p w14:paraId="3495E879" w14:textId="77777777" w:rsidR="00485DBE" w:rsidRDefault="00485DBE" w:rsidP="00485DBE">
      <w:pPr>
        <w:pStyle w:val="NoSpacing"/>
        <w:spacing w:line="360" w:lineRule="auto"/>
        <w:rPr>
          <w:rFonts w:ascii="Times New Roman" w:hAnsi="Times New Roman"/>
          <w:bCs/>
          <w:sz w:val="24"/>
          <w:szCs w:val="24"/>
        </w:rPr>
      </w:pPr>
    </w:p>
    <w:p w14:paraId="4514C7D6" w14:textId="590282DD" w:rsidR="00F1520C" w:rsidRPr="00341560" w:rsidRDefault="00F1520C" w:rsidP="00485DBE">
      <w:pPr>
        <w:pStyle w:val="NoSpacing"/>
        <w:spacing w:line="360" w:lineRule="auto"/>
        <w:ind w:firstLine="1440"/>
        <w:rPr>
          <w:rFonts w:ascii="Times New Roman" w:hAnsi="Times New Roman"/>
          <w:bCs/>
          <w:sz w:val="24"/>
          <w:szCs w:val="24"/>
        </w:rPr>
      </w:pPr>
      <w:r w:rsidRPr="00341560">
        <w:rPr>
          <w:rFonts w:ascii="Times New Roman" w:hAnsi="Times New Roman"/>
          <w:bCs/>
          <w:sz w:val="24"/>
          <w:szCs w:val="24"/>
        </w:rPr>
        <w:t xml:space="preserve">A </w:t>
      </w:r>
      <w:r w:rsidR="00341560" w:rsidRPr="00341560">
        <w:rPr>
          <w:rFonts w:ascii="Times New Roman" w:hAnsi="Times New Roman"/>
          <w:bCs/>
          <w:sz w:val="24"/>
          <w:szCs w:val="24"/>
        </w:rPr>
        <w:t>B</w:t>
      </w:r>
      <w:r w:rsidRPr="00341560">
        <w:rPr>
          <w:rFonts w:ascii="Times New Roman" w:hAnsi="Times New Roman"/>
          <w:bCs/>
          <w:sz w:val="24"/>
          <w:szCs w:val="24"/>
        </w:rPr>
        <w:t>riefing Order was issued on August 10, 202</w:t>
      </w:r>
      <w:r w:rsidR="00341560" w:rsidRPr="00341560">
        <w:rPr>
          <w:rFonts w:ascii="Times New Roman" w:hAnsi="Times New Roman"/>
          <w:bCs/>
          <w:sz w:val="24"/>
          <w:szCs w:val="24"/>
        </w:rPr>
        <w:t>0</w:t>
      </w:r>
      <w:r w:rsidRPr="00341560">
        <w:rPr>
          <w:rFonts w:ascii="Times New Roman" w:hAnsi="Times New Roman"/>
          <w:bCs/>
          <w:sz w:val="24"/>
          <w:szCs w:val="24"/>
        </w:rPr>
        <w:t>, which required that the parties file Main Briefs on or before September 9, 202</w:t>
      </w:r>
      <w:r w:rsidR="00341560" w:rsidRPr="00341560">
        <w:rPr>
          <w:rFonts w:ascii="Times New Roman" w:hAnsi="Times New Roman"/>
          <w:bCs/>
          <w:sz w:val="24"/>
          <w:szCs w:val="24"/>
        </w:rPr>
        <w:t>0</w:t>
      </w:r>
      <w:r w:rsidRPr="00341560">
        <w:rPr>
          <w:rFonts w:ascii="Times New Roman" w:hAnsi="Times New Roman"/>
          <w:bCs/>
          <w:sz w:val="24"/>
          <w:szCs w:val="24"/>
        </w:rPr>
        <w:t xml:space="preserve"> and that the parties file Reply Briefs by September 30, 2020. On September 2, 2020, Metropolitan Edison </w:t>
      </w:r>
      <w:r w:rsidR="00341560">
        <w:rPr>
          <w:rFonts w:ascii="Times New Roman" w:hAnsi="Times New Roman"/>
          <w:bCs/>
          <w:sz w:val="24"/>
          <w:szCs w:val="24"/>
        </w:rPr>
        <w:t>submitted</w:t>
      </w:r>
      <w:r w:rsidRPr="00341560">
        <w:rPr>
          <w:rFonts w:ascii="Times New Roman" w:hAnsi="Times New Roman"/>
          <w:bCs/>
          <w:sz w:val="24"/>
          <w:szCs w:val="24"/>
        </w:rPr>
        <w:t xml:space="preserve"> Objections to Discovery Requests </w:t>
      </w:r>
      <w:r w:rsidR="00341560">
        <w:rPr>
          <w:rFonts w:ascii="Times New Roman" w:hAnsi="Times New Roman"/>
          <w:bCs/>
          <w:sz w:val="24"/>
          <w:szCs w:val="24"/>
        </w:rPr>
        <w:t>of</w:t>
      </w:r>
      <w:r w:rsidRPr="00341560">
        <w:rPr>
          <w:rFonts w:ascii="Times New Roman" w:hAnsi="Times New Roman"/>
          <w:bCs/>
          <w:sz w:val="24"/>
          <w:szCs w:val="24"/>
        </w:rPr>
        <w:t xml:space="preserve"> the Complainants. Metropolitan Edison filed </w:t>
      </w:r>
      <w:r w:rsidR="001B0C82">
        <w:rPr>
          <w:rFonts w:ascii="Times New Roman" w:hAnsi="Times New Roman"/>
          <w:bCs/>
          <w:sz w:val="24"/>
          <w:szCs w:val="24"/>
        </w:rPr>
        <w:t xml:space="preserve">a </w:t>
      </w:r>
      <w:r w:rsidRPr="00341560">
        <w:rPr>
          <w:rFonts w:ascii="Times New Roman" w:hAnsi="Times New Roman"/>
          <w:bCs/>
          <w:sz w:val="24"/>
          <w:szCs w:val="24"/>
        </w:rPr>
        <w:t xml:space="preserve">Main Brief and </w:t>
      </w:r>
      <w:r w:rsidR="001B0C82">
        <w:rPr>
          <w:rFonts w:ascii="Times New Roman" w:hAnsi="Times New Roman"/>
          <w:bCs/>
          <w:sz w:val="24"/>
          <w:szCs w:val="24"/>
        </w:rPr>
        <w:t xml:space="preserve">a </w:t>
      </w:r>
      <w:r w:rsidRPr="00341560">
        <w:rPr>
          <w:rFonts w:ascii="Times New Roman" w:hAnsi="Times New Roman"/>
          <w:bCs/>
          <w:sz w:val="24"/>
          <w:szCs w:val="24"/>
        </w:rPr>
        <w:t>Reply Briefs</w:t>
      </w:r>
      <w:r w:rsidR="00341560">
        <w:rPr>
          <w:rFonts w:ascii="Times New Roman" w:hAnsi="Times New Roman"/>
          <w:bCs/>
          <w:sz w:val="24"/>
          <w:szCs w:val="24"/>
        </w:rPr>
        <w:t xml:space="preserve"> by the due dates</w:t>
      </w:r>
      <w:r w:rsidRPr="00341560">
        <w:rPr>
          <w:rFonts w:ascii="Times New Roman" w:hAnsi="Times New Roman"/>
          <w:bCs/>
          <w:sz w:val="24"/>
          <w:szCs w:val="24"/>
        </w:rPr>
        <w:t xml:space="preserve">. </w:t>
      </w:r>
      <w:r w:rsidRPr="00341560">
        <w:rPr>
          <w:rStyle w:val="FootnoteReference"/>
          <w:rFonts w:ascii="Times New Roman" w:hAnsi="Times New Roman"/>
          <w:bCs/>
          <w:sz w:val="24"/>
          <w:szCs w:val="24"/>
        </w:rPr>
        <w:footnoteReference w:id="1"/>
      </w:r>
    </w:p>
    <w:p w14:paraId="4B3406F9" w14:textId="77777777" w:rsidR="001F257F" w:rsidRPr="00341560" w:rsidRDefault="001F257F" w:rsidP="00F1520C">
      <w:pPr>
        <w:pStyle w:val="NoSpacing"/>
        <w:spacing w:line="360" w:lineRule="auto"/>
        <w:ind w:firstLine="1440"/>
        <w:rPr>
          <w:rFonts w:ascii="Times New Roman" w:hAnsi="Times New Roman"/>
          <w:bCs/>
          <w:sz w:val="24"/>
          <w:szCs w:val="24"/>
        </w:rPr>
      </w:pPr>
    </w:p>
    <w:p w14:paraId="6791F70A" w14:textId="7D0B3649" w:rsidR="001F257F" w:rsidRPr="00341560" w:rsidRDefault="001F257F" w:rsidP="001F257F">
      <w:pPr>
        <w:spacing w:line="360" w:lineRule="auto"/>
        <w:ind w:firstLine="1440"/>
      </w:pPr>
      <w:r w:rsidRPr="00341560">
        <w:rPr>
          <w:bCs/>
        </w:rPr>
        <w:t>On October 8, 202</w:t>
      </w:r>
      <w:r w:rsidR="00341560">
        <w:rPr>
          <w:bCs/>
        </w:rPr>
        <w:t>0</w:t>
      </w:r>
      <w:r w:rsidRPr="00341560">
        <w:rPr>
          <w:bCs/>
        </w:rPr>
        <w:t xml:space="preserve"> the </w:t>
      </w:r>
      <w:r w:rsidRPr="00341560">
        <w:t xml:space="preserve">Commonwealth Court issued rulings regarding </w:t>
      </w:r>
      <w:r w:rsidR="00341560">
        <w:t>s</w:t>
      </w:r>
      <w:r w:rsidRPr="00341560">
        <w:t xml:space="preserve">mart </w:t>
      </w:r>
      <w:r w:rsidR="00341560">
        <w:t>m</w:t>
      </w:r>
      <w:r w:rsidRPr="00341560">
        <w:t>eter</w:t>
      </w:r>
      <w:r w:rsidR="00341560">
        <w:t xml:space="preserve"> procurement and installation</w:t>
      </w:r>
      <w:r w:rsidRPr="00341560">
        <w:t xml:space="preserve"> in </w:t>
      </w:r>
      <w:proofErr w:type="spellStart"/>
      <w:r w:rsidRPr="00341560">
        <w:rPr>
          <w:i/>
          <w:iCs/>
        </w:rPr>
        <w:t>Povacz</w:t>
      </w:r>
      <w:proofErr w:type="spellEnd"/>
      <w:r w:rsidRPr="00341560">
        <w:rPr>
          <w:i/>
          <w:iCs/>
        </w:rPr>
        <w:t xml:space="preserve"> v PECO</w:t>
      </w:r>
      <w:r w:rsidRPr="00341560">
        <w:t xml:space="preserve">, 492 C.D. 2019, </w:t>
      </w:r>
      <w:r w:rsidRPr="00341560">
        <w:rPr>
          <w:i/>
          <w:iCs/>
        </w:rPr>
        <w:t>Murphy v. PECO</w:t>
      </w:r>
      <w:r w:rsidRPr="00341560">
        <w:t xml:space="preserve">, 606 C.D. 2019, and </w:t>
      </w:r>
      <w:r w:rsidRPr="00341560">
        <w:rPr>
          <w:i/>
          <w:iCs/>
        </w:rPr>
        <w:t>Randall and</w:t>
      </w:r>
      <w:r w:rsidRPr="00341560">
        <w:t xml:space="preserve"> </w:t>
      </w:r>
      <w:r w:rsidRPr="00341560">
        <w:rPr>
          <w:i/>
          <w:iCs/>
        </w:rPr>
        <w:t>Albrecht v PECO</w:t>
      </w:r>
      <w:r w:rsidRPr="00341560">
        <w:t xml:space="preserve">, 607 C.D. 2019. </w:t>
      </w:r>
      <w:r w:rsidR="00341560">
        <w:t>On</w:t>
      </w:r>
      <w:r w:rsidRPr="00341560">
        <w:t xml:space="preserve"> October 8, 2020, </w:t>
      </w:r>
      <w:r w:rsidR="00341560">
        <w:t xml:space="preserve">and in consideration of the Commonwealth Court rulings, </w:t>
      </w:r>
      <w:r w:rsidRPr="00341560">
        <w:t xml:space="preserve">an order was issued allowing the parties </w:t>
      </w:r>
      <w:r w:rsidR="00341560">
        <w:t>in this matter</w:t>
      </w:r>
      <w:r w:rsidRPr="00341560">
        <w:t xml:space="preserve"> to file Supplemental Briefs no later than October 30, 2020. </w:t>
      </w:r>
    </w:p>
    <w:p w14:paraId="279BBED2" w14:textId="77777777" w:rsidR="001F257F" w:rsidRPr="00341560" w:rsidRDefault="001F257F" w:rsidP="001F257F">
      <w:pPr>
        <w:spacing w:line="360" w:lineRule="auto"/>
        <w:ind w:firstLine="1440"/>
      </w:pPr>
    </w:p>
    <w:p w14:paraId="606DAF21" w14:textId="3F59F599" w:rsidR="001F257F" w:rsidRPr="00341560" w:rsidRDefault="001F257F" w:rsidP="001F257F">
      <w:pPr>
        <w:spacing w:line="360" w:lineRule="auto"/>
        <w:ind w:firstLine="1440"/>
      </w:pPr>
      <w:r w:rsidRPr="00341560">
        <w:t xml:space="preserve">On </w:t>
      </w:r>
      <w:r w:rsidR="00342606" w:rsidRPr="00341560">
        <w:t>October 16, 202</w:t>
      </w:r>
      <w:r w:rsidR="00341560">
        <w:t>0</w:t>
      </w:r>
      <w:r w:rsidR="00342606" w:rsidRPr="00341560">
        <w:t xml:space="preserve">, Metropolitan Edison filed a Motion to Stay the Proceedings pending an Order of the Pennsylvania Supreme Court or final orders of the Commission </w:t>
      </w:r>
      <w:proofErr w:type="gramStart"/>
      <w:r w:rsidR="00342606" w:rsidRPr="00341560">
        <w:t>in light of</w:t>
      </w:r>
      <w:proofErr w:type="gramEnd"/>
      <w:r w:rsidR="00342606" w:rsidRPr="00341560">
        <w:t xml:space="preserve"> the </w:t>
      </w:r>
      <w:proofErr w:type="spellStart"/>
      <w:r w:rsidR="00342606" w:rsidRPr="00FE2DB1">
        <w:rPr>
          <w:i/>
          <w:iCs/>
        </w:rPr>
        <w:t>Povacz</w:t>
      </w:r>
      <w:proofErr w:type="spellEnd"/>
      <w:r w:rsidR="00342606" w:rsidRPr="00341560">
        <w:t xml:space="preserve">, </w:t>
      </w:r>
      <w:r w:rsidR="00342606" w:rsidRPr="00341560">
        <w:rPr>
          <w:i/>
          <w:iCs/>
        </w:rPr>
        <w:t>et al</w:t>
      </w:r>
      <w:r w:rsidR="00342606" w:rsidRPr="00341560">
        <w:t xml:space="preserve"> </w:t>
      </w:r>
      <w:r w:rsidR="00341560">
        <w:t>decisions</w:t>
      </w:r>
      <w:r w:rsidR="00342606" w:rsidRPr="00341560">
        <w:t xml:space="preserve">. </w:t>
      </w:r>
    </w:p>
    <w:p w14:paraId="647DDBAA" w14:textId="77777777" w:rsidR="00342606" w:rsidRPr="00341560" w:rsidRDefault="00342606" w:rsidP="001F257F">
      <w:pPr>
        <w:spacing w:line="360" w:lineRule="auto"/>
        <w:ind w:firstLine="1440"/>
      </w:pPr>
    </w:p>
    <w:p w14:paraId="3E76F44B" w14:textId="4C3F3250" w:rsidR="00052BB1" w:rsidRPr="00CA0572" w:rsidRDefault="00342606" w:rsidP="00342606">
      <w:pPr>
        <w:spacing w:line="360" w:lineRule="auto"/>
        <w:ind w:firstLine="1440"/>
      </w:pPr>
      <w:r w:rsidRPr="00341560">
        <w:t xml:space="preserve">On </w:t>
      </w:r>
      <w:r w:rsidR="00CA0572">
        <w:t>November 4</w:t>
      </w:r>
      <w:r w:rsidRPr="00341560">
        <w:t xml:space="preserve">, 2020 the Commission </w:t>
      </w:r>
      <w:r w:rsidR="00CA0572">
        <w:t>entered</w:t>
      </w:r>
      <w:r w:rsidRPr="00341560">
        <w:t xml:space="preserve"> an Order staying formal complaint proceedings “presently before the Commission involving challenges to electric distribution </w:t>
      </w:r>
      <w:r w:rsidRPr="00CA0572">
        <w:lastRenderedPageBreak/>
        <w:t xml:space="preserve">company (EDC) deployment of smart meter technology as being in violation of Section 1501 of the Pennsylvania Public Utility Code (Code), 66 Pa. C.S. § 1501.” </w:t>
      </w:r>
      <w:r w:rsidR="00CA0572" w:rsidRPr="00CA0572">
        <w:rPr>
          <w:i/>
          <w:iCs/>
        </w:rPr>
        <w:t>Smart Meter Procurement and Installation</w:t>
      </w:r>
      <w:r w:rsidR="00CA0572" w:rsidRPr="00CA0572">
        <w:t>, Docket No. M-2009-2092655 (Order entered  November 4, 2020) (November 2020 Order)</w:t>
      </w:r>
      <w:r w:rsidR="00CA0572">
        <w:t>.</w:t>
      </w:r>
      <w:r w:rsidRPr="00CA0572">
        <w:t xml:space="preserve"> </w:t>
      </w:r>
      <w:r w:rsidR="001B0C82">
        <w:t>O</w:t>
      </w:r>
      <w:r w:rsidRPr="00CA0572">
        <w:t xml:space="preserve">n November 4, 2020, </w:t>
      </w:r>
      <w:r w:rsidR="00CA0572">
        <w:t>a</w:t>
      </w:r>
      <w:r w:rsidRPr="00CA0572">
        <w:t xml:space="preserve"> list of </w:t>
      </w:r>
      <w:r w:rsidR="001B0C82">
        <w:t xml:space="preserve">the docket numbers of </w:t>
      </w:r>
      <w:r w:rsidRPr="00CA0572">
        <w:t>matters stayed</w:t>
      </w:r>
      <w:r w:rsidR="001B0C82">
        <w:t xml:space="preserve"> was issued.</w:t>
      </w:r>
      <w:r w:rsidRPr="00CA0572">
        <w:t xml:space="preserve"> The Complaints </w:t>
      </w:r>
      <w:r w:rsidR="001B0C82">
        <w:t>here</w:t>
      </w:r>
      <w:r w:rsidRPr="00CA0572">
        <w:t xml:space="preserve"> are on that list. </w:t>
      </w:r>
    </w:p>
    <w:p w14:paraId="1C44BAA6" w14:textId="77777777" w:rsidR="00342606" w:rsidRPr="00341560" w:rsidRDefault="00342606" w:rsidP="00342606">
      <w:pPr>
        <w:spacing w:line="360" w:lineRule="auto"/>
        <w:ind w:firstLine="1440"/>
      </w:pPr>
    </w:p>
    <w:p w14:paraId="43AB7BA5" w14:textId="5215B681" w:rsidR="00342606" w:rsidRPr="00341560" w:rsidRDefault="00342606" w:rsidP="00342606">
      <w:pPr>
        <w:spacing w:line="360" w:lineRule="auto"/>
        <w:ind w:firstLine="1440"/>
      </w:pPr>
      <w:r w:rsidRPr="00341560">
        <w:t xml:space="preserve">By order entered November 14, 2023, the Commission lifted the stay “on all formal complaint proceedings pending before the Commission challenging an electric distribution company’s deployment of smart meter technology as being in violation of the Pennsylvania Public Utility Code, Commission Regulations or Commission Order.” November 14, 2023. In the Order, the Commission stated: </w:t>
      </w:r>
    </w:p>
    <w:p w14:paraId="737B75B0" w14:textId="77777777" w:rsidR="00844052" w:rsidRPr="00341560" w:rsidRDefault="00844052" w:rsidP="00342606">
      <w:pPr>
        <w:spacing w:line="360" w:lineRule="auto"/>
        <w:ind w:firstLine="1440"/>
      </w:pPr>
    </w:p>
    <w:p w14:paraId="2DBB82A1" w14:textId="1ED02AFE" w:rsidR="00342606" w:rsidRPr="00341560" w:rsidRDefault="00342606" w:rsidP="00844052">
      <w:pPr>
        <w:ind w:left="1440"/>
      </w:pPr>
      <w:r w:rsidRPr="00341560">
        <w:t xml:space="preserve">The Supreme Court noted that while Act 129 does not provide customers with the right to opt-out of smart meter installation at their residence, they may file a complaint with the Commission raising a claim that installation of a smart meter violates Section 1501 of the Code, 66 </w:t>
      </w:r>
      <w:proofErr w:type="spellStart"/>
      <w:r w:rsidRPr="00341560">
        <w:t>Pa.C.S</w:t>
      </w:r>
      <w:proofErr w:type="spellEnd"/>
      <w:r w:rsidRPr="00341560">
        <w:t xml:space="preserve">. § 1501. The Supreme Court reiterated that complainants seeking relief from the Commission must satisfy their burden of proof by a preponderance of the </w:t>
      </w:r>
      <w:proofErr w:type="spellStart"/>
      <w:r w:rsidRPr="00341560">
        <w:t>evidence.The</w:t>
      </w:r>
      <w:proofErr w:type="spellEnd"/>
      <w:r w:rsidRPr="00341560">
        <w:t xml:space="preserve"> Supreme Court explained that inconclusive evidence – evidence that does not lead to a conclusion of a definite result one way or the other – does not meet even the minimal requirements of the preponderance of the evidence standard. Id. at 1005. The Supreme Court opined that while a customer’s evidence does 5 not need to prove their assertion beyond any doubt, evidence of a mere possibility that harm could result is insufficient to satisfy the preponderance of the evidence standard. Id. at 1008</w:t>
      </w:r>
    </w:p>
    <w:p w14:paraId="03B9E8AD" w14:textId="77777777" w:rsidR="00342606" w:rsidRPr="00341560" w:rsidRDefault="00342606" w:rsidP="00342606">
      <w:pPr>
        <w:spacing w:line="360" w:lineRule="auto"/>
      </w:pPr>
    </w:p>
    <w:p w14:paraId="77A7FAC3" w14:textId="093D6B89" w:rsidR="00342606" w:rsidRPr="00341560" w:rsidRDefault="00844052" w:rsidP="00342606">
      <w:pPr>
        <w:spacing w:line="360" w:lineRule="auto"/>
      </w:pPr>
      <w:r w:rsidRPr="00341560">
        <w:t xml:space="preserve">A </w:t>
      </w:r>
      <w:r w:rsidR="003840B1">
        <w:t xml:space="preserve">Commission </w:t>
      </w:r>
      <w:r w:rsidRPr="00341560">
        <w:t xml:space="preserve">Notice dated November 14, 2023 and issued in each stayed matter states that the parties shall proceed according to the Commission regulations governing formal proceedings as directed by the presiding Administrative Law Judge. November 14, 2023 Notice. </w:t>
      </w:r>
    </w:p>
    <w:p w14:paraId="6EAD0EE0" w14:textId="77777777" w:rsidR="00844052" w:rsidRPr="00341560" w:rsidRDefault="00844052" w:rsidP="00342606">
      <w:pPr>
        <w:spacing w:line="360" w:lineRule="auto"/>
      </w:pPr>
    </w:p>
    <w:p w14:paraId="6C1B3D65" w14:textId="5F60A67E" w:rsidR="00844052" w:rsidRPr="00341560" w:rsidRDefault="00844052" w:rsidP="00342606">
      <w:pPr>
        <w:spacing w:line="360" w:lineRule="auto"/>
      </w:pPr>
      <w:r w:rsidRPr="00341560">
        <w:t>OBJECTIONS TO DISCOVERY</w:t>
      </w:r>
    </w:p>
    <w:p w14:paraId="476F8912" w14:textId="77777777" w:rsidR="00844052" w:rsidRPr="00341560" w:rsidRDefault="00844052" w:rsidP="00342606">
      <w:pPr>
        <w:spacing w:line="360" w:lineRule="auto"/>
      </w:pPr>
    </w:p>
    <w:p w14:paraId="65CA9631" w14:textId="0D3D8261" w:rsidR="00844052" w:rsidRPr="00341560" w:rsidRDefault="00844052" w:rsidP="003840B1">
      <w:pPr>
        <w:spacing w:line="360" w:lineRule="auto"/>
        <w:ind w:firstLine="1440"/>
      </w:pPr>
      <w:r w:rsidRPr="00341560">
        <w:t xml:space="preserve">The Respondent has objected to certain </w:t>
      </w:r>
      <w:r w:rsidR="003840B1">
        <w:t>d</w:t>
      </w:r>
      <w:r w:rsidRPr="00341560">
        <w:t xml:space="preserve">iscovery requests </w:t>
      </w:r>
      <w:r w:rsidR="003840B1">
        <w:t xml:space="preserve">of the Complainants </w:t>
      </w:r>
      <w:r w:rsidRPr="00341560">
        <w:t xml:space="preserve">as irrelevant, outside of the scope of proceedings and not reasonably calculated to lead to the </w:t>
      </w:r>
      <w:r w:rsidRPr="00341560">
        <w:lastRenderedPageBreak/>
        <w:t>discovery of admissible evidence. After review of the requests and the record</w:t>
      </w:r>
      <w:r w:rsidR="003840B1">
        <w:t>, the rulings are as follows</w:t>
      </w:r>
      <w:r w:rsidRPr="00341560">
        <w:t>:</w:t>
      </w:r>
    </w:p>
    <w:p w14:paraId="685136C2" w14:textId="77777777" w:rsidR="00844052" w:rsidRPr="00341560" w:rsidRDefault="00844052" w:rsidP="00342606">
      <w:pPr>
        <w:spacing w:line="360" w:lineRule="auto"/>
      </w:pPr>
    </w:p>
    <w:p w14:paraId="54C871C9" w14:textId="6DE16C6B" w:rsidR="00844052" w:rsidRPr="00341560" w:rsidRDefault="00844052" w:rsidP="003840B1">
      <w:pPr>
        <w:spacing w:line="360" w:lineRule="auto"/>
        <w:ind w:left="720"/>
      </w:pPr>
      <w:r w:rsidRPr="00341560">
        <w:rPr>
          <w:u w:val="single"/>
        </w:rPr>
        <w:t xml:space="preserve">Objection to </w:t>
      </w:r>
      <w:proofErr w:type="spellStart"/>
      <w:r w:rsidRPr="00341560">
        <w:rPr>
          <w:u w:val="single"/>
        </w:rPr>
        <w:t>Mousios</w:t>
      </w:r>
      <w:proofErr w:type="spellEnd"/>
      <w:r w:rsidRPr="00341560">
        <w:rPr>
          <w:u w:val="single"/>
        </w:rPr>
        <w:t>/Commings Interrogatory Set I, No. 1</w:t>
      </w:r>
      <w:r w:rsidRPr="00341560">
        <w:t xml:space="preserve"> </w:t>
      </w:r>
      <w:r w:rsidR="009B5C93" w:rsidRPr="00341560">
        <w:t>: Sustained</w:t>
      </w:r>
      <w:r w:rsidRPr="00341560">
        <w:t xml:space="preserve"> in part and </w:t>
      </w:r>
      <w:r w:rsidR="009B5C93" w:rsidRPr="00341560">
        <w:t>Overruled</w:t>
      </w:r>
      <w:r w:rsidRPr="00341560">
        <w:t xml:space="preserve"> in part. Respondent to provide make and model of the smart meter deployed. Respondent should not provide any personal or usage information regarding the meter or the customer. </w:t>
      </w:r>
    </w:p>
    <w:p w14:paraId="2C11E232" w14:textId="77777777" w:rsidR="00844052" w:rsidRPr="00341560" w:rsidRDefault="00844052" w:rsidP="003840B1">
      <w:pPr>
        <w:spacing w:line="360" w:lineRule="auto"/>
        <w:ind w:left="720"/>
      </w:pPr>
    </w:p>
    <w:p w14:paraId="61A1EAD4" w14:textId="2B5568FF" w:rsidR="00844052" w:rsidRPr="00341560" w:rsidRDefault="00844052" w:rsidP="003840B1">
      <w:pPr>
        <w:spacing w:line="360" w:lineRule="auto"/>
        <w:ind w:left="720"/>
      </w:pPr>
      <w:r w:rsidRPr="00341560">
        <w:rPr>
          <w:u w:val="single"/>
        </w:rPr>
        <w:t xml:space="preserve">Objection to </w:t>
      </w:r>
      <w:proofErr w:type="spellStart"/>
      <w:r w:rsidRPr="00341560">
        <w:rPr>
          <w:u w:val="single"/>
        </w:rPr>
        <w:t>Mousios</w:t>
      </w:r>
      <w:proofErr w:type="spellEnd"/>
      <w:r w:rsidRPr="00341560">
        <w:rPr>
          <w:u w:val="single"/>
        </w:rPr>
        <w:t>/Commings Interrogatory Set</w:t>
      </w:r>
      <w:r w:rsidR="001B0C82">
        <w:rPr>
          <w:u w:val="single"/>
        </w:rPr>
        <w:t xml:space="preserve"> 1, No.</w:t>
      </w:r>
      <w:r w:rsidRPr="00341560">
        <w:rPr>
          <w:u w:val="single"/>
        </w:rPr>
        <w:t xml:space="preserve"> </w:t>
      </w:r>
      <w:r w:rsidR="009B5C93" w:rsidRPr="00341560">
        <w:rPr>
          <w:u w:val="single"/>
        </w:rPr>
        <w:t>3</w:t>
      </w:r>
      <w:r w:rsidR="009B5C93" w:rsidRPr="00341560">
        <w:t>:</w:t>
      </w:r>
      <w:r w:rsidR="001B0C82">
        <w:t xml:space="preserve"> </w:t>
      </w:r>
      <w:r w:rsidR="009B5C93" w:rsidRPr="00341560">
        <w:t>Overruled</w:t>
      </w:r>
      <w:r w:rsidRPr="00341560">
        <w:t xml:space="preserve">. Respondent should provide the information that it has in its possession. </w:t>
      </w:r>
    </w:p>
    <w:p w14:paraId="36257D92" w14:textId="77777777" w:rsidR="00844052" w:rsidRPr="00341560" w:rsidRDefault="00844052" w:rsidP="003840B1">
      <w:pPr>
        <w:spacing w:line="360" w:lineRule="auto"/>
        <w:ind w:left="720"/>
      </w:pPr>
    </w:p>
    <w:p w14:paraId="5AFCC014" w14:textId="18C58DE6" w:rsidR="00844052" w:rsidRPr="00341560" w:rsidRDefault="00844052" w:rsidP="003840B1">
      <w:pPr>
        <w:spacing w:line="360" w:lineRule="auto"/>
        <w:ind w:left="720"/>
      </w:pPr>
      <w:r w:rsidRPr="003840B1">
        <w:rPr>
          <w:u w:val="single"/>
        </w:rPr>
        <w:t xml:space="preserve">Objection to </w:t>
      </w:r>
      <w:proofErr w:type="spellStart"/>
      <w:r w:rsidRPr="003840B1">
        <w:rPr>
          <w:u w:val="single"/>
        </w:rPr>
        <w:t>Mousios</w:t>
      </w:r>
      <w:proofErr w:type="spellEnd"/>
      <w:r w:rsidRPr="003840B1">
        <w:rPr>
          <w:u w:val="single"/>
        </w:rPr>
        <w:t>/Commings Interrogatory Set I, No. 6b</w:t>
      </w:r>
      <w:r w:rsidRPr="00341560">
        <w:t xml:space="preserve">: </w:t>
      </w:r>
      <w:r w:rsidR="009B5C93" w:rsidRPr="00341560">
        <w:t>Overruled</w:t>
      </w:r>
      <w:r w:rsidRPr="00341560">
        <w:t>.</w:t>
      </w:r>
      <w:r w:rsidR="009B5C93" w:rsidRPr="00341560">
        <w:t xml:space="preserve"> Respondent should provide the information that it has in its possession.</w:t>
      </w:r>
    </w:p>
    <w:p w14:paraId="57866BD9" w14:textId="77777777" w:rsidR="009B5C93" w:rsidRPr="00341560" w:rsidRDefault="009B5C93" w:rsidP="003840B1">
      <w:pPr>
        <w:spacing w:line="360" w:lineRule="auto"/>
        <w:ind w:left="720"/>
      </w:pPr>
    </w:p>
    <w:p w14:paraId="0301AB6F" w14:textId="795973F8" w:rsidR="009B5C93" w:rsidRPr="00341560" w:rsidRDefault="009B5C93" w:rsidP="003840B1">
      <w:pPr>
        <w:spacing w:line="360" w:lineRule="auto"/>
        <w:ind w:left="720"/>
      </w:pPr>
      <w:r w:rsidRPr="003840B1">
        <w:rPr>
          <w:u w:val="single"/>
        </w:rPr>
        <w:t xml:space="preserve">Objection to </w:t>
      </w:r>
      <w:proofErr w:type="spellStart"/>
      <w:r w:rsidRPr="003840B1">
        <w:rPr>
          <w:u w:val="single"/>
        </w:rPr>
        <w:t>Mousios</w:t>
      </w:r>
      <w:proofErr w:type="spellEnd"/>
      <w:r w:rsidRPr="003840B1">
        <w:rPr>
          <w:u w:val="single"/>
        </w:rPr>
        <w:t>/Commings Interrogatory Set I, No.</w:t>
      </w:r>
      <w:r w:rsidR="003840B1">
        <w:rPr>
          <w:u w:val="single"/>
        </w:rPr>
        <w:t>7</w:t>
      </w:r>
      <w:r w:rsidRPr="00341560">
        <w:t>:</w:t>
      </w:r>
      <w:r w:rsidR="00FE2767">
        <w:t xml:space="preserve">  </w:t>
      </w:r>
      <w:r w:rsidRPr="00341560">
        <w:t xml:space="preserve"> Overruled. </w:t>
      </w:r>
    </w:p>
    <w:p w14:paraId="652BB032" w14:textId="77777777" w:rsidR="009B5C93" w:rsidRPr="00341560" w:rsidRDefault="009B5C93" w:rsidP="003840B1">
      <w:pPr>
        <w:spacing w:line="360" w:lineRule="auto"/>
        <w:ind w:left="720"/>
      </w:pPr>
    </w:p>
    <w:p w14:paraId="7DFADF68" w14:textId="61077C1B" w:rsidR="00844052" w:rsidRPr="00341560" w:rsidRDefault="009B5C93" w:rsidP="003840B1">
      <w:pPr>
        <w:spacing w:line="360" w:lineRule="auto"/>
        <w:ind w:left="720"/>
      </w:pPr>
      <w:r w:rsidRPr="003840B1">
        <w:rPr>
          <w:u w:val="single"/>
        </w:rPr>
        <w:t xml:space="preserve">Objection to </w:t>
      </w:r>
      <w:proofErr w:type="spellStart"/>
      <w:r w:rsidRPr="003840B1">
        <w:rPr>
          <w:u w:val="single"/>
        </w:rPr>
        <w:t>Mousios</w:t>
      </w:r>
      <w:proofErr w:type="spellEnd"/>
      <w:r w:rsidRPr="003840B1">
        <w:rPr>
          <w:u w:val="single"/>
        </w:rPr>
        <w:t>/Commings Interrogatory Set I, No.10</w:t>
      </w:r>
      <w:r w:rsidRPr="00341560">
        <w:t>: Overruled.</w:t>
      </w:r>
    </w:p>
    <w:p w14:paraId="36927CC2" w14:textId="77777777" w:rsidR="009B5C93" w:rsidRPr="00341560" w:rsidRDefault="009B5C93" w:rsidP="003840B1">
      <w:pPr>
        <w:spacing w:line="360" w:lineRule="auto"/>
        <w:ind w:left="720"/>
      </w:pPr>
    </w:p>
    <w:p w14:paraId="32DFE4A3" w14:textId="7406A3A5" w:rsidR="009B5C93" w:rsidRPr="00341560" w:rsidRDefault="009B5C93" w:rsidP="003840B1">
      <w:pPr>
        <w:spacing w:line="360" w:lineRule="auto"/>
        <w:ind w:left="720"/>
      </w:pPr>
      <w:r w:rsidRPr="003840B1">
        <w:rPr>
          <w:u w:val="single"/>
        </w:rPr>
        <w:t xml:space="preserve">Objection to </w:t>
      </w:r>
      <w:proofErr w:type="spellStart"/>
      <w:r w:rsidRPr="003840B1">
        <w:rPr>
          <w:u w:val="single"/>
        </w:rPr>
        <w:t>Mousios</w:t>
      </w:r>
      <w:proofErr w:type="spellEnd"/>
      <w:r w:rsidRPr="003840B1">
        <w:rPr>
          <w:u w:val="single"/>
        </w:rPr>
        <w:t>/Commings Interrogatory Set I, No.11</w:t>
      </w:r>
      <w:r w:rsidRPr="00341560">
        <w:t>: Overruled.</w:t>
      </w:r>
    </w:p>
    <w:p w14:paraId="7475DF1D" w14:textId="77777777" w:rsidR="009B5C93" w:rsidRPr="00341560" w:rsidRDefault="009B5C93" w:rsidP="003840B1">
      <w:pPr>
        <w:spacing w:line="360" w:lineRule="auto"/>
        <w:ind w:left="720"/>
      </w:pPr>
    </w:p>
    <w:p w14:paraId="596D8226" w14:textId="63199044" w:rsidR="009B5C93" w:rsidRPr="00341560" w:rsidRDefault="009B5C93" w:rsidP="003840B1">
      <w:pPr>
        <w:spacing w:line="360" w:lineRule="auto"/>
        <w:ind w:left="720"/>
      </w:pPr>
      <w:r w:rsidRPr="003840B1">
        <w:rPr>
          <w:u w:val="single"/>
        </w:rPr>
        <w:t xml:space="preserve">Objection to </w:t>
      </w:r>
      <w:proofErr w:type="spellStart"/>
      <w:r w:rsidRPr="003840B1">
        <w:rPr>
          <w:u w:val="single"/>
        </w:rPr>
        <w:t>Mousios</w:t>
      </w:r>
      <w:proofErr w:type="spellEnd"/>
      <w:r w:rsidRPr="003840B1">
        <w:rPr>
          <w:u w:val="single"/>
        </w:rPr>
        <w:t>/Commings Interrogatory Set I, No 13</w:t>
      </w:r>
      <w:r w:rsidRPr="00341560">
        <w:t>.: Overruled.</w:t>
      </w:r>
    </w:p>
    <w:p w14:paraId="03F4EA30" w14:textId="77777777" w:rsidR="009B5C93" w:rsidRPr="00341560" w:rsidRDefault="009B5C93" w:rsidP="003840B1">
      <w:pPr>
        <w:spacing w:line="360" w:lineRule="auto"/>
        <w:ind w:left="720"/>
      </w:pPr>
    </w:p>
    <w:p w14:paraId="67D0CADC" w14:textId="4A7984D1" w:rsidR="009B5C93" w:rsidRPr="00341560" w:rsidRDefault="009B5C93" w:rsidP="003840B1">
      <w:pPr>
        <w:spacing w:line="360" w:lineRule="auto"/>
        <w:ind w:left="720"/>
      </w:pPr>
      <w:r w:rsidRPr="003840B1">
        <w:rPr>
          <w:u w:val="single"/>
        </w:rPr>
        <w:t xml:space="preserve">Objection to </w:t>
      </w:r>
      <w:proofErr w:type="spellStart"/>
      <w:r w:rsidRPr="003840B1">
        <w:rPr>
          <w:u w:val="single"/>
        </w:rPr>
        <w:t>Mousios</w:t>
      </w:r>
      <w:proofErr w:type="spellEnd"/>
      <w:r w:rsidRPr="003840B1">
        <w:rPr>
          <w:u w:val="single"/>
        </w:rPr>
        <w:t>/Commings Interrogatory Set I, No.14</w:t>
      </w:r>
      <w:r w:rsidRPr="00341560">
        <w:t xml:space="preserve"> : Over</w:t>
      </w:r>
      <w:r w:rsidR="003840B1">
        <w:t>r</w:t>
      </w:r>
      <w:r w:rsidRPr="00341560">
        <w:t>uled</w:t>
      </w:r>
    </w:p>
    <w:p w14:paraId="76DC4C84" w14:textId="77777777" w:rsidR="009B5C93" w:rsidRPr="00341560" w:rsidRDefault="009B5C93" w:rsidP="003840B1">
      <w:pPr>
        <w:spacing w:line="360" w:lineRule="auto"/>
        <w:ind w:left="720"/>
      </w:pPr>
    </w:p>
    <w:p w14:paraId="7FECF69F" w14:textId="0208E59F" w:rsidR="009B5C93" w:rsidRPr="00341560" w:rsidRDefault="009B5C93" w:rsidP="003840B1">
      <w:pPr>
        <w:spacing w:line="360" w:lineRule="auto"/>
        <w:ind w:left="720"/>
      </w:pPr>
      <w:r w:rsidRPr="003840B1">
        <w:rPr>
          <w:u w:val="single"/>
        </w:rPr>
        <w:t xml:space="preserve">Objection to </w:t>
      </w:r>
      <w:proofErr w:type="spellStart"/>
      <w:r w:rsidRPr="003840B1">
        <w:rPr>
          <w:u w:val="single"/>
        </w:rPr>
        <w:t>Mousios</w:t>
      </w:r>
      <w:proofErr w:type="spellEnd"/>
      <w:r w:rsidRPr="003840B1">
        <w:rPr>
          <w:u w:val="single"/>
        </w:rPr>
        <w:t>/Commings Interrogatory Set I, No. 26</w:t>
      </w:r>
      <w:r w:rsidRPr="00341560">
        <w:t>: Sustained</w:t>
      </w:r>
    </w:p>
    <w:p w14:paraId="359E40BE" w14:textId="77777777" w:rsidR="009B5C93" w:rsidRPr="00341560" w:rsidRDefault="009B5C93" w:rsidP="003840B1">
      <w:pPr>
        <w:spacing w:line="360" w:lineRule="auto"/>
        <w:ind w:left="720"/>
      </w:pPr>
    </w:p>
    <w:p w14:paraId="46DD7C7D" w14:textId="3DBD2CFA" w:rsidR="009B5C93" w:rsidRPr="00341560" w:rsidRDefault="009B5C93" w:rsidP="003840B1">
      <w:pPr>
        <w:spacing w:line="360" w:lineRule="auto"/>
        <w:ind w:left="720"/>
      </w:pPr>
      <w:r w:rsidRPr="003840B1">
        <w:rPr>
          <w:u w:val="single"/>
        </w:rPr>
        <w:t xml:space="preserve">Objection to </w:t>
      </w:r>
      <w:proofErr w:type="spellStart"/>
      <w:r w:rsidRPr="003840B1">
        <w:rPr>
          <w:u w:val="single"/>
        </w:rPr>
        <w:t>Mousios</w:t>
      </w:r>
      <w:proofErr w:type="spellEnd"/>
      <w:r w:rsidRPr="003840B1">
        <w:rPr>
          <w:u w:val="single"/>
        </w:rPr>
        <w:t>/Commings Interrogatory Set I, No.30</w:t>
      </w:r>
      <w:r w:rsidRPr="00341560">
        <w:t>:  Sustained</w:t>
      </w:r>
    </w:p>
    <w:p w14:paraId="283688B9" w14:textId="77777777" w:rsidR="009B5C93" w:rsidRPr="00341560" w:rsidRDefault="009B5C93" w:rsidP="003840B1">
      <w:pPr>
        <w:spacing w:line="360" w:lineRule="auto"/>
        <w:ind w:left="720"/>
      </w:pPr>
    </w:p>
    <w:p w14:paraId="2B973A1A" w14:textId="35858797" w:rsidR="009B5C93" w:rsidRPr="00341560" w:rsidRDefault="009B5C93" w:rsidP="003840B1">
      <w:pPr>
        <w:spacing w:line="360" w:lineRule="auto"/>
        <w:ind w:left="720"/>
      </w:pPr>
      <w:r w:rsidRPr="003840B1">
        <w:rPr>
          <w:u w:val="single"/>
        </w:rPr>
        <w:t xml:space="preserve">Objection to </w:t>
      </w:r>
      <w:proofErr w:type="spellStart"/>
      <w:r w:rsidRPr="003840B1">
        <w:rPr>
          <w:u w:val="single"/>
        </w:rPr>
        <w:t>Mousios</w:t>
      </w:r>
      <w:proofErr w:type="spellEnd"/>
      <w:r w:rsidRPr="003840B1">
        <w:rPr>
          <w:u w:val="single"/>
        </w:rPr>
        <w:t>/Commings Interrogatory Set I, No.36</w:t>
      </w:r>
      <w:r w:rsidRPr="00341560">
        <w:t>:</w:t>
      </w:r>
      <w:r w:rsidR="00872646" w:rsidRPr="00341560">
        <w:t xml:space="preserve">  </w:t>
      </w:r>
      <w:r w:rsidRPr="00341560">
        <w:t>Su</w:t>
      </w:r>
      <w:r w:rsidR="003840B1">
        <w:t>s</w:t>
      </w:r>
      <w:r w:rsidRPr="00341560">
        <w:t>tained.</w:t>
      </w:r>
    </w:p>
    <w:p w14:paraId="482370C6" w14:textId="77777777" w:rsidR="009B5C93" w:rsidRPr="00341560" w:rsidRDefault="009B5C93" w:rsidP="00342606">
      <w:pPr>
        <w:spacing w:line="360" w:lineRule="auto"/>
      </w:pPr>
    </w:p>
    <w:p w14:paraId="6183B2FB" w14:textId="77777777" w:rsidR="009B5C93" w:rsidRPr="00341560" w:rsidRDefault="009B5C93" w:rsidP="00342606">
      <w:pPr>
        <w:spacing w:line="360" w:lineRule="auto"/>
      </w:pPr>
    </w:p>
    <w:p w14:paraId="160B3041" w14:textId="0B2BC840" w:rsidR="009B5C93" w:rsidRPr="00341560" w:rsidRDefault="00872646" w:rsidP="00342606">
      <w:pPr>
        <w:spacing w:line="360" w:lineRule="auto"/>
      </w:pPr>
      <w:r w:rsidRPr="00341560">
        <w:lastRenderedPageBreak/>
        <w:t>BRIEFING SCHEDULE</w:t>
      </w:r>
    </w:p>
    <w:p w14:paraId="11093DF6" w14:textId="77777777" w:rsidR="00872646" w:rsidRPr="00341560" w:rsidRDefault="00872646" w:rsidP="00342606">
      <w:pPr>
        <w:spacing w:line="360" w:lineRule="auto"/>
      </w:pPr>
    </w:p>
    <w:p w14:paraId="0E3FB4FA" w14:textId="45B611EE" w:rsidR="00872646" w:rsidRPr="00341560" w:rsidRDefault="00872646" w:rsidP="002C0B71">
      <w:pPr>
        <w:spacing w:line="360" w:lineRule="auto"/>
        <w:ind w:firstLine="1440"/>
      </w:pPr>
      <w:r w:rsidRPr="00341560">
        <w:t xml:space="preserve">Given the Pennsylvania Supreme Court decision in </w:t>
      </w:r>
      <w:proofErr w:type="spellStart"/>
      <w:r w:rsidRPr="00341560">
        <w:t>Povacz</w:t>
      </w:r>
      <w:proofErr w:type="spellEnd"/>
      <w:r w:rsidRPr="00341560">
        <w:t>, et al. v. Pa. Public Utility Commission, 280 A.3d 975 (Pa. 2022) (</w:t>
      </w:r>
      <w:proofErr w:type="spellStart"/>
      <w:r w:rsidRPr="00341560">
        <w:t>Povacz</w:t>
      </w:r>
      <w:proofErr w:type="spellEnd"/>
      <w:r w:rsidRPr="00341560">
        <w:t xml:space="preserve"> II), the parties may file amended testimony and supplemental briefs</w:t>
      </w:r>
      <w:r w:rsidR="002C0B71">
        <w:t xml:space="preserve"> as stated in  the order</w:t>
      </w:r>
      <w:r w:rsidRPr="00341560">
        <w:t>.</w:t>
      </w:r>
    </w:p>
    <w:p w14:paraId="55B34DFA" w14:textId="77777777" w:rsidR="00872646" w:rsidRPr="00341560" w:rsidRDefault="00872646" w:rsidP="00342606">
      <w:pPr>
        <w:spacing w:line="360" w:lineRule="auto"/>
      </w:pPr>
    </w:p>
    <w:p w14:paraId="12DC13D3" w14:textId="77777777" w:rsidR="00872646" w:rsidRPr="00341560" w:rsidRDefault="00872646" w:rsidP="00342606">
      <w:pPr>
        <w:spacing w:line="360" w:lineRule="auto"/>
      </w:pPr>
    </w:p>
    <w:p w14:paraId="071A96C8" w14:textId="59597DE4" w:rsidR="00872646" w:rsidRPr="00341560" w:rsidRDefault="00872646" w:rsidP="00342606">
      <w:pPr>
        <w:spacing w:line="360" w:lineRule="auto"/>
      </w:pPr>
      <w:r w:rsidRPr="00341560">
        <w:t>THEREFORE</w:t>
      </w:r>
    </w:p>
    <w:p w14:paraId="70C6B1A5" w14:textId="77777777" w:rsidR="00872646" w:rsidRPr="00341560" w:rsidRDefault="00872646" w:rsidP="00342606">
      <w:pPr>
        <w:spacing w:line="360" w:lineRule="auto"/>
      </w:pPr>
    </w:p>
    <w:p w14:paraId="5B3C5D31" w14:textId="1F2A8475" w:rsidR="00872646" w:rsidRPr="00341560" w:rsidRDefault="00872646" w:rsidP="00342606">
      <w:pPr>
        <w:spacing w:line="360" w:lineRule="auto"/>
      </w:pPr>
      <w:r w:rsidRPr="00341560">
        <w:t>IT IS ORDERED</w:t>
      </w:r>
    </w:p>
    <w:p w14:paraId="4A60BADF" w14:textId="77777777" w:rsidR="00872646" w:rsidRPr="00341560" w:rsidRDefault="00872646" w:rsidP="00342606">
      <w:pPr>
        <w:spacing w:line="360" w:lineRule="auto"/>
      </w:pPr>
    </w:p>
    <w:p w14:paraId="7893C81C" w14:textId="65A2C5C5" w:rsidR="001B0C82" w:rsidRDefault="00DF1A54" w:rsidP="001B0C82">
      <w:pPr>
        <w:pStyle w:val="ListParagraph"/>
        <w:numPr>
          <w:ilvl w:val="0"/>
          <w:numId w:val="2"/>
        </w:numPr>
        <w:spacing w:line="360" w:lineRule="auto"/>
        <w:ind w:left="0" w:firstLine="1440"/>
      </w:pPr>
      <w:r w:rsidRPr="00341560">
        <w:t>That</w:t>
      </w:r>
      <w:r w:rsidR="001B0C82">
        <w:t xml:space="preserve"> the Objections of Metropolitan Edison Company to discovery requests of the Complainants are sustained in part and overruled in part.</w:t>
      </w:r>
    </w:p>
    <w:p w14:paraId="250EFFD2" w14:textId="77777777" w:rsidR="001B0C82" w:rsidRDefault="001B0C82" w:rsidP="001B0C82">
      <w:pPr>
        <w:pStyle w:val="ListParagraph"/>
        <w:spacing w:line="360" w:lineRule="auto"/>
        <w:ind w:left="1440"/>
      </w:pPr>
    </w:p>
    <w:p w14:paraId="35C56B6A" w14:textId="4423DC20" w:rsidR="001B0C82" w:rsidRDefault="001B0C82" w:rsidP="001B0C82">
      <w:pPr>
        <w:pStyle w:val="ListParagraph"/>
        <w:numPr>
          <w:ilvl w:val="0"/>
          <w:numId w:val="2"/>
        </w:numPr>
        <w:spacing w:line="360" w:lineRule="auto"/>
        <w:ind w:left="0" w:firstLine="1440"/>
      </w:pPr>
      <w:r>
        <w:t>That the ob</w:t>
      </w:r>
      <w:r w:rsidRPr="001B0C82">
        <w:t xml:space="preserve">jection to </w:t>
      </w:r>
      <w:proofErr w:type="spellStart"/>
      <w:r w:rsidRPr="001B0C82">
        <w:t>Mousios</w:t>
      </w:r>
      <w:proofErr w:type="spellEnd"/>
      <w:r w:rsidRPr="001B0C82">
        <w:t>/Commings Interrogatory Set I, No. 1</w:t>
      </w:r>
      <w:r>
        <w:t xml:space="preserve"> is</w:t>
      </w:r>
      <w:r w:rsidRPr="00341560">
        <w:t xml:space="preserve"> </w:t>
      </w:r>
      <w:r>
        <w:t>s</w:t>
      </w:r>
      <w:r w:rsidRPr="00341560">
        <w:t xml:space="preserve">ustained in part and </w:t>
      </w:r>
      <w:r>
        <w:t>o</w:t>
      </w:r>
      <w:r w:rsidRPr="00341560">
        <w:t>verruled in part</w:t>
      </w:r>
      <w:r>
        <w:t xml:space="preserve"> and the </w:t>
      </w:r>
      <w:r w:rsidRPr="00341560">
        <w:t xml:space="preserve">Respondent </w:t>
      </w:r>
      <w:r>
        <w:t xml:space="preserve">is to </w:t>
      </w:r>
      <w:r w:rsidRPr="00341560">
        <w:t>provide make and model</w:t>
      </w:r>
      <w:r>
        <w:t xml:space="preserve"> information to the Complainants.</w:t>
      </w:r>
      <w:r w:rsidRPr="00341560">
        <w:t xml:space="preserve"> </w:t>
      </w:r>
    </w:p>
    <w:p w14:paraId="71B68B4F" w14:textId="77777777" w:rsidR="001B0C82" w:rsidRDefault="001B0C82" w:rsidP="001B0C82">
      <w:pPr>
        <w:pStyle w:val="ListParagraph"/>
      </w:pPr>
    </w:p>
    <w:p w14:paraId="238B57C1" w14:textId="7DB51476" w:rsidR="001B0C82" w:rsidRDefault="001B0C82" w:rsidP="001B0C82">
      <w:pPr>
        <w:pStyle w:val="ListParagraph"/>
        <w:numPr>
          <w:ilvl w:val="0"/>
          <w:numId w:val="2"/>
        </w:numPr>
        <w:spacing w:line="360" w:lineRule="auto"/>
        <w:ind w:left="0" w:firstLine="1440"/>
      </w:pPr>
      <w:r>
        <w:t>That the o</w:t>
      </w:r>
      <w:r w:rsidRPr="001B0C82">
        <w:t xml:space="preserve">bjection to </w:t>
      </w:r>
      <w:proofErr w:type="spellStart"/>
      <w:r w:rsidRPr="001B0C82">
        <w:t>Mousios</w:t>
      </w:r>
      <w:proofErr w:type="spellEnd"/>
      <w:r w:rsidRPr="001B0C82">
        <w:t>/Commings Interrogatory Set 1, No. 3</w:t>
      </w:r>
      <w:r>
        <w:t xml:space="preserve"> is o</w:t>
      </w:r>
      <w:r w:rsidRPr="00341560">
        <w:t>verruled</w:t>
      </w:r>
      <w:r w:rsidR="00565397">
        <w:t>,</w:t>
      </w:r>
      <w:r>
        <w:t xml:space="preserve"> and the</w:t>
      </w:r>
      <w:r w:rsidRPr="00341560">
        <w:t xml:space="preserve"> Respondent should provide the information that it has in its possession. </w:t>
      </w:r>
    </w:p>
    <w:p w14:paraId="33B246CE" w14:textId="77777777" w:rsidR="001B0C82" w:rsidRPr="001B0C82" w:rsidRDefault="001B0C82" w:rsidP="001B0C82">
      <w:pPr>
        <w:pStyle w:val="ListParagraph"/>
        <w:rPr>
          <w:u w:val="single"/>
        </w:rPr>
      </w:pPr>
    </w:p>
    <w:p w14:paraId="69A836EC" w14:textId="22A70D47" w:rsidR="001B0C82" w:rsidRDefault="001B0C82" w:rsidP="001B0C82">
      <w:pPr>
        <w:pStyle w:val="ListParagraph"/>
        <w:numPr>
          <w:ilvl w:val="0"/>
          <w:numId w:val="2"/>
        </w:numPr>
        <w:spacing w:line="360" w:lineRule="auto"/>
        <w:ind w:left="0" w:firstLine="1440"/>
      </w:pPr>
      <w:r w:rsidRPr="00565397">
        <w:t xml:space="preserve">That the objection to </w:t>
      </w:r>
      <w:proofErr w:type="spellStart"/>
      <w:r w:rsidRPr="00565397">
        <w:t>Mousios</w:t>
      </w:r>
      <w:proofErr w:type="spellEnd"/>
      <w:r w:rsidRPr="00565397">
        <w:t xml:space="preserve">/Commings Interrogatory Set I, No. </w:t>
      </w:r>
      <w:r w:rsidRPr="00A6179E">
        <w:t>6b</w:t>
      </w:r>
      <w:r w:rsidR="00565397" w:rsidRPr="00A6179E">
        <w:t xml:space="preserve"> </w:t>
      </w:r>
      <w:r w:rsidRPr="00A6179E">
        <w:t>is</w:t>
      </w:r>
      <w:r w:rsidRPr="00341560">
        <w:t xml:space="preserve"> </w:t>
      </w:r>
      <w:r>
        <w:t>o</w:t>
      </w:r>
      <w:r w:rsidRPr="00341560">
        <w:t>verruled</w:t>
      </w:r>
      <w:r w:rsidR="00565397">
        <w:t>,</w:t>
      </w:r>
      <w:r>
        <w:t xml:space="preserve"> and the </w:t>
      </w:r>
      <w:r w:rsidRPr="00341560">
        <w:t>Respondent should provide the information that it has in its possession.</w:t>
      </w:r>
    </w:p>
    <w:p w14:paraId="4482A8EE" w14:textId="77777777" w:rsidR="00565397" w:rsidRPr="00341560" w:rsidRDefault="00565397" w:rsidP="00565397">
      <w:pPr>
        <w:spacing w:line="360" w:lineRule="auto"/>
      </w:pPr>
    </w:p>
    <w:p w14:paraId="2F47413E" w14:textId="09ADD1F5" w:rsidR="001B0C82" w:rsidRDefault="00565397" w:rsidP="001F1C99">
      <w:pPr>
        <w:pStyle w:val="ListParagraph"/>
        <w:numPr>
          <w:ilvl w:val="0"/>
          <w:numId w:val="2"/>
        </w:numPr>
        <w:spacing w:line="360" w:lineRule="auto"/>
        <w:ind w:left="0" w:firstLine="1440"/>
      </w:pPr>
      <w:r>
        <w:t xml:space="preserve">That the objections to </w:t>
      </w:r>
      <w:proofErr w:type="spellStart"/>
      <w:r w:rsidR="00A6179E" w:rsidRPr="001B0C82">
        <w:t>Mousios</w:t>
      </w:r>
      <w:proofErr w:type="spellEnd"/>
      <w:r w:rsidR="00A6179E" w:rsidRPr="001B0C82">
        <w:t xml:space="preserve">/Commings </w:t>
      </w:r>
      <w:r>
        <w:t>Interrogatories Set 1, Nos. 7, 10, 11, 13 and 14 are overruled.</w:t>
      </w:r>
    </w:p>
    <w:p w14:paraId="0BACAAA8" w14:textId="77777777" w:rsidR="00A6179E" w:rsidRDefault="00A6179E" w:rsidP="00A6179E">
      <w:pPr>
        <w:spacing w:line="360" w:lineRule="auto"/>
      </w:pPr>
    </w:p>
    <w:p w14:paraId="745E5DE5" w14:textId="255CC68D" w:rsidR="00565397" w:rsidRDefault="00565397" w:rsidP="001F1C99">
      <w:pPr>
        <w:pStyle w:val="ListParagraph"/>
        <w:numPr>
          <w:ilvl w:val="0"/>
          <w:numId w:val="2"/>
        </w:numPr>
        <w:spacing w:line="360" w:lineRule="auto"/>
        <w:ind w:left="0" w:firstLine="1440"/>
      </w:pPr>
      <w:r>
        <w:t xml:space="preserve">The objections to </w:t>
      </w:r>
      <w:proofErr w:type="spellStart"/>
      <w:r w:rsidR="00A6179E" w:rsidRPr="001B0C82">
        <w:t>Mousios</w:t>
      </w:r>
      <w:proofErr w:type="spellEnd"/>
      <w:r w:rsidR="00A6179E" w:rsidRPr="001B0C82">
        <w:t xml:space="preserve">/Commings </w:t>
      </w:r>
      <w:r>
        <w:t>Interrogatories Set 1, No. 26, 30 and 36 are sustained.</w:t>
      </w:r>
    </w:p>
    <w:p w14:paraId="602C51B5" w14:textId="77777777" w:rsidR="00565397" w:rsidRDefault="00565397" w:rsidP="00565397">
      <w:pPr>
        <w:pStyle w:val="ListParagraph"/>
        <w:spacing w:line="360" w:lineRule="auto"/>
        <w:ind w:left="1440"/>
      </w:pPr>
    </w:p>
    <w:p w14:paraId="39C5C4DA" w14:textId="41AB7C50" w:rsidR="00872646" w:rsidRPr="00341560" w:rsidRDefault="00565397" w:rsidP="001F1C99">
      <w:pPr>
        <w:pStyle w:val="ListParagraph"/>
        <w:numPr>
          <w:ilvl w:val="0"/>
          <w:numId w:val="2"/>
        </w:numPr>
        <w:spacing w:line="360" w:lineRule="auto"/>
        <w:ind w:left="0" w:firstLine="1440"/>
      </w:pPr>
      <w:r>
        <w:t xml:space="preserve">That </w:t>
      </w:r>
      <w:r w:rsidR="00872646" w:rsidRPr="00341560">
        <w:t xml:space="preserve">Metropolitan Edison will provide responses to Interrogatories as </w:t>
      </w:r>
      <w:r>
        <w:t>indicated herein</w:t>
      </w:r>
      <w:r w:rsidR="00872646" w:rsidRPr="00341560">
        <w:t xml:space="preserve"> no later than </w:t>
      </w:r>
      <w:r w:rsidR="004A16BF">
        <w:t>January 9</w:t>
      </w:r>
      <w:r w:rsidR="00872646" w:rsidRPr="00341560">
        <w:t>, 202</w:t>
      </w:r>
      <w:r w:rsidR="006E0B71">
        <w:t>4</w:t>
      </w:r>
      <w:r w:rsidR="00872646" w:rsidRPr="00341560">
        <w:t xml:space="preserve">. </w:t>
      </w:r>
    </w:p>
    <w:p w14:paraId="566A3EC7" w14:textId="77777777" w:rsidR="00872646" w:rsidRPr="00341560" w:rsidRDefault="00872646" w:rsidP="001F1C99">
      <w:pPr>
        <w:pStyle w:val="ListParagraph"/>
        <w:spacing w:line="360" w:lineRule="auto"/>
      </w:pPr>
    </w:p>
    <w:p w14:paraId="6F6C2E73" w14:textId="777C6369" w:rsidR="00872646" w:rsidRPr="00341560" w:rsidRDefault="00DF1A54" w:rsidP="001F1C99">
      <w:pPr>
        <w:pStyle w:val="ListParagraph"/>
        <w:numPr>
          <w:ilvl w:val="0"/>
          <w:numId w:val="2"/>
        </w:numPr>
        <w:spacing w:line="360" w:lineRule="auto"/>
        <w:ind w:left="-90" w:firstLine="1530"/>
      </w:pPr>
      <w:r w:rsidRPr="00341560">
        <w:t>That p</w:t>
      </w:r>
      <w:r w:rsidR="00872646" w:rsidRPr="00341560">
        <w:t xml:space="preserve">arties may exchange Supplemental or </w:t>
      </w:r>
      <w:r w:rsidRPr="00341560">
        <w:t>A</w:t>
      </w:r>
      <w:r w:rsidR="00872646" w:rsidRPr="00341560">
        <w:t xml:space="preserve">mended </w:t>
      </w:r>
      <w:r w:rsidR="00A6179E">
        <w:t>Direct Te</w:t>
      </w:r>
      <w:r w:rsidR="00872646" w:rsidRPr="00341560">
        <w:t xml:space="preserve">stimony no later than </w:t>
      </w:r>
      <w:r w:rsidR="004A16BF">
        <w:t>February 6</w:t>
      </w:r>
      <w:r w:rsidR="00872646" w:rsidRPr="00341560">
        <w:t>, 202</w:t>
      </w:r>
      <w:r w:rsidRPr="00341560">
        <w:t>4</w:t>
      </w:r>
      <w:r w:rsidR="00872646" w:rsidRPr="00341560">
        <w:t>.</w:t>
      </w:r>
      <w:r w:rsidR="00A6179E">
        <w:t xml:space="preserve"> </w:t>
      </w:r>
    </w:p>
    <w:p w14:paraId="5F888A37" w14:textId="77777777" w:rsidR="00DF1A54" w:rsidRPr="00341560" w:rsidRDefault="00DF1A54" w:rsidP="001F1C99">
      <w:pPr>
        <w:pStyle w:val="ListParagraph"/>
        <w:spacing w:line="360" w:lineRule="auto"/>
      </w:pPr>
    </w:p>
    <w:p w14:paraId="6BA08158" w14:textId="594B4897" w:rsidR="00872646" w:rsidRPr="00341560" w:rsidRDefault="00DF1A54" w:rsidP="001F1C99">
      <w:pPr>
        <w:pStyle w:val="ListParagraph"/>
        <w:numPr>
          <w:ilvl w:val="0"/>
          <w:numId w:val="2"/>
        </w:numPr>
        <w:spacing w:line="360" w:lineRule="auto"/>
        <w:ind w:left="0" w:firstLine="1440"/>
      </w:pPr>
      <w:r w:rsidRPr="00341560">
        <w:t>That p</w:t>
      </w:r>
      <w:r w:rsidR="00872646" w:rsidRPr="00341560">
        <w:t xml:space="preserve">arties may </w:t>
      </w:r>
      <w:r w:rsidR="00565397">
        <w:t>exchange</w:t>
      </w:r>
      <w:r w:rsidR="00872646" w:rsidRPr="00341560">
        <w:t xml:space="preserve"> Supplemental </w:t>
      </w:r>
      <w:r w:rsidRPr="00341560">
        <w:t xml:space="preserve">or Amended </w:t>
      </w:r>
      <w:r w:rsidR="00872646" w:rsidRPr="00341560">
        <w:t xml:space="preserve">Rebuttal Testimony no later than </w:t>
      </w:r>
      <w:r w:rsidR="004A16BF">
        <w:t>February 20</w:t>
      </w:r>
      <w:r w:rsidR="00872646" w:rsidRPr="00341560">
        <w:t>, 202</w:t>
      </w:r>
      <w:r w:rsidRPr="00341560">
        <w:t>4</w:t>
      </w:r>
      <w:r w:rsidR="00872646" w:rsidRPr="00341560">
        <w:t>.</w:t>
      </w:r>
    </w:p>
    <w:p w14:paraId="201A82DE" w14:textId="77777777" w:rsidR="00DF1A54" w:rsidRPr="00341560" w:rsidRDefault="00DF1A54" w:rsidP="001F1C99">
      <w:pPr>
        <w:pStyle w:val="ListParagraph"/>
        <w:spacing w:line="360" w:lineRule="auto"/>
      </w:pPr>
    </w:p>
    <w:p w14:paraId="35EC0D98" w14:textId="1457EA22" w:rsidR="00872646" w:rsidRPr="00341560" w:rsidRDefault="00DF1A54" w:rsidP="001F1C99">
      <w:pPr>
        <w:pStyle w:val="ListParagraph"/>
        <w:numPr>
          <w:ilvl w:val="0"/>
          <w:numId w:val="2"/>
        </w:numPr>
        <w:spacing w:line="360" w:lineRule="auto"/>
        <w:ind w:left="2160" w:hanging="720"/>
      </w:pPr>
      <w:r w:rsidRPr="00341560">
        <w:t xml:space="preserve">That </w:t>
      </w:r>
      <w:r w:rsidR="00872646" w:rsidRPr="00341560">
        <w:t xml:space="preserve">Supplemental Main Briefs may be filed </w:t>
      </w:r>
      <w:r w:rsidRPr="00341560">
        <w:t>n</w:t>
      </w:r>
      <w:r w:rsidR="00872646" w:rsidRPr="00341560">
        <w:t xml:space="preserve">o later than March </w:t>
      </w:r>
      <w:r w:rsidR="004A16BF">
        <w:t>12</w:t>
      </w:r>
      <w:r w:rsidR="00872646" w:rsidRPr="00341560">
        <w:t>, 202</w:t>
      </w:r>
      <w:r w:rsidRPr="00341560">
        <w:t>4</w:t>
      </w:r>
      <w:r w:rsidR="00872646" w:rsidRPr="00341560">
        <w:t>.</w:t>
      </w:r>
    </w:p>
    <w:p w14:paraId="171EB098" w14:textId="77777777" w:rsidR="00DF1A54" w:rsidRPr="00341560" w:rsidRDefault="00DF1A54" w:rsidP="001F1C99">
      <w:pPr>
        <w:spacing w:line="360" w:lineRule="auto"/>
      </w:pPr>
    </w:p>
    <w:p w14:paraId="459C1A79" w14:textId="42E1160B" w:rsidR="00872646" w:rsidRDefault="00DF1A54" w:rsidP="001F1C99">
      <w:pPr>
        <w:pStyle w:val="ListParagraph"/>
        <w:numPr>
          <w:ilvl w:val="0"/>
          <w:numId w:val="2"/>
        </w:numPr>
        <w:spacing w:line="360" w:lineRule="auto"/>
        <w:ind w:left="0" w:firstLine="1440"/>
      </w:pPr>
      <w:r w:rsidRPr="00341560">
        <w:t xml:space="preserve">That </w:t>
      </w:r>
      <w:r w:rsidR="00872646" w:rsidRPr="00341560">
        <w:t xml:space="preserve">Supplemental Reply Briefs may be filed no later than </w:t>
      </w:r>
      <w:r w:rsidRPr="00341560">
        <w:t xml:space="preserve">March 19, 2024. </w:t>
      </w:r>
    </w:p>
    <w:p w14:paraId="43C45CA6" w14:textId="77777777" w:rsidR="00565397" w:rsidRDefault="00565397" w:rsidP="00565397">
      <w:pPr>
        <w:pStyle w:val="ListParagraph"/>
      </w:pPr>
    </w:p>
    <w:p w14:paraId="42B20DB3" w14:textId="182C8035" w:rsidR="00565397" w:rsidRDefault="00A6179E" w:rsidP="001F1C99">
      <w:pPr>
        <w:pStyle w:val="ListParagraph"/>
        <w:numPr>
          <w:ilvl w:val="0"/>
          <w:numId w:val="2"/>
        </w:numPr>
        <w:spacing w:line="360" w:lineRule="auto"/>
        <w:ind w:left="0" w:firstLine="1440"/>
      </w:pPr>
      <w:r>
        <w:t>That a</w:t>
      </w:r>
      <w:r w:rsidR="00565397">
        <w:t xml:space="preserve"> copy of any testimony and briefs exchanged or filed must be sent to the Administrative Law Judge.</w:t>
      </w:r>
    </w:p>
    <w:p w14:paraId="3698FF73" w14:textId="77777777" w:rsidR="00565397" w:rsidRDefault="00565397" w:rsidP="00565397">
      <w:pPr>
        <w:pStyle w:val="ListParagraph"/>
      </w:pPr>
    </w:p>
    <w:p w14:paraId="66D28DDB" w14:textId="6C5C4F63" w:rsidR="00565397" w:rsidRPr="00341560" w:rsidRDefault="00565397" w:rsidP="001F1C99">
      <w:pPr>
        <w:pStyle w:val="ListParagraph"/>
        <w:numPr>
          <w:ilvl w:val="0"/>
          <w:numId w:val="2"/>
        </w:numPr>
        <w:spacing w:line="360" w:lineRule="auto"/>
        <w:ind w:left="0" w:firstLine="1440"/>
      </w:pPr>
      <w:r>
        <w:t xml:space="preserve">That the parties meet within </w:t>
      </w:r>
      <w:r w:rsidR="004A16BF">
        <w:t>21</w:t>
      </w:r>
      <w:r>
        <w:t xml:space="preserve"> days  of the date of this order to discuss settlement of this matter. </w:t>
      </w:r>
    </w:p>
    <w:p w14:paraId="208D0077" w14:textId="77777777" w:rsidR="00DF1A54" w:rsidRPr="00341560" w:rsidRDefault="00DF1A54" w:rsidP="001F1C99">
      <w:pPr>
        <w:pStyle w:val="ListParagraph"/>
        <w:spacing w:line="360" w:lineRule="auto"/>
      </w:pPr>
    </w:p>
    <w:p w14:paraId="6D7E4795" w14:textId="409F787B" w:rsidR="00DF1A54" w:rsidRPr="00341560" w:rsidRDefault="00DF1A54" w:rsidP="001F1C99">
      <w:pPr>
        <w:pStyle w:val="ListParagraph"/>
        <w:numPr>
          <w:ilvl w:val="0"/>
          <w:numId w:val="2"/>
        </w:numPr>
        <w:spacing w:line="360" w:lineRule="auto"/>
        <w:ind w:left="0" w:firstLine="1440"/>
      </w:pPr>
      <w:r w:rsidRPr="00341560">
        <w:t xml:space="preserve">That any requests for </w:t>
      </w:r>
      <w:r w:rsidR="002C0B71">
        <w:t xml:space="preserve">an </w:t>
      </w:r>
      <w:r w:rsidRPr="00341560">
        <w:t xml:space="preserve">extension of time must be made no later than five (5) days prior to the due date, be in writing and include a statement that the other party was consulted and whether there is an objection to the request. </w:t>
      </w:r>
    </w:p>
    <w:p w14:paraId="58A6FA30" w14:textId="77777777" w:rsidR="00DF1A54" w:rsidRPr="00341560" w:rsidRDefault="00DF1A54" w:rsidP="001F1C99">
      <w:pPr>
        <w:pStyle w:val="ListParagraph"/>
        <w:spacing w:line="360" w:lineRule="auto"/>
      </w:pPr>
    </w:p>
    <w:p w14:paraId="4EBA5DA7" w14:textId="5173EB7F" w:rsidR="00DF1A54" w:rsidRPr="00341560" w:rsidRDefault="00DF1A54" w:rsidP="001F1C99">
      <w:pPr>
        <w:pStyle w:val="ListParagraph"/>
        <w:numPr>
          <w:ilvl w:val="0"/>
          <w:numId w:val="2"/>
        </w:numPr>
        <w:spacing w:line="360" w:lineRule="auto"/>
        <w:ind w:left="0" w:firstLine="1440"/>
      </w:pPr>
      <w:r w:rsidRPr="00341560">
        <w:t xml:space="preserve">That </w:t>
      </w:r>
      <w:r w:rsidR="001B0C82" w:rsidRPr="00341560">
        <w:t>no later than January 16, 202</w:t>
      </w:r>
      <w:r w:rsidR="001B0C82">
        <w:t xml:space="preserve">4, </w:t>
      </w:r>
      <w:r w:rsidRPr="00341560">
        <w:t xml:space="preserve">any party not submitting Supplemental or Amended testimony must provide the other party and the Administrative Law Judge with a copy of </w:t>
      </w:r>
      <w:r w:rsidR="001B0C82">
        <w:t>any</w:t>
      </w:r>
      <w:r w:rsidRPr="00341560">
        <w:t xml:space="preserve"> previously exchanged testimony </w:t>
      </w:r>
      <w:r w:rsidR="002C0B71">
        <w:t>t</w:t>
      </w:r>
      <w:r w:rsidR="001B0C82">
        <w:t>hat t</w:t>
      </w:r>
      <w:r w:rsidR="002C0B71">
        <w:t xml:space="preserve">he party would like </w:t>
      </w:r>
      <w:r w:rsidRPr="00341560">
        <w:t xml:space="preserve">to be considered or offered into evidence. </w:t>
      </w:r>
    </w:p>
    <w:p w14:paraId="4398404E" w14:textId="77777777" w:rsidR="00872646" w:rsidRPr="00341560" w:rsidRDefault="00872646" w:rsidP="001F1C99">
      <w:pPr>
        <w:spacing w:line="360" w:lineRule="auto"/>
      </w:pPr>
    </w:p>
    <w:p w14:paraId="50B9F83A" w14:textId="150E970E" w:rsidR="00872646" w:rsidRPr="00341560" w:rsidRDefault="00872646" w:rsidP="001F1C99">
      <w:pPr>
        <w:spacing w:line="360" w:lineRule="auto"/>
      </w:pPr>
    </w:p>
    <w:p w14:paraId="12331C68" w14:textId="71E56DAF" w:rsidR="001F1C99" w:rsidRPr="00341560" w:rsidRDefault="001F1C99" w:rsidP="001F1C99">
      <w:pPr>
        <w:pStyle w:val="NoSpacing"/>
        <w:rPr>
          <w:rFonts w:ascii="Times New Roman" w:hAnsi="Times New Roman"/>
          <w:sz w:val="24"/>
          <w:szCs w:val="24"/>
        </w:rPr>
      </w:pPr>
      <w:r w:rsidRPr="00341560">
        <w:rPr>
          <w:rFonts w:ascii="Times New Roman" w:hAnsi="Times New Roman"/>
          <w:sz w:val="24"/>
          <w:szCs w:val="24"/>
        </w:rPr>
        <w:t xml:space="preserve">Date:  </w:t>
      </w:r>
      <w:r w:rsidR="002C0B71">
        <w:rPr>
          <w:rFonts w:ascii="Times New Roman" w:hAnsi="Times New Roman"/>
          <w:sz w:val="24"/>
          <w:szCs w:val="24"/>
          <w:u w:val="single"/>
        </w:rPr>
        <w:t xml:space="preserve">December </w:t>
      </w:r>
      <w:r w:rsidR="004A16BF">
        <w:rPr>
          <w:rFonts w:ascii="Times New Roman" w:hAnsi="Times New Roman"/>
          <w:sz w:val="24"/>
          <w:szCs w:val="24"/>
          <w:u w:val="single"/>
        </w:rPr>
        <w:t>13</w:t>
      </w:r>
      <w:r w:rsidRPr="00341560">
        <w:rPr>
          <w:rFonts w:ascii="Times New Roman" w:hAnsi="Times New Roman"/>
          <w:sz w:val="24"/>
          <w:szCs w:val="24"/>
          <w:u w:val="single"/>
        </w:rPr>
        <w:t>, 2023</w:t>
      </w:r>
      <w:r w:rsidRPr="00341560">
        <w:rPr>
          <w:rFonts w:ascii="Times New Roman" w:hAnsi="Times New Roman"/>
          <w:sz w:val="24"/>
          <w:szCs w:val="24"/>
        </w:rPr>
        <w:tab/>
      </w:r>
      <w:r w:rsidRPr="00341560">
        <w:rPr>
          <w:rFonts w:ascii="Times New Roman" w:hAnsi="Times New Roman"/>
          <w:sz w:val="24"/>
          <w:szCs w:val="24"/>
        </w:rPr>
        <w:tab/>
      </w:r>
      <w:r w:rsidRPr="00341560">
        <w:rPr>
          <w:rFonts w:ascii="Times New Roman" w:hAnsi="Times New Roman"/>
          <w:sz w:val="24"/>
          <w:szCs w:val="24"/>
        </w:rPr>
        <w:tab/>
      </w:r>
      <w:r w:rsidRPr="00341560">
        <w:rPr>
          <w:rFonts w:ascii="Times New Roman" w:hAnsi="Times New Roman"/>
          <w:sz w:val="24"/>
          <w:szCs w:val="24"/>
        </w:rPr>
        <w:tab/>
      </w:r>
      <w:r w:rsidRPr="00341560">
        <w:rPr>
          <w:rFonts w:ascii="Times New Roman" w:hAnsi="Times New Roman"/>
          <w:sz w:val="24"/>
          <w:szCs w:val="24"/>
        </w:rPr>
        <w:tab/>
      </w:r>
      <w:r w:rsidRPr="00341560">
        <w:rPr>
          <w:rFonts w:ascii="Times New Roman" w:hAnsi="Times New Roman"/>
          <w:sz w:val="24"/>
          <w:szCs w:val="24"/>
          <w:u w:val="single"/>
        </w:rPr>
        <w:tab/>
      </w:r>
      <w:r w:rsidRPr="00341560">
        <w:rPr>
          <w:rFonts w:ascii="Times New Roman" w:hAnsi="Times New Roman"/>
          <w:sz w:val="24"/>
          <w:szCs w:val="24"/>
          <w:u w:val="single"/>
        </w:rPr>
        <w:tab/>
        <w:t>/s/</w:t>
      </w:r>
      <w:r w:rsidRPr="00341560">
        <w:rPr>
          <w:rFonts w:ascii="Times New Roman" w:hAnsi="Times New Roman"/>
          <w:sz w:val="24"/>
          <w:szCs w:val="24"/>
          <w:u w:val="single"/>
        </w:rPr>
        <w:tab/>
      </w:r>
      <w:r w:rsidRPr="00341560">
        <w:rPr>
          <w:rFonts w:ascii="Times New Roman" w:hAnsi="Times New Roman"/>
          <w:sz w:val="24"/>
          <w:szCs w:val="24"/>
          <w:u w:val="single"/>
        </w:rPr>
        <w:tab/>
      </w:r>
      <w:r w:rsidRPr="00341560">
        <w:rPr>
          <w:rFonts w:ascii="Times New Roman" w:hAnsi="Times New Roman"/>
          <w:sz w:val="24"/>
          <w:szCs w:val="24"/>
          <w:u w:val="single"/>
        </w:rPr>
        <w:tab/>
      </w:r>
    </w:p>
    <w:p w14:paraId="4DD56DD7" w14:textId="06A5CF6C" w:rsidR="001F1C99" w:rsidRPr="00341560" w:rsidRDefault="001F1C99" w:rsidP="001F1C99">
      <w:pPr>
        <w:pStyle w:val="NoSpacing"/>
        <w:rPr>
          <w:rFonts w:ascii="Times New Roman" w:hAnsi="Times New Roman"/>
          <w:sz w:val="24"/>
          <w:szCs w:val="24"/>
        </w:rPr>
      </w:pPr>
      <w:r w:rsidRPr="00341560">
        <w:rPr>
          <w:rFonts w:ascii="Times New Roman" w:hAnsi="Times New Roman"/>
          <w:sz w:val="24"/>
          <w:szCs w:val="24"/>
        </w:rPr>
        <w:tab/>
      </w:r>
      <w:r w:rsidRPr="00341560">
        <w:rPr>
          <w:rFonts w:ascii="Times New Roman" w:hAnsi="Times New Roman"/>
          <w:sz w:val="24"/>
          <w:szCs w:val="24"/>
        </w:rPr>
        <w:tab/>
      </w:r>
      <w:r w:rsidRPr="00341560">
        <w:rPr>
          <w:rFonts w:ascii="Times New Roman" w:hAnsi="Times New Roman"/>
          <w:sz w:val="24"/>
          <w:szCs w:val="24"/>
        </w:rPr>
        <w:tab/>
      </w:r>
      <w:r w:rsidRPr="00341560">
        <w:rPr>
          <w:rFonts w:ascii="Times New Roman" w:hAnsi="Times New Roman"/>
          <w:sz w:val="24"/>
          <w:szCs w:val="24"/>
        </w:rPr>
        <w:tab/>
      </w:r>
      <w:r w:rsidRPr="00341560">
        <w:rPr>
          <w:rFonts w:ascii="Times New Roman" w:hAnsi="Times New Roman"/>
          <w:sz w:val="24"/>
          <w:szCs w:val="24"/>
        </w:rPr>
        <w:tab/>
      </w:r>
      <w:r w:rsidRPr="00341560">
        <w:rPr>
          <w:rFonts w:ascii="Times New Roman" w:hAnsi="Times New Roman"/>
          <w:sz w:val="24"/>
          <w:szCs w:val="24"/>
        </w:rPr>
        <w:tab/>
      </w:r>
      <w:r w:rsidRPr="00341560">
        <w:rPr>
          <w:rFonts w:ascii="Times New Roman" w:hAnsi="Times New Roman"/>
          <w:sz w:val="24"/>
          <w:szCs w:val="24"/>
        </w:rPr>
        <w:tab/>
      </w:r>
      <w:r w:rsidRPr="00341560">
        <w:rPr>
          <w:rFonts w:ascii="Times New Roman" w:hAnsi="Times New Roman"/>
          <w:sz w:val="24"/>
          <w:szCs w:val="24"/>
        </w:rPr>
        <w:tab/>
        <w:t>Darlene Heep</w:t>
      </w:r>
    </w:p>
    <w:p w14:paraId="641AA15F" w14:textId="221310B1" w:rsidR="00872646" w:rsidRPr="00341560" w:rsidRDefault="001F1C99" w:rsidP="001F1C99">
      <w:pPr>
        <w:spacing w:line="360" w:lineRule="auto"/>
      </w:pPr>
      <w:r w:rsidRPr="00341560">
        <w:tab/>
      </w:r>
      <w:r w:rsidRPr="00341560">
        <w:tab/>
      </w:r>
      <w:r w:rsidRPr="00341560">
        <w:tab/>
      </w:r>
      <w:r w:rsidRPr="00341560">
        <w:tab/>
      </w:r>
      <w:r w:rsidRPr="00341560">
        <w:tab/>
      </w:r>
      <w:r w:rsidRPr="00341560">
        <w:tab/>
      </w:r>
      <w:r w:rsidRPr="00341560">
        <w:tab/>
      </w:r>
      <w:r w:rsidRPr="00341560">
        <w:tab/>
        <w:t>Administrative Law Judge</w:t>
      </w:r>
    </w:p>
    <w:p w14:paraId="59EF35E2" w14:textId="77777777" w:rsidR="00872646" w:rsidRPr="00341560" w:rsidRDefault="00872646" w:rsidP="00342606">
      <w:pPr>
        <w:spacing w:line="360" w:lineRule="auto"/>
      </w:pPr>
    </w:p>
    <w:p w14:paraId="233DC27E" w14:textId="77777777" w:rsidR="00BB0118" w:rsidRPr="00341560" w:rsidRDefault="00BB0118" w:rsidP="00342606">
      <w:pPr>
        <w:spacing w:line="360" w:lineRule="auto"/>
      </w:pPr>
    </w:p>
    <w:p w14:paraId="2A9C66DF" w14:textId="4D2347CC" w:rsidR="00BB0118" w:rsidRPr="00341560" w:rsidRDefault="00BB0118">
      <w:pPr>
        <w:spacing w:after="160" w:line="259" w:lineRule="auto"/>
      </w:pPr>
      <w:r w:rsidRPr="00341560">
        <w:br w:type="page"/>
      </w:r>
    </w:p>
    <w:p w14:paraId="27EC340D" w14:textId="77777777" w:rsidR="00BB0118" w:rsidRPr="00341560" w:rsidRDefault="00BB0118" w:rsidP="00BB0118">
      <w:pPr>
        <w:rPr>
          <w:rFonts w:eastAsia="Microsoft Sans Serif"/>
          <w:b/>
          <w:u w:val="single"/>
        </w:rPr>
      </w:pPr>
      <w:r w:rsidRPr="00341560">
        <w:rPr>
          <w:rFonts w:eastAsia="Microsoft Sans Serif"/>
          <w:b/>
          <w:u w:val="single"/>
        </w:rPr>
        <w:lastRenderedPageBreak/>
        <w:t>C-2019-3007989 – LIZA MOUSIOS v. METROPOLITAN EDISON COMPANY</w:t>
      </w:r>
    </w:p>
    <w:p w14:paraId="2B95AE88" w14:textId="77777777" w:rsidR="00BB0118" w:rsidRPr="00341560" w:rsidRDefault="00BB0118" w:rsidP="00BB0118">
      <w:pPr>
        <w:rPr>
          <w:rFonts w:eastAsia="Microsoft Sans Serif"/>
          <w:b/>
          <w:u w:val="single"/>
        </w:rPr>
      </w:pPr>
    </w:p>
    <w:p w14:paraId="28555D81" w14:textId="77777777" w:rsidR="00BB0118" w:rsidRPr="00341560" w:rsidRDefault="00BB0118" w:rsidP="00BB0118">
      <w:pPr>
        <w:rPr>
          <w:rFonts w:eastAsia="Microsoft Sans Serif"/>
          <w:b/>
          <w:u w:val="single"/>
        </w:rPr>
      </w:pPr>
      <w:r w:rsidRPr="00341560">
        <w:rPr>
          <w:rFonts w:eastAsia="Microsoft Sans Serif"/>
          <w:b/>
          <w:u w:val="single"/>
        </w:rPr>
        <w:t>C-2019-3007995 – ROY CUMMING v. METROPOLITAN EDISON COMPANY</w:t>
      </w:r>
    </w:p>
    <w:p w14:paraId="6DF0E1A2" w14:textId="77777777" w:rsidR="00BB0118" w:rsidRPr="00341560" w:rsidRDefault="00BB0118" w:rsidP="00BB0118">
      <w:pPr>
        <w:rPr>
          <w:rFonts w:eastAsia="Microsoft Sans Serif"/>
          <w:b/>
          <w:u w:val="single"/>
        </w:rPr>
      </w:pPr>
    </w:p>
    <w:p w14:paraId="4D0CFC26" w14:textId="77777777" w:rsidR="00BB0118" w:rsidRPr="00341560" w:rsidRDefault="00BB0118" w:rsidP="00BB0118">
      <w:pPr>
        <w:rPr>
          <w:rFonts w:eastAsia="Microsoft Sans Serif"/>
          <w:b/>
          <w:u w:val="single"/>
        </w:rPr>
      </w:pPr>
    </w:p>
    <w:p w14:paraId="06321C71" w14:textId="77777777" w:rsidR="00BB0118" w:rsidRPr="00341560" w:rsidRDefault="00BB0118" w:rsidP="00BB0118">
      <w:pPr>
        <w:rPr>
          <w:rFonts w:eastAsia="Microsoft Sans Serif"/>
          <w:i/>
        </w:rPr>
      </w:pPr>
      <w:r w:rsidRPr="00341560">
        <w:rPr>
          <w:rFonts w:eastAsia="Microsoft Sans Serif"/>
          <w:i/>
        </w:rPr>
        <w:t xml:space="preserve">Revised </w:t>
      </w:r>
      <w:proofErr w:type="gramStart"/>
      <w:r w:rsidRPr="00341560">
        <w:rPr>
          <w:rFonts w:eastAsia="Microsoft Sans Serif"/>
          <w:i/>
        </w:rPr>
        <w:t>8/10/20</w:t>
      </w:r>
      <w:proofErr w:type="gramEnd"/>
    </w:p>
    <w:p w14:paraId="4B79DE56" w14:textId="77777777" w:rsidR="00BB0118" w:rsidRPr="00341560" w:rsidRDefault="00BB0118" w:rsidP="00BB0118">
      <w:pPr>
        <w:rPr>
          <w:rFonts w:eastAsia="Microsoft Sans Serif"/>
          <w:b/>
          <w:u w:val="single"/>
        </w:rPr>
      </w:pPr>
    </w:p>
    <w:p w14:paraId="1D53676E" w14:textId="77777777" w:rsidR="00BB0118" w:rsidRPr="00341560" w:rsidRDefault="00BB0118" w:rsidP="00BB0118">
      <w:pPr>
        <w:rPr>
          <w:rFonts w:eastAsia="Microsoft Sans Serif"/>
        </w:rPr>
      </w:pPr>
      <w:r w:rsidRPr="00341560">
        <w:rPr>
          <w:rFonts w:eastAsia="Microsoft Sans Serif"/>
        </w:rPr>
        <w:t>LIZA MOUSIOS</w:t>
      </w:r>
      <w:r w:rsidRPr="00341560">
        <w:rPr>
          <w:rFonts w:eastAsia="Microsoft Sans Serif"/>
        </w:rPr>
        <w:br/>
        <w:t>PO BOX 116</w:t>
      </w:r>
    </w:p>
    <w:p w14:paraId="23B3A6CD" w14:textId="77777777" w:rsidR="00BB0118" w:rsidRPr="00341560" w:rsidRDefault="00BB0118" w:rsidP="00BB0118">
      <w:pPr>
        <w:rPr>
          <w:rFonts w:eastAsia="Microsoft Sans Serif"/>
          <w:b/>
        </w:rPr>
      </w:pPr>
      <w:r w:rsidRPr="00341560">
        <w:rPr>
          <w:rFonts w:eastAsia="Microsoft Sans Serif"/>
        </w:rPr>
        <w:t>68 MARIENSTEIN RD</w:t>
      </w:r>
      <w:r w:rsidRPr="00341560">
        <w:rPr>
          <w:rFonts w:eastAsia="Microsoft Sans Serif"/>
        </w:rPr>
        <w:br/>
        <w:t>REVERE PA 18953</w:t>
      </w:r>
      <w:r w:rsidRPr="00341560">
        <w:rPr>
          <w:rFonts w:eastAsia="Microsoft Sans Serif"/>
        </w:rPr>
        <w:br/>
      </w:r>
      <w:r w:rsidRPr="00341560">
        <w:rPr>
          <w:rFonts w:eastAsia="Microsoft Sans Serif"/>
          <w:b/>
        </w:rPr>
        <w:t>610.847.2744</w:t>
      </w:r>
    </w:p>
    <w:p w14:paraId="3E12D705" w14:textId="77777777" w:rsidR="00BB0118" w:rsidRPr="00341560" w:rsidRDefault="00000000" w:rsidP="00BB0118">
      <w:hyperlink r:id="rId8" w:history="1">
        <w:r w:rsidR="00BB0118" w:rsidRPr="00341560">
          <w:rPr>
            <w:color w:val="004B91"/>
          </w:rPr>
          <w:t>cumming@epix.net</w:t>
        </w:r>
      </w:hyperlink>
    </w:p>
    <w:p w14:paraId="73CFBEC5" w14:textId="77777777" w:rsidR="00BB0118" w:rsidRPr="00341560" w:rsidRDefault="00BB0118" w:rsidP="00BB0118">
      <w:pPr>
        <w:rPr>
          <w:rFonts w:eastAsia="Microsoft Sans Serif"/>
        </w:rPr>
      </w:pPr>
    </w:p>
    <w:p w14:paraId="03D67140" w14:textId="77777777" w:rsidR="00BB0118" w:rsidRPr="00341560" w:rsidRDefault="00BB0118" w:rsidP="00BB0118">
      <w:pPr>
        <w:rPr>
          <w:rFonts w:eastAsia="Microsoft Sans Serif"/>
        </w:rPr>
      </w:pPr>
      <w:r w:rsidRPr="00341560">
        <w:rPr>
          <w:rFonts w:eastAsia="Microsoft Sans Serif"/>
        </w:rPr>
        <w:t>ROY CUMMING</w:t>
      </w:r>
      <w:r w:rsidRPr="00341560">
        <w:rPr>
          <w:rFonts w:eastAsia="Microsoft Sans Serif"/>
        </w:rPr>
        <w:br/>
        <w:t>PO BOX 396</w:t>
      </w:r>
    </w:p>
    <w:p w14:paraId="54C34418" w14:textId="77777777" w:rsidR="00BB0118" w:rsidRPr="00341560" w:rsidRDefault="00BB0118" w:rsidP="00BB0118">
      <w:pPr>
        <w:rPr>
          <w:rFonts w:eastAsia="Microsoft Sans Serif"/>
        </w:rPr>
      </w:pPr>
      <w:r w:rsidRPr="00341560">
        <w:rPr>
          <w:rFonts w:eastAsia="Microsoft Sans Serif"/>
        </w:rPr>
        <w:t>68 MARIENSTEIN RD</w:t>
      </w:r>
      <w:r w:rsidRPr="00341560">
        <w:rPr>
          <w:rFonts w:eastAsia="Microsoft Sans Serif"/>
        </w:rPr>
        <w:br/>
        <w:t>REVERE PA 18953</w:t>
      </w:r>
      <w:r w:rsidRPr="00341560">
        <w:rPr>
          <w:rFonts w:eastAsia="Microsoft Sans Serif"/>
        </w:rPr>
        <w:br/>
      </w:r>
      <w:r w:rsidRPr="00341560">
        <w:rPr>
          <w:rFonts w:eastAsia="Microsoft Sans Serif"/>
          <w:b/>
        </w:rPr>
        <w:t>610.847.2744</w:t>
      </w:r>
    </w:p>
    <w:p w14:paraId="62182E20" w14:textId="77777777" w:rsidR="00BB0118" w:rsidRPr="00341560" w:rsidRDefault="00000000" w:rsidP="00BB0118">
      <w:hyperlink r:id="rId9" w:history="1">
        <w:r w:rsidR="00BB0118" w:rsidRPr="00341560">
          <w:rPr>
            <w:color w:val="004B91"/>
          </w:rPr>
          <w:t>cumming@epix.net</w:t>
        </w:r>
      </w:hyperlink>
    </w:p>
    <w:p w14:paraId="54AE608F" w14:textId="77777777" w:rsidR="00BB0118" w:rsidRPr="00341560" w:rsidRDefault="00BB0118" w:rsidP="00BB0118">
      <w:pPr>
        <w:rPr>
          <w:rFonts w:eastAsia="Microsoft Sans Serif"/>
        </w:rPr>
      </w:pPr>
    </w:p>
    <w:p w14:paraId="40BB2D1C" w14:textId="77777777" w:rsidR="00BB0118" w:rsidRPr="00341560" w:rsidRDefault="00BB0118" w:rsidP="00BB0118">
      <w:r w:rsidRPr="00341560">
        <w:t>LAUREN MARISSA LEPKOSKI ESQUIRE</w:t>
      </w:r>
    </w:p>
    <w:p w14:paraId="67BE58DF" w14:textId="77777777" w:rsidR="00BB0118" w:rsidRPr="00341560" w:rsidRDefault="00BB0118" w:rsidP="00BB0118">
      <w:r w:rsidRPr="00341560">
        <w:t>TORI L GIESLER ESQUIRE</w:t>
      </w:r>
    </w:p>
    <w:p w14:paraId="0C644AB7" w14:textId="77777777" w:rsidR="00BB0118" w:rsidRPr="00341560" w:rsidRDefault="00BB0118" w:rsidP="00BB0118">
      <w:r w:rsidRPr="00341560">
        <w:t>FIRSTENERGY SERVICES CO</w:t>
      </w:r>
    </w:p>
    <w:p w14:paraId="7E9310F0" w14:textId="77777777" w:rsidR="00BB0118" w:rsidRPr="00341560" w:rsidRDefault="00BB0118" w:rsidP="00BB0118">
      <w:r w:rsidRPr="00341560">
        <w:t>2800 POTTSVILLE PIKE</w:t>
      </w:r>
    </w:p>
    <w:p w14:paraId="6AFDCBCF" w14:textId="77777777" w:rsidR="00BB0118" w:rsidRPr="00341560" w:rsidRDefault="00BB0118" w:rsidP="00BB0118">
      <w:r w:rsidRPr="00341560">
        <w:t>PO BOX 16001</w:t>
      </w:r>
    </w:p>
    <w:p w14:paraId="2580B186" w14:textId="77777777" w:rsidR="00BB0118" w:rsidRPr="00341560" w:rsidRDefault="00BB0118" w:rsidP="00BB0118">
      <w:r w:rsidRPr="00341560">
        <w:t>READING PA  19612</w:t>
      </w:r>
    </w:p>
    <w:p w14:paraId="552715C1" w14:textId="77777777" w:rsidR="00BB0118" w:rsidRPr="00341560" w:rsidRDefault="00BB0118" w:rsidP="00BB0118">
      <w:r w:rsidRPr="00341560">
        <w:rPr>
          <w:b/>
        </w:rPr>
        <w:t>610.921.6203</w:t>
      </w:r>
    </w:p>
    <w:p w14:paraId="577A702B" w14:textId="77777777" w:rsidR="00BB0118" w:rsidRPr="00341560" w:rsidRDefault="00BB0118" w:rsidP="00BB0118">
      <w:r w:rsidRPr="00341560">
        <w:rPr>
          <w:b/>
        </w:rPr>
        <w:t>610.921.6658</w:t>
      </w:r>
    </w:p>
    <w:p w14:paraId="0F2E0069" w14:textId="77777777" w:rsidR="00BB0118" w:rsidRPr="00341560" w:rsidRDefault="00BB0118" w:rsidP="00BB0118">
      <w:pPr>
        <w:rPr>
          <w:bCs/>
          <w:iCs/>
        </w:rPr>
      </w:pPr>
      <w:r w:rsidRPr="00341560">
        <w:rPr>
          <w:bCs/>
          <w:iCs/>
        </w:rPr>
        <w:t>Accepts e-</w:t>
      </w:r>
      <w:proofErr w:type="gramStart"/>
      <w:r w:rsidRPr="00341560">
        <w:rPr>
          <w:bCs/>
          <w:iCs/>
        </w:rPr>
        <w:t>Service</w:t>
      </w:r>
      <w:proofErr w:type="gramEnd"/>
    </w:p>
    <w:p w14:paraId="72D26700" w14:textId="77777777" w:rsidR="00BB0118" w:rsidRPr="00341560" w:rsidRDefault="00BB0118" w:rsidP="00BB0118"/>
    <w:p w14:paraId="5D8649F1" w14:textId="77777777" w:rsidR="00BB0118" w:rsidRPr="00341560" w:rsidRDefault="00BB0118" w:rsidP="00342606">
      <w:pPr>
        <w:spacing w:line="360" w:lineRule="auto"/>
      </w:pPr>
    </w:p>
    <w:sectPr w:rsidR="00BB0118" w:rsidRPr="0034156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E51FF" w14:textId="77777777" w:rsidR="00FE14F1" w:rsidRDefault="00FE14F1" w:rsidP="00F1520C">
      <w:r>
        <w:separator/>
      </w:r>
    </w:p>
  </w:endnote>
  <w:endnote w:type="continuationSeparator" w:id="0">
    <w:p w14:paraId="2197864E" w14:textId="77777777" w:rsidR="00FE14F1" w:rsidRDefault="00FE14F1" w:rsidP="00F15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1190923"/>
      <w:docPartObj>
        <w:docPartGallery w:val="Page Numbers (Bottom of Page)"/>
        <w:docPartUnique/>
      </w:docPartObj>
    </w:sdtPr>
    <w:sdtEndPr>
      <w:rPr>
        <w:noProof/>
      </w:rPr>
    </w:sdtEndPr>
    <w:sdtContent>
      <w:p w14:paraId="0F7B486D" w14:textId="6DB3BD24" w:rsidR="00DF1A54" w:rsidRDefault="00DF1A5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53C83B" w14:textId="77777777" w:rsidR="00DF1A54" w:rsidRDefault="00DF1A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5AD75" w14:textId="77777777" w:rsidR="00FE14F1" w:rsidRDefault="00FE14F1" w:rsidP="00F1520C">
      <w:r>
        <w:separator/>
      </w:r>
    </w:p>
  </w:footnote>
  <w:footnote w:type="continuationSeparator" w:id="0">
    <w:p w14:paraId="3A2BA03C" w14:textId="77777777" w:rsidR="00FE14F1" w:rsidRDefault="00FE14F1" w:rsidP="00F1520C">
      <w:r>
        <w:continuationSeparator/>
      </w:r>
    </w:p>
  </w:footnote>
  <w:footnote w:id="1">
    <w:p w14:paraId="39007020" w14:textId="2D62181D" w:rsidR="00F1520C" w:rsidRDefault="00F1520C">
      <w:pPr>
        <w:pStyle w:val="FootnoteText"/>
      </w:pPr>
      <w:r>
        <w:rPr>
          <w:rStyle w:val="FootnoteReference"/>
        </w:rPr>
        <w:footnoteRef/>
      </w:r>
      <w:r>
        <w:t xml:space="preserve"> </w:t>
      </w:r>
      <w:r w:rsidR="001F1C99">
        <w:tab/>
      </w:r>
      <w:r>
        <w:t>The Docket does not include briefs filed by the Complainants</w:t>
      </w:r>
      <w:r w:rsidR="00485DBE">
        <w:t xml:space="preserve"> in September of 2020</w:t>
      </w:r>
      <w:r>
        <w:t xml:space="preserve">. </w:t>
      </w:r>
      <w:r w:rsidR="00341560">
        <w:t>I</w:t>
      </w:r>
      <w:r>
        <w:t xml:space="preserve">f briefs were filed, </w:t>
      </w:r>
      <w:r w:rsidR="00341560">
        <w:t xml:space="preserve">and the Complainants would like such briefs considered, </w:t>
      </w:r>
      <w:r>
        <w:t xml:space="preserve">Complainants should resubmit </w:t>
      </w:r>
      <w:r w:rsidR="00341560">
        <w:t>the</w:t>
      </w:r>
      <w:r>
        <w:t xml:space="preserve"> briefs to the </w:t>
      </w:r>
      <w:r w:rsidR="001F257F">
        <w:t xml:space="preserve">Administrative Law Judge at Public Utility Commission: Attention Darlene Heep, ALJ; 801 Market Street, 4th Floor, Philadelphia, Pennsylvania 19107 </w:t>
      </w:r>
      <w:r w:rsidR="00485DBE">
        <w:t>or email to</w:t>
      </w:r>
      <w:r w:rsidR="00CA0572">
        <w:t xml:space="preserve"> the Legal Assistant Athena Delvillar at </w:t>
      </w:r>
      <w:hyperlink r:id="rId1" w:history="1">
        <w:r w:rsidR="00CA0572" w:rsidRPr="002D0CB9">
          <w:rPr>
            <w:rStyle w:val="Hyperlink"/>
          </w:rPr>
          <w:t>sdelvillar@pa.gov</w:t>
        </w:r>
      </w:hyperlink>
      <w:r w:rsidR="00CA0572">
        <w:t xml:space="preserve"> </w:t>
      </w:r>
      <w:r w:rsidR="00485DBE">
        <w:t xml:space="preserve"> </w:t>
      </w:r>
      <w:r w:rsidR="001F257F">
        <w:t xml:space="preserve">no later than the Supplemental Briefs deadline included in this Order, with a copy to Metropolitan Edison.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101AB"/>
    <w:multiLevelType w:val="hybridMultilevel"/>
    <w:tmpl w:val="C770C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E108D8"/>
    <w:multiLevelType w:val="hybridMultilevel"/>
    <w:tmpl w:val="4198CE72"/>
    <w:lvl w:ilvl="0" w:tplc="FDF4318C">
      <w:start w:val="4"/>
      <w:numFmt w:val="decimal"/>
      <w:lvlText w:val="%1."/>
      <w:lvlJc w:val="left"/>
      <w:pPr>
        <w:ind w:left="1800" w:hanging="360"/>
      </w:pPr>
      <w:rPr>
        <w:rFonts w:ascii="CG Times" w:eastAsiaTheme="minorHAnsi" w:hAnsi="CG Time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5A3616E7"/>
    <w:multiLevelType w:val="hybridMultilevel"/>
    <w:tmpl w:val="24985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3579671">
    <w:abstractNumId w:val="2"/>
  </w:num>
  <w:num w:numId="2" w16cid:durableId="1523393957">
    <w:abstractNumId w:val="0"/>
  </w:num>
  <w:num w:numId="3" w16cid:durableId="23193899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7CB"/>
    <w:rsid w:val="00042009"/>
    <w:rsid w:val="00052BB1"/>
    <w:rsid w:val="001B0C82"/>
    <w:rsid w:val="001F1C99"/>
    <w:rsid w:val="001F257F"/>
    <w:rsid w:val="00287D02"/>
    <w:rsid w:val="002C0B71"/>
    <w:rsid w:val="00341560"/>
    <w:rsid w:val="00342606"/>
    <w:rsid w:val="003840B1"/>
    <w:rsid w:val="003A255F"/>
    <w:rsid w:val="004249EF"/>
    <w:rsid w:val="00485DBE"/>
    <w:rsid w:val="004A16BF"/>
    <w:rsid w:val="00565397"/>
    <w:rsid w:val="00606654"/>
    <w:rsid w:val="006E0B71"/>
    <w:rsid w:val="0074083F"/>
    <w:rsid w:val="007627CB"/>
    <w:rsid w:val="00844052"/>
    <w:rsid w:val="00867F35"/>
    <w:rsid w:val="00872646"/>
    <w:rsid w:val="009B5C93"/>
    <w:rsid w:val="00A6179E"/>
    <w:rsid w:val="00BB0118"/>
    <w:rsid w:val="00CA0572"/>
    <w:rsid w:val="00DA39E7"/>
    <w:rsid w:val="00DF1A54"/>
    <w:rsid w:val="00F1520C"/>
    <w:rsid w:val="00F64FB0"/>
    <w:rsid w:val="00FE14F1"/>
    <w:rsid w:val="00FE2767"/>
    <w:rsid w:val="00FE2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2FF78"/>
  <w15:chartTrackingRefBased/>
  <w15:docId w15:val="{CA8BFF27-322B-4093-94D8-F6E648390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7C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627CB"/>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7627CB"/>
    <w:rPr>
      <w:rFonts w:ascii="Calibri" w:eastAsia="Calibri" w:hAnsi="Calibri" w:cs="Times New Roman"/>
    </w:rPr>
  </w:style>
  <w:style w:type="paragraph" w:styleId="FootnoteText">
    <w:name w:val="footnote text"/>
    <w:basedOn w:val="Normal"/>
    <w:link w:val="FootnoteTextChar"/>
    <w:uiPriority w:val="99"/>
    <w:semiHidden/>
    <w:unhideWhenUsed/>
    <w:rsid w:val="00F1520C"/>
    <w:rPr>
      <w:sz w:val="20"/>
      <w:szCs w:val="20"/>
    </w:rPr>
  </w:style>
  <w:style w:type="character" w:customStyle="1" w:styleId="FootnoteTextChar">
    <w:name w:val="Footnote Text Char"/>
    <w:basedOn w:val="DefaultParagraphFont"/>
    <w:link w:val="FootnoteText"/>
    <w:uiPriority w:val="99"/>
    <w:semiHidden/>
    <w:rsid w:val="00F1520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1520C"/>
    <w:rPr>
      <w:vertAlign w:val="superscript"/>
    </w:rPr>
  </w:style>
  <w:style w:type="paragraph" w:styleId="ListParagraph">
    <w:name w:val="List Paragraph"/>
    <w:basedOn w:val="Normal"/>
    <w:uiPriority w:val="34"/>
    <w:qFormat/>
    <w:rsid w:val="00872646"/>
    <w:pPr>
      <w:ind w:left="720"/>
      <w:contextualSpacing/>
    </w:pPr>
  </w:style>
  <w:style w:type="paragraph" w:styleId="Header">
    <w:name w:val="header"/>
    <w:basedOn w:val="Normal"/>
    <w:link w:val="HeaderChar"/>
    <w:uiPriority w:val="99"/>
    <w:unhideWhenUsed/>
    <w:rsid w:val="00DF1A54"/>
    <w:pPr>
      <w:tabs>
        <w:tab w:val="center" w:pos="4680"/>
        <w:tab w:val="right" w:pos="9360"/>
      </w:tabs>
    </w:pPr>
  </w:style>
  <w:style w:type="character" w:customStyle="1" w:styleId="HeaderChar">
    <w:name w:val="Header Char"/>
    <w:basedOn w:val="DefaultParagraphFont"/>
    <w:link w:val="Header"/>
    <w:uiPriority w:val="99"/>
    <w:rsid w:val="00DF1A5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F1A54"/>
    <w:pPr>
      <w:tabs>
        <w:tab w:val="center" w:pos="4680"/>
        <w:tab w:val="right" w:pos="9360"/>
      </w:tabs>
    </w:pPr>
  </w:style>
  <w:style w:type="character" w:customStyle="1" w:styleId="FooterChar">
    <w:name w:val="Footer Char"/>
    <w:basedOn w:val="DefaultParagraphFont"/>
    <w:link w:val="Footer"/>
    <w:uiPriority w:val="99"/>
    <w:rsid w:val="00DF1A54"/>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A0572"/>
    <w:rPr>
      <w:color w:val="0563C1" w:themeColor="hyperlink"/>
      <w:u w:val="single"/>
    </w:rPr>
  </w:style>
  <w:style w:type="character" w:styleId="UnresolvedMention">
    <w:name w:val="Unresolved Mention"/>
    <w:basedOn w:val="DefaultParagraphFont"/>
    <w:uiPriority w:val="99"/>
    <w:semiHidden/>
    <w:unhideWhenUsed/>
    <w:rsid w:val="00CA05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mming@epix.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umming@epix.ne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sdelvillar@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083B7-CBAB-4CCB-8699-0990CDCBD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1391</Words>
  <Characters>7934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Heep, Darlene</dc:creator>
  <cp:keywords/>
  <dc:description/>
  <cp:lastModifiedBy>Delvillar, Shalea</cp:lastModifiedBy>
  <cp:revision>2</cp:revision>
  <cp:lastPrinted>2023-12-05T19:53:00Z</cp:lastPrinted>
  <dcterms:created xsi:type="dcterms:W3CDTF">2023-12-13T18:39:00Z</dcterms:created>
  <dcterms:modified xsi:type="dcterms:W3CDTF">2023-12-13T18:39:00Z</dcterms:modified>
</cp:coreProperties>
</file>