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2ED482A5" w:rsidR="00F923A1" w:rsidRPr="00F923A1" w:rsidRDefault="00EE1D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David Maloney</w:t>
      </w:r>
      <w:r>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r w:rsidR="00F923A1"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1BFC766A"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w:t>
      </w:r>
      <w:r w:rsidR="00EE1D8F">
        <w:rPr>
          <w:rFonts w:ascii="Times New Roman" w:eastAsia="Calibri" w:hAnsi="Times New Roman" w:cs="Times New Roman"/>
          <w:sz w:val="24"/>
          <w:szCs w:val="24"/>
        </w:rPr>
        <w:t>2019-3007460</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6B7E39FC" w:rsidR="00F923A1" w:rsidRPr="00F923A1" w:rsidRDefault="00EE1D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379A9C19" w14:textId="363D8ABB" w:rsidR="00F923A1" w:rsidRPr="00F83E9E" w:rsidRDefault="00F83E9E"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sidRPr="00F83E9E">
        <w:rPr>
          <w:rFonts w:ascii="Times New Roman" w:hAnsi="Times New Roman" w:cs="Times New Roman"/>
          <w:b/>
          <w:bCs/>
          <w:spacing w:val="-3"/>
          <w:sz w:val="24"/>
          <w:szCs w:val="24"/>
          <w:u w:val="single"/>
        </w:rPr>
        <w:t>PREHEARING CONFERENCE ORDER</w:t>
      </w:r>
    </w:p>
    <w:p w14:paraId="5591C6A4" w14:textId="77777777" w:rsidR="00287519" w:rsidRDefault="00287519" w:rsidP="001003C3">
      <w:pPr>
        <w:spacing w:after="0" w:line="360" w:lineRule="auto"/>
        <w:rPr>
          <w:rFonts w:ascii="Times New Roman" w:hAnsi="Times New Roman" w:cs="Times New Roman"/>
          <w:bCs/>
          <w:sz w:val="24"/>
          <w:szCs w:val="24"/>
        </w:rPr>
      </w:pPr>
    </w:p>
    <w:p w14:paraId="2D5EDDC6" w14:textId="77777777" w:rsidR="00287519" w:rsidRPr="008C2288" w:rsidRDefault="00287519" w:rsidP="00287519">
      <w:pPr>
        <w:pStyle w:val="BodyTextIndent"/>
        <w:widowControl/>
        <w:rPr>
          <w:sz w:val="24"/>
          <w:szCs w:val="24"/>
        </w:rPr>
      </w:pPr>
      <w:r w:rsidRPr="008C2288">
        <w:rPr>
          <w:sz w:val="24"/>
          <w:szCs w:val="24"/>
        </w:rPr>
        <w:t xml:space="preserve">In accordance with Section 333 of the Public Utility Code, 66 </w:t>
      </w:r>
      <w:proofErr w:type="spellStart"/>
      <w:r w:rsidRPr="008C2288">
        <w:rPr>
          <w:sz w:val="24"/>
          <w:szCs w:val="24"/>
        </w:rPr>
        <w:t>Pa.C.S</w:t>
      </w:r>
      <w:proofErr w:type="spellEnd"/>
      <w:r w:rsidRPr="008C2288">
        <w:rPr>
          <w:sz w:val="24"/>
          <w:szCs w:val="24"/>
        </w:rPr>
        <w:t xml:space="preserve">. § 333, and Sections 5.221-5.224 of the Commission’s regulations, 52 </w:t>
      </w:r>
      <w:proofErr w:type="spellStart"/>
      <w:r w:rsidRPr="008C2288">
        <w:rPr>
          <w:sz w:val="24"/>
          <w:szCs w:val="24"/>
        </w:rPr>
        <w:t>Pa.Code</w:t>
      </w:r>
      <w:proofErr w:type="spellEnd"/>
      <w:r w:rsidRPr="008C2288">
        <w:rPr>
          <w:sz w:val="24"/>
          <w:szCs w:val="24"/>
        </w:rPr>
        <w:t xml:space="preserve"> §§ 5.221-5.224, this prehearing conference order is being issued.</w:t>
      </w:r>
    </w:p>
    <w:p w14:paraId="4228AC18" w14:textId="77777777" w:rsidR="00287519" w:rsidRDefault="00287519" w:rsidP="00C77197">
      <w:pPr>
        <w:spacing w:after="0" w:line="360" w:lineRule="auto"/>
        <w:rPr>
          <w:rFonts w:ascii="Times New Roman" w:eastAsia="Times New Roman" w:hAnsi="Times New Roman" w:cs="Times New Roman"/>
          <w:i/>
          <w:iCs/>
          <w:sz w:val="24"/>
          <w:szCs w:val="24"/>
          <w:u w:val="single"/>
        </w:rPr>
      </w:pPr>
    </w:p>
    <w:p w14:paraId="1808EF2C" w14:textId="046C19DB" w:rsidR="00C77197" w:rsidRPr="00F04A4A" w:rsidRDefault="00F04A4A" w:rsidP="00C77197">
      <w:pPr>
        <w:spacing w:after="0"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Abbreviated Procedural </w:t>
      </w:r>
      <w:r w:rsidR="00C77197"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4A57E61E" w14:textId="63F2B412" w:rsidR="00F83E9E" w:rsidRDefault="00F83E9E"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2C7125">
        <w:rPr>
          <w:rFonts w:ascii="Times New Roman" w:eastAsia="Times New Roman" w:hAnsi="Times New Roman" w:cs="Times New Roman"/>
          <w:sz w:val="24"/>
          <w:szCs w:val="24"/>
        </w:rPr>
        <w:t>January 24, 2019, David Maloney (“Mr. Maloney”) filed a Formal Complaint (“Complaint</w:t>
      </w:r>
      <w:r w:rsidR="005F0579">
        <w:rPr>
          <w:rFonts w:ascii="Times New Roman" w:eastAsia="Times New Roman" w:hAnsi="Times New Roman" w:cs="Times New Roman"/>
          <w:sz w:val="24"/>
          <w:szCs w:val="24"/>
        </w:rPr>
        <w:t>”</w:t>
      </w:r>
      <w:r w:rsidR="002C7125">
        <w:rPr>
          <w:rFonts w:ascii="Times New Roman" w:eastAsia="Times New Roman" w:hAnsi="Times New Roman" w:cs="Times New Roman"/>
          <w:sz w:val="24"/>
          <w:szCs w:val="24"/>
        </w:rPr>
        <w:t xml:space="preserve">) against Metropolitan Edison Company (“Met Ed”) with the Pennsylvania Public Utility Commission (“Commission”).  In </w:t>
      </w:r>
      <w:r w:rsidR="001061A1">
        <w:rPr>
          <w:rFonts w:ascii="Times New Roman" w:eastAsia="Times New Roman" w:hAnsi="Times New Roman" w:cs="Times New Roman"/>
          <w:sz w:val="24"/>
          <w:szCs w:val="24"/>
        </w:rPr>
        <w:t xml:space="preserve">his Complaint, Mr. Maloney </w:t>
      </w:r>
      <w:r w:rsidR="00E15590">
        <w:rPr>
          <w:rFonts w:ascii="Times New Roman" w:eastAsia="Times New Roman" w:hAnsi="Times New Roman" w:cs="Times New Roman"/>
          <w:sz w:val="24"/>
          <w:szCs w:val="24"/>
        </w:rPr>
        <w:t xml:space="preserve">objected to the installation </w:t>
      </w:r>
      <w:r w:rsidR="001061A1">
        <w:rPr>
          <w:rFonts w:ascii="Times New Roman" w:eastAsia="Times New Roman" w:hAnsi="Times New Roman" w:cs="Times New Roman"/>
          <w:sz w:val="24"/>
          <w:szCs w:val="24"/>
        </w:rPr>
        <w:t xml:space="preserve">of </w:t>
      </w:r>
      <w:r w:rsidR="00E15590">
        <w:rPr>
          <w:rFonts w:ascii="Times New Roman" w:eastAsia="Times New Roman" w:hAnsi="Times New Roman" w:cs="Times New Roman"/>
          <w:sz w:val="24"/>
          <w:szCs w:val="24"/>
        </w:rPr>
        <w:t xml:space="preserve">a </w:t>
      </w:r>
      <w:r w:rsidR="001061A1">
        <w:rPr>
          <w:rFonts w:ascii="Times New Roman" w:eastAsia="Times New Roman" w:hAnsi="Times New Roman" w:cs="Times New Roman"/>
          <w:sz w:val="24"/>
          <w:szCs w:val="24"/>
        </w:rPr>
        <w:t>smart meter at</w:t>
      </w:r>
      <w:r w:rsidR="000A1A67">
        <w:rPr>
          <w:rFonts w:ascii="Times New Roman" w:eastAsia="Times New Roman" w:hAnsi="Times New Roman" w:cs="Times New Roman"/>
          <w:sz w:val="24"/>
          <w:szCs w:val="24"/>
        </w:rPr>
        <w:t xml:space="preserve"> his </w:t>
      </w:r>
      <w:r w:rsidR="00E12B84">
        <w:rPr>
          <w:rFonts w:ascii="Times New Roman" w:eastAsia="Times New Roman" w:hAnsi="Times New Roman" w:cs="Times New Roman"/>
          <w:sz w:val="24"/>
          <w:szCs w:val="24"/>
        </w:rPr>
        <w:t xml:space="preserve">home at 320 Merkle </w:t>
      </w:r>
      <w:r w:rsidR="00536B60">
        <w:rPr>
          <w:rFonts w:ascii="Times New Roman" w:eastAsia="Times New Roman" w:hAnsi="Times New Roman" w:cs="Times New Roman"/>
          <w:sz w:val="24"/>
          <w:szCs w:val="24"/>
        </w:rPr>
        <w:t>Road</w:t>
      </w:r>
      <w:r w:rsidR="00485DC5">
        <w:rPr>
          <w:rFonts w:ascii="Times New Roman" w:eastAsia="Times New Roman" w:hAnsi="Times New Roman" w:cs="Times New Roman"/>
          <w:sz w:val="24"/>
          <w:szCs w:val="24"/>
        </w:rPr>
        <w:t>, Boyertown, Pennsylvania</w:t>
      </w:r>
      <w:r w:rsidR="00E12B84">
        <w:rPr>
          <w:rFonts w:ascii="Times New Roman" w:eastAsia="Times New Roman" w:hAnsi="Times New Roman" w:cs="Times New Roman"/>
          <w:sz w:val="24"/>
          <w:szCs w:val="24"/>
        </w:rPr>
        <w:t xml:space="preserve"> </w:t>
      </w:r>
      <w:r w:rsidR="00CB69F2">
        <w:rPr>
          <w:rFonts w:ascii="Times New Roman" w:eastAsia="Times New Roman" w:hAnsi="Times New Roman" w:cs="Times New Roman"/>
          <w:sz w:val="24"/>
          <w:szCs w:val="24"/>
        </w:rPr>
        <w:t xml:space="preserve">(“Location 1”) </w:t>
      </w:r>
      <w:r w:rsidR="00E12B84">
        <w:rPr>
          <w:rFonts w:ascii="Times New Roman" w:eastAsia="Times New Roman" w:hAnsi="Times New Roman" w:cs="Times New Roman"/>
          <w:sz w:val="24"/>
          <w:szCs w:val="24"/>
        </w:rPr>
        <w:t xml:space="preserve">and his garage at </w:t>
      </w:r>
      <w:r w:rsidR="00BC5DBB">
        <w:rPr>
          <w:rFonts w:ascii="Times New Roman" w:eastAsia="Times New Roman" w:hAnsi="Times New Roman" w:cs="Times New Roman"/>
          <w:sz w:val="24"/>
          <w:szCs w:val="24"/>
        </w:rPr>
        <w:t>304 Merkle Road</w:t>
      </w:r>
      <w:r w:rsidR="00485DC5">
        <w:rPr>
          <w:rFonts w:ascii="Times New Roman" w:eastAsia="Times New Roman" w:hAnsi="Times New Roman" w:cs="Times New Roman"/>
          <w:sz w:val="24"/>
          <w:szCs w:val="24"/>
        </w:rPr>
        <w:t>, Boyertown, Pennsylvania</w:t>
      </w:r>
      <w:r w:rsidR="00CB69F2">
        <w:rPr>
          <w:rFonts w:ascii="Times New Roman" w:eastAsia="Times New Roman" w:hAnsi="Times New Roman" w:cs="Times New Roman"/>
          <w:sz w:val="24"/>
          <w:szCs w:val="24"/>
        </w:rPr>
        <w:t xml:space="preserve"> (“Location 2”)</w:t>
      </w:r>
      <w:r w:rsidR="00485DC5">
        <w:rPr>
          <w:rFonts w:ascii="Times New Roman" w:eastAsia="Times New Roman" w:hAnsi="Times New Roman" w:cs="Times New Roman"/>
          <w:sz w:val="24"/>
          <w:szCs w:val="24"/>
        </w:rPr>
        <w:t>.</w:t>
      </w:r>
    </w:p>
    <w:p w14:paraId="4C658D07" w14:textId="77777777" w:rsidR="004A5C85" w:rsidRDefault="004A5C85" w:rsidP="00CE1993">
      <w:pPr>
        <w:spacing w:after="0" w:line="360" w:lineRule="auto"/>
        <w:ind w:firstLine="1440"/>
        <w:rPr>
          <w:rFonts w:ascii="Times New Roman" w:eastAsia="Times New Roman" w:hAnsi="Times New Roman" w:cs="Times New Roman"/>
          <w:sz w:val="24"/>
          <w:szCs w:val="24"/>
        </w:rPr>
      </w:pPr>
    </w:p>
    <w:p w14:paraId="27B91D6C" w14:textId="70F2FEC3" w:rsidR="004A5C85" w:rsidRDefault="004A5C85"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13, 2019, Met Ed filed an Answer</w:t>
      </w:r>
      <w:r w:rsidR="006F2AC0">
        <w:rPr>
          <w:rFonts w:ascii="Times New Roman" w:eastAsia="Times New Roman" w:hAnsi="Times New Roman" w:cs="Times New Roman"/>
          <w:sz w:val="24"/>
          <w:szCs w:val="24"/>
        </w:rPr>
        <w:t xml:space="preserve"> with New Matter to the Complaint</w:t>
      </w:r>
      <w:r w:rsidR="005F0579">
        <w:rPr>
          <w:rFonts w:ascii="Times New Roman" w:eastAsia="Times New Roman" w:hAnsi="Times New Roman" w:cs="Times New Roman"/>
          <w:sz w:val="24"/>
          <w:szCs w:val="24"/>
        </w:rPr>
        <w:t xml:space="preserve">, wherein it denied the material allegations of the Complaint.  </w:t>
      </w:r>
      <w:r w:rsidR="006F2AC0">
        <w:rPr>
          <w:rFonts w:ascii="Times New Roman" w:eastAsia="Times New Roman" w:hAnsi="Times New Roman" w:cs="Times New Roman"/>
          <w:sz w:val="24"/>
          <w:szCs w:val="24"/>
        </w:rPr>
        <w:t xml:space="preserve">Met Ed also filed Preliminary Objections </w:t>
      </w:r>
      <w:r w:rsidR="00354080">
        <w:rPr>
          <w:rFonts w:ascii="Times New Roman" w:eastAsia="Times New Roman" w:hAnsi="Times New Roman" w:cs="Times New Roman"/>
          <w:sz w:val="24"/>
          <w:szCs w:val="24"/>
        </w:rPr>
        <w:t>on the same date.  Met Ed sought</w:t>
      </w:r>
      <w:r w:rsidR="003F1F8D">
        <w:rPr>
          <w:rFonts w:ascii="Times New Roman" w:eastAsia="Times New Roman" w:hAnsi="Times New Roman" w:cs="Times New Roman"/>
          <w:sz w:val="24"/>
          <w:szCs w:val="24"/>
        </w:rPr>
        <w:t xml:space="preserve"> dismissal of the Complaint arguing that </w:t>
      </w:r>
      <w:r w:rsidR="008C2432">
        <w:rPr>
          <w:rFonts w:ascii="Times New Roman" w:eastAsia="Times New Roman" w:hAnsi="Times New Roman" w:cs="Times New Roman"/>
          <w:sz w:val="24"/>
          <w:szCs w:val="24"/>
        </w:rPr>
        <w:t xml:space="preserve">Met Ed is </w:t>
      </w:r>
      <w:r w:rsidR="001F099A">
        <w:rPr>
          <w:rFonts w:ascii="Times New Roman" w:eastAsia="Times New Roman" w:hAnsi="Times New Roman" w:cs="Times New Roman"/>
          <w:sz w:val="24"/>
          <w:szCs w:val="24"/>
        </w:rPr>
        <w:t xml:space="preserve">required by law to install a smart meter at </w:t>
      </w:r>
      <w:r w:rsidR="00B40DF4">
        <w:rPr>
          <w:rFonts w:ascii="Times New Roman" w:eastAsia="Times New Roman" w:hAnsi="Times New Roman" w:cs="Times New Roman"/>
          <w:sz w:val="24"/>
          <w:szCs w:val="24"/>
        </w:rPr>
        <w:t>the locations in question.</w:t>
      </w:r>
    </w:p>
    <w:p w14:paraId="21549C17" w14:textId="77777777" w:rsidR="00B40DF4" w:rsidRDefault="00B40DF4" w:rsidP="00CE1993">
      <w:pPr>
        <w:spacing w:after="0" w:line="360" w:lineRule="auto"/>
        <w:ind w:firstLine="1440"/>
        <w:rPr>
          <w:rFonts w:ascii="Times New Roman" w:eastAsia="Times New Roman" w:hAnsi="Times New Roman" w:cs="Times New Roman"/>
          <w:sz w:val="24"/>
          <w:szCs w:val="24"/>
        </w:rPr>
      </w:pPr>
    </w:p>
    <w:p w14:paraId="765CE7F2" w14:textId="77777777" w:rsidR="0058795B" w:rsidRDefault="00B40DF4"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March </w:t>
      </w:r>
      <w:r w:rsidR="004676A8">
        <w:rPr>
          <w:rFonts w:ascii="Times New Roman" w:eastAsia="Times New Roman" w:hAnsi="Times New Roman" w:cs="Times New Roman"/>
          <w:sz w:val="24"/>
          <w:szCs w:val="24"/>
        </w:rPr>
        <w:t xml:space="preserve">20, 2019, a Motion Judge Assignment Notice was issued assigning Administrative Law Judge </w:t>
      </w:r>
      <w:r w:rsidR="00BE6D6F">
        <w:rPr>
          <w:rFonts w:ascii="Times New Roman" w:eastAsia="Times New Roman" w:hAnsi="Times New Roman" w:cs="Times New Roman"/>
          <w:sz w:val="24"/>
          <w:szCs w:val="24"/>
        </w:rPr>
        <w:t xml:space="preserve">(“ALJ”) </w:t>
      </w:r>
      <w:r w:rsidR="004676A8">
        <w:rPr>
          <w:rFonts w:ascii="Times New Roman" w:eastAsia="Times New Roman" w:hAnsi="Times New Roman" w:cs="Times New Roman"/>
          <w:sz w:val="24"/>
          <w:szCs w:val="24"/>
        </w:rPr>
        <w:t>Jeffrey Watson as presiding</w:t>
      </w:r>
      <w:r w:rsidR="00C427F9">
        <w:rPr>
          <w:rFonts w:ascii="Times New Roman" w:eastAsia="Times New Roman" w:hAnsi="Times New Roman" w:cs="Times New Roman"/>
          <w:sz w:val="24"/>
          <w:szCs w:val="24"/>
        </w:rPr>
        <w:t xml:space="preserve"> officer </w:t>
      </w:r>
      <w:r w:rsidR="004676A8">
        <w:rPr>
          <w:rFonts w:ascii="Times New Roman" w:eastAsia="Times New Roman" w:hAnsi="Times New Roman" w:cs="Times New Roman"/>
          <w:sz w:val="24"/>
          <w:szCs w:val="24"/>
        </w:rPr>
        <w:t>to this proceeding.</w:t>
      </w:r>
      <w:r w:rsidR="00BE6D6F">
        <w:rPr>
          <w:rFonts w:ascii="Times New Roman" w:eastAsia="Times New Roman" w:hAnsi="Times New Roman" w:cs="Times New Roman"/>
          <w:sz w:val="24"/>
          <w:szCs w:val="24"/>
        </w:rPr>
        <w:t xml:space="preserve">  </w:t>
      </w:r>
    </w:p>
    <w:p w14:paraId="2B127DA5" w14:textId="77777777" w:rsidR="0058795B" w:rsidRDefault="0058795B" w:rsidP="00CE1993">
      <w:pPr>
        <w:spacing w:after="0" w:line="360" w:lineRule="auto"/>
        <w:ind w:firstLine="1440"/>
        <w:rPr>
          <w:rFonts w:ascii="Times New Roman" w:eastAsia="Times New Roman" w:hAnsi="Times New Roman" w:cs="Times New Roman"/>
          <w:sz w:val="24"/>
          <w:szCs w:val="24"/>
        </w:rPr>
      </w:pPr>
    </w:p>
    <w:p w14:paraId="60B77549" w14:textId="653B32A3" w:rsidR="00B40DF4" w:rsidRDefault="00BE6D6F"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1, 2019, ALJ Watson denied Met Ed’s Preliminary Objections.</w:t>
      </w:r>
    </w:p>
    <w:p w14:paraId="5510E182" w14:textId="445D205D" w:rsidR="00CF0350" w:rsidRDefault="0058795B"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July 26, 2019, ALJ Watson issued a</w:t>
      </w:r>
      <w:r w:rsidR="00864E9A">
        <w:rPr>
          <w:rFonts w:ascii="Times New Roman" w:eastAsia="Times New Roman" w:hAnsi="Times New Roman" w:cs="Times New Roman"/>
          <w:sz w:val="24"/>
          <w:szCs w:val="24"/>
        </w:rPr>
        <w:t>n Interim Order Establishing Initial</w:t>
      </w:r>
      <w:r>
        <w:rPr>
          <w:rFonts w:ascii="Times New Roman" w:eastAsia="Times New Roman" w:hAnsi="Times New Roman" w:cs="Times New Roman"/>
          <w:sz w:val="24"/>
          <w:szCs w:val="24"/>
        </w:rPr>
        <w:t xml:space="preserve"> Litigation Schedule</w:t>
      </w:r>
      <w:r w:rsidR="00864E9A">
        <w:rPr>
          <w:rFonts w:ascii="Times New Roman" w:eastAsia="Times New Roman" w:hAnsi="Times New Roman" w:cs="Times New Roman"/>
          <w:sz w:val="24"/>
          <w:szCs w:val="24"/>
        </w:rPr>
        <w:t>.</w:t>
      </w:r>
      <w:r w:rsidR="006F003E">
        <w:rPr>
          <w:rFonts w:ascii="Times New Roman" w:eastAsia="Times New Roman" w:hAnsi="Times New Roman" w:cs="Times New Roman"/>
          <w:sz w:val="24"/>
          <w:szCs w:val="24"/>
        </w:rPr>
        <w:t xml:space="preserve">  The Litigation Schedule </w:t>
      </w:r>
      <w:r w:rsidR="00062345">
        <w:rPr>
          <w:rFonts w:ascii="Times New Roman" w:eastAsia="Times New Roman" w:hAnsi="Times New Roman" w:cs="Times New Roman"/>
          <w:sz w:val="24"/>
          <w:szCs w:val="24"/>
        </w:rPr>
        <w:t xml:space="preserve">provided </w:t>
      </w:r>
      <w:r w:rsidR="00405C29">
        <w:rPr>
          <w:rFonts w:ascii="Times New Roman" w:eastAsia="Times New Roman" w:hAnsi="Times New Roman" w:cs="Times New Roman"/>
          <w:sz w:val="24"/>
          <w:szCs w:val="24"/>
        </w:rPr>
        <w:t xml:space="preserve">deadlines by which the parties were to </w:t>
      </w:r>
      <w:r w:rsidR="005E24D5">
        <w:rPr>
          <w:rFonts w:ascii="Times New Roman" w:eastAsia="Times New Roman" w:hAnsi="Times New Roman" w:cs="Times New Roman"/>
          <w:sz w:val="24"/>
          <w:szCs w:val="24"/>
        </w:rPr>
        <w:t xml:space="preserve">exchange </w:t>
      </w:r>
      <w:r w:rsidR="009C4445">
        <w:rPr>
          <w:rFonts w:ascii="Times New Roman" w:eastAsia="Times New Roman" w:hAnsi="Times New Roman" w:cs="Times New Roman"/>
          <w:sz w:val="24"/>
          <w:szCs w:val="24"/>
        </w:rPr>
        <w:t>f</w:t>
      </w:r>
      <w:r w:rsidR="005E24D5">
        <w:rPr>
          <w:rFonts w:ascii="Times New Roman" w:eastAsia="Times New Roman" w:hAnsi="Times New Roman" w:cs="Times New Roman"/>
          <w:sz w:val="24"/>
          <w:szCs w:val="24"/>
        </w:rPr>
        <w:t>act and expert witness information</w:t>
      </w:r>
      <w:r w:rsidR="00533342">
        <w:rPr>
          <w:rFonts w:ascii="Times New Roman" w:eastAsia="Times New Roman" w:hAnsi="Times New Roman" w:cs="Times New Roman"/>
          <w:sz w:val="24"/>
          <w:szCs w:val="24"/>
        </w:rPr>
        <w:t xml:space="preserve">, to complete discovery, and </w:t>
      </w:r>
      <w:r w:rsidR="00C06BA6">
        <w:rPr>
          <w:rFonts w:ascii="Times New Roman" w:eastAsia="Times New Roman" w:hAnsi="Times New Roman" w:cs="Times New Roman"/>
          <w:sz w:val="24"/>
          <w:szCs w:val="24"/>
        </w:rPr>
        <w:t>to file a Status Report with the Commission.</w:t>
      </w:r>
      <w:r w:rsidR="00D50864">
        <w:rPr>
          <w:rFonts w:ascii="Times New Roman" w:eastAsia="Times New Roman" w:hAnsi="Times New Roman" w:cs="Times New Roman"/>
          <w:sz w:val="24"/>
          <w:szCs w:val="24"/>
        </w:rPr>
        <w:t xml:space="preserve">  Thereafter, several </w:t>
      </w:r>
      <w:r w:rsidR="0005648F">
        <w:rPr>
          <w:rFonts w:ascii="Times New Roman" w:eastAsia="Times New Roman" w:hAnsi="Times New Roman" w:cs="Times New Roman"/>
          <w:sz w:val="24"/>
          <w:szCs w:val="24"/>
        </w:rPr>
        <w:t xml:space="preserve">documents were filed by </w:t>
      </w:r>
      <w:r w:rsidR="008F213E">
        <w:rPr>
          <w:rFonts w:ascii="Times New Roman" w:eastAsia="Times New Roman" w:hAnsi="Times New Roman" w:cs="Times New Roman"/>
          <w:sz w:val="24"/>
          <w:szCs w:val="24"/>
        </w:rPr>
        <w:t>th</w:t>
      </w:r>
      <w:r w:rsidR="005A1E20">
        <w:rPr>
          <w:rFonts w:ascii="Times New Roman" w:eastAsia="Times New Roman" w:hAnsi="Times New Roman" w:cs="Times New Roman"/>
          <w:sz w:val="24"/>
          <w:szCs w:val="24"/>
        </w:rPr>
        <w:t xml:space="preserve">e parties </w:t>
      </w:r>
      <w:r w:rsidR="0005648F">
        <w:rPr>
          <w:rFonts w:ascii="Times New Roman" w:eastAsia="Times New Roman" w:hAnsi="Times New Roman" w:cs="Times New Roman"/>
          <w:sz w:val="24"/>
          <w:szCs w:val="24"/>
        </w:rPr>
        <w:t xml:space="preserve">including </w:t>
      </w:r>
      <w:r w:rsidR="00D50864">
        <w:rPr>
          <w:rFonts w:ascii="Times New Roman" w:eastAsia="Times New Roman" w:hAnsi="Times New Roman" w:cs="Times New Roman"/>
          <w:sz w:val="24"/>
          <w:szCs w:val="24"/>
        </w:rPr>
        <w:t>motions raising various discovery related issues</w:t>
      </w:r>
      <w:r w:rsidR="002431D5">
        <w:rPr>
          <w:rFonts w:ascii="Times New Roman" w:eastAsia="Times New Roman" w:hAnsi="Times New Roman" w:cs="Times New Roman"/>
          <w:sz w:val="24"/>
          <w:szCs w:val="24"/>
        </w:rPr>
        <w:t xml:space="preserve"> and status reports </w:t>
      </w:r>
      <w:r w:rsidR="009E5C16">
        <w:rPr>
          <w:rFonts w:ascii="Times New Roman" w:eastAsia="Times New Roman" w:hAnsi="Times New Roman" w:cs="Times New Roman"/>
          <w:sz w:val="24"/>
          <w:szCs w:val="24"/>
        </w:rPr>
        <w:t xml:space="preserve">from Met Ed </w:t>
      </w:r>
      <w:r w:rsidR="00356124">
        <w:rPr>
          <w:rFonts w:ascii="Times New Roman" w:eastAsia="Times New Roman" w:hAnsi="Times New Roman" w:cs="Times New Roman"/>
          <w:sz w:val="24"/>
          <w:szCs w:val="24"/>
        </w:rPr>
        <w:t xml:space="preserve">concerning Mr. Maloney’s </w:t>
      </w:r>
      <w:r w:rsidR="00E27BE5">
        <w:rPr>
          <w:rFonts w:ascii="Times New Roman" w:eastAsia="Times New Roman" w:hAnsi="Times New Roman" w:cs="Times New Roman"/>
          <w:sz w:val="24"/>
          <w:szCs w:val="24"/>
        </w:rPr>
        <w:t xml:space="preserve">failure to fully comply with </w:t>
      </w:r>
      <w:r w:rsidR="00D02EE1">
        <w:rPr>
          <w:rFonts w:ascii="Times New Roman" w:eastAsia="Times New Roman" w:hAnsi="Times New Roman" w:cs="Times New Roman"/>
          <w:sz w:val="24"/>
          <w:szCs w:val="24"/>
        </w:rPr>
        <w:t xml:space="preserve">the Company’s </w:t>
      </w:r>
      <w:r w:rsidR="00E27BE5">
        <w:rPr>
          <w:rFonts w:ascii="Times New Roman" w:eastAsia="Times New Roman" w:hAnsi="Times New Roman" w:cs="Times New Roman"/>
          <w:sz w:val="24"/>
          <w:szCs w:val="24"/>
        </w:rPr>
        <w:t xml:space="preserve">discovery </w:t>
      </w:r>
      <w:r w:rsidR="00D02EE1">
        <w:rPr>
          <w:rFonts w:ascii="Times New Roman" w:eastAsia="Times New Roman" w:hAnsi="Times New Roman" w:cs="Times New Roman"/>
          <w:sz w:val="24"/>
          <w:szCs w:val="24"/>
        </w:rPr>
        <w:t xml:space="preserve">requests </w:t>
      </w:r>
      <w:r w:rsidR="00E27BE5">
        <w:rPr>
          <w:rFonts w:ascii="Times New Roman" w:eastAsia="Times New Roman" w:hAnsi="Times New Roman" w:cs="Times New Roman"/>
          <w:sz w:val="24"/>
          <w:szCs w:val="24"/>
        </w:rPr>
        <w:t xml:space="preserve">and failure to provide Met Ed with </w:t>
      </w:r>
      <w:r w:rsidR="007A0999">
        <w:rPr>
          <w:rFonts w:ascii="Times New Roman" w:eastAsia="Times New Roman" w:hAnsi="Times New Roman" w:cs="Times New Roman"/>
          <w:sz w:val="24"/>
          <w:szCs w:val="24"/>
        </w:rPr>
        <w:t xml:space="preserve">witness information </w:t>
      </w:r>
      <w:r w:rsidR="009E5C16">
        <w:rPr>
          <w:rFonts w:ascii="Times New Roman" w:eastAsia="Times New Roman" w:hAnsi="Times New Roman" w:cs="Times New Roman"/>
          <w:sz w:val="24"/>
          <w:szCs w:val="24"/>
        </w:rPr>
        <w:t xml:space="preserve">as </w:t>
      </w:r>
      <w:r w:rsidR="007A0999">
        <w:rPr>
          <w:rFonts w:ascii="Times New Roman" w:eastAsia="Times New Roman" w:hAnsi="Times New Roman" w:cs="Times New Roman"/>
          <w:sz w:val="24"/>
          <w:szCs w:val="24"/>
        </w:rPr>
        <w:t>was ordered by the Interim Order</w:t>
      </w:r>
      <w:r w:rsidR="007E2006">
        <w:rPr>
          <w:rFonts w:ascii="Times New Roman" w:eastAsia="Times New Roman" w:hAnsi="Times New Roman" w:cs="Times New Roman"/>
          <w:sz w:val="24"/>
          <w:szCs w:val="24"/>
        </w:rPr>
        <w:t>.</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00A84F27" w14:textId="3AE40C4F" w:rsidR="002F1EC4" w:rsidRDefault="002F1EC4" w:rsidP="00F359D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59DC">
        <w:rPr>
          <w:rFonts w:ascii="Times New Roman" w:eastAsia="Times New Roman" w:hAnsi="Times New Roman" w:cs="Times New Roman"/>
          <w:sz w:val="24"/>
          <w:szCs w:val="24"/>
        </w:rPr>
        <w:t>On March 3, 2020, a Petition for Protective Order was filed by Met Ed.</w:t>
      </w:r>
      <w:r w:rsidR="005455F5">
        <w:rPr>
          <w:rFonts w:ascii="Times New Roman" w:eastAsia="Times New Roman" w:hAnsi="Times New Roman" w:cs="Times New Roman"/>
          <w:sz w:val="24"/>
          <w:szCs w:val="24"/>
        </w:rPr>
        <w:t xml:space="preserve">  This Petition remains outstanding.</w:t>
      </w:r>
    </w:p>
    <w:p w14:paraId="1C52C03E"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2BBB04D3" w14:textId="34C8FB77" w:rsidR="0054063C" w:rsidRDefault="00C65624" w:rsidP="00C6562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9, 2020, Mr. Maloney filed an Amended Complaint against Met Ed with the Commission.</w:t>
      </w:r>
      <w:r w:rsidR="00B34CD8">
        <w:rPr>
          <w:rFonts w:ascii="Times New Roman" w:eastAsia="Times New Roman" w:hAnsi="Times New Roman" w:cs="Times New Roman"/>
          <w:sz w:val="24"/>
          <w:szCs w:val="24"/>
        </w:rPr>
        <w:t xml:space="preserve">  In summary, Mr. Maloney </w:t>
      </w:r>
      <w:r w:rsidR="00672D39">
        <w:rPr>
          <w:rFonts w:ascii="Times New Roman" w:eastAsia="Times New Roman" w:hAnsi="Times New Roman" w:cs="Times New Roman"/>
          <w:sz w:val="24"/>
          <w:szCs w:val="24"/>
        </w:rPr>
        <w:t xml:space="preserve">argued </w:t>
      </w:r>
      <w:r w:rsidR="00D2549B">
        <w:rPr>
          <w:rFonts w:ascii="Times New Roman" w:eastAsia="Times New Roman" w:hAnsi="Times New Roman" w:cs="Times New Roman"/>
          <w:sz w:val="24"/>
          <w:szCs w:val="24"/>
        </w:rPr>
        <w:t>that smart meter installation is not mandated by Act 129 and that he seeks to opt-out</w:t>
      </w:r>
      <w:r w:rsidR="003964B5">
        <w:rPr>
          <w:rFonts w:ascii="Times New Roman" w:eastAsia="Times New Roman" w:hAnsi="Times New Roman" w:cs="Times New Roman"/>
          <w:sz w:val="24"/>
          <w:szCs w:val="24"/>
        </w:rPr>
        <w:t xml:space="preserve"> </w:t>
      </w:r>
      <w:r w:rsidR="00D2549B">
        <w:rPr>
          <w:rFonts w:ascii="Times New Roman" w:eastAsia="Times New Roman" w:hAnsi="Times New Roman" w:cs="Times New Roman"/>
          <w:sz w:val="24"/>
          <w:szCs w:val="24"/>
        </w:rPr>
        <w:t>of smart meter installation at</w:t>
      </w:r>
      <w:r w:rsidR="00CB69F2">
        <w:rPr>
          <w:rFonts w:ascii="Times New Roman" w:eastAsia="Times New Roman" w:hAnsi="Times New Roman" w:cs="Times New Roman"/>
          <w:sz w:val="24"/>
          <w:szCs w:val="24"/>
        </w:rPr>
        <w:t xml:space="preserve"> Location 1 and Location 2</w:t>
      </w:r>
      <w:r w:rsidR="008477CB">
        <w:rPr>
          <w:rFonts w:ascii="Times New Roman" w:eastAsia="Times New Roman" w:hAnsi="Times New Roman" w:cs="Times New Roman"/>
          <w:sz w:val="24"/>
          <w:szCs w:val="24"/>
        </w:rPr>
        <w:t xml:space="preserve"> </w:t>
      </w:r>
      <w:r w:rsidR="0054063C">
        <w:rPr>
          <w:rFonts w:ascii="Times New Roman" w:eastAsia="Times New Roman" w:hAnsi="Times New Roman" w:cs="Times New Roman"/>
          <w:sz w:val="24"/>
          <w:szCs w:val="24"/>
        </w:rPr>
        <w:t>because smart meter installation would negatively impact the health of him and his family.</w:t>
      </w:r>
    </w:p>
    <w:p w14:paraId="7868895D" w14:textId="77777777" w:rsidR="0054063C" w:rsidRDefault="0054063C" w:rsidP="00C65624">
      <w:pPr>
        <w:spacing w:after="0" w:line="360" w:lineRule="auto"/>
        <w:ind w:firstLine="1440"/>
        <w:rPr>
          <w:rFonts w:ascii="Times New Roman" w:eastAsia="Times New Roman" w:hAnsi="Times New Roman" w:cs="Times New Roman"/>
          <w:sz w:val="24"/>
          <w:szCs w:val="24"/>
        </w:rPr>
      </w:pPr>
    </w:p>
    <w:p w14:paraId="0929334D" w14:textId="73A376B0" w:rsidR="00C65624" w:rsidRDefault="00277B79" w:rsidP="00C6562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sidR="00822F25">
        <w:rPr>
          <w:rFonts w:ascii="Times New Roman" w:eastAsia="Times New Roman" w:hAnsi="Times New Roman" w:cs="Times New Roman"/>
          <w:sz w:val="24"/>
          <w:szCs w:val="24"/>
        </w:rPr>
        <w:t xml:space="preserve"> March 30, 2020,</w:t>
      </w:r>
      <w:r>
        <w:rPr>
          <w:rFonts w:ascii="Times New Roman" w:eastAsia="Times New Roman" w:hAnsi="Times New Roman" w:cs="Times New Roman"/>
          <w:sz w:val="24"/>
          <w:szCs w:val="24"/>
        </w:rPr>
        <w:t xml:space="preserve"> Met Ed filed an Answer </w:t>
      </w:r>
      <w:r w:rsidR="009627C9">
        <w:rPr>
          <w:rFonts w:ascii="Times New Roman" w:eastAsia="Times New Roman" w:hAnsi="Times New Roman" w:cs="Times New Roman"/>
          <w:sz w:val="24"/>
          <w:szCs w:val="24"/>
        </w:rPr>
        <w:t xml:space="preserve">with New Matter </w:t>
      </w:r>
      <w:r>
        <w:rPr>
          <w:rFonts w:ascii="Times New Roman" w:eastAsia="Times New Roman" w:hAnsi="Times New Roman" w:cs="Times New Roman"/>
          <w:sz w:val="24"/>
          <w:szCs w:val="24"/>
        </w:rPr>
        <w:t>to Mr. Maloney’s Amended Complaint, denying the material allegations of the Amended Complaint</w:t>
      </w:r>
      <w:r w:rsidR="000460E0">
        <w:rPr>
          <w:rFonts w:ascii="Times New Roman" w:eastAsia="Times New Roman" w:hAnsi="Times New Roman" w:cs="Times New Roman"/>
          <w:sz w:val="24"/>
          <w:szCs w:val="24"/>
        </w:rPr>
        <w:t xml:space="preserve">.  Met Ed, in summary, </w:t>
      </w:r>
      <w:r w:rsidR="00632A3E">
        <w:rPr>
          <w:rFonts w:ascii="Times New Roman" w:eastAsia="Times New Roman" w:hAnsi="Times New Roman" w:cs="Times New Roman"/>
          <w:sz w:val="24"/>
          <w:szCs w:val="24"/>
        </w:rPr>
        <w:t>asserted that its smart meters are safe and that it is required by Act 129 to install smart meters at Mr. Maloney’s properties.</w:t>
      </w:r>
    </w:p>
    <w:p w14:paraId="772D298E" w14:textId="77777777" w:rsidR="00F267AB" w:rsidRDefault="00F267AB" w:rsidP="00C65624">
      <w:pPr>
        <w:spacing w:after="0" w:line="360" w:lineRule="auto"/>
        <w:ind w:firstLine="1440"/>
        <w:rPr>
          <w:rFonts w:ascii="Times New Roman" w:eastAsia="Times New Roman" w:hAnsi="Times New Roman" w:cs="Times New Roman"/>
          <w:sz w:val="24"/>
          <w:szCs w:val="24"/>
        </w:rPr>
      </w:pPr>
    </w:p>
    <w:p w14:paraId="4BCB28BA" w14:textId="77777777" w:rsidR="00F267AB" w:rsidRPr="00F267AB" w:rsidRDefault="00F267AB" w:rsidP="00F267AB">
      <w:pPr>
        <w:pStyle w:val="ListNumber"/>
        <w:numPr>
          <w:ilvl w:val="0"/>
          <w:numId w:val="0"/>
        </w:numPr>
        <w:spacing w:line="360" w:lineRule="auto"/>
        <w:jc w:val="left"/>
        <w:rPr>
          <w:rFonts w:eastAsia="Calibri"/>
          <w:i/>
          <w:iCs/>
          <w:szCs w:val="24"/>
          <w:u w:val="single"/>
        </w:rPr>
      </w:pPr>
      <w:proofErr w:type="spellStart"/>
      <w:r w:rsidRPr="00F267AB">
        <w:rPr>
          <w:rFonts w:eastAsia="Calibri"/>
          <w:i/>
          <w:iCs/>
          <w:szCs w:val="24"/>
          <w:u w:val="single"/>
        </w:rPr>
        <w:t>Povacz</w:t>
      </w:r>
      <w:proofErr w:type="spellEnd"/>
      <w:r w:rsidRPr="00F267AB">
        <w:rPr>
          <w:rFonts w:eastAsia="Calibri"/>
          <w:i/>
          <w:iCs/>
          <w:szCs w:val="24"/>
          <w:u w:val="single"/>
        </w:rPr>
        <w:t xml:space="preserve"> I, </w:t>
      </w:r>
      <w:proofErr w:type="spellStart"/>
      <w:r w:rsidRPr="00F267AB">
        <w:rPr>
          <w:rFonts w:eastAsia="Calibri"/>
          <w:i/>
          <w:iCs/>
          <w:szCs w:val="24"/>
          <w:u w:val="single"/>
        </w:rPr>
        <w:t>Povacz</w:t>
      </w:r>
      <w:proofErr w:type="spellEnd"/>
      <w:r w:rsidRPr="00F267AB">
        <w:rPr>
          <w:rFonts w:eastAsia="Calibri"/>
          <w:i/>
          <w:iCs/>
          <w:szCs w:val="24"/>
          <w:u w:val="single"/>
        </w:rPr>
        <w:t xml:space="preserve"> II, and The Commission’s Stay Order</w:t>
      </w:r>
    </w:p>
    <w:p w14:paraId="4BE64AC7" w14:textId="77777777" w:rsidR="00F267AB" w:rsidRPr="006A685B" w:rsidRDefault="00F267AB" w:rsidP="00F267AB">
      <w:pPr>
        <w:pStyle w:val="ListNumber"/>
        <w:numPr>
          <w:ilvl w:val="0"/>
          <w:numId w:val="0"/>
        </w:numPr>
        <w:spacing w:line="360" w:lineRule="auto"/>
        <w:ind w:firstLine="1440"/>
        <w:jc w:val="left"/>
        <w:rPr>
          <w:rFonts w:eastAsia="Calibri"/>
          <w:szCs w:val="24"/>
        </w:rPr>
      </w:pPr>
    </w:p>
    <w:p w14:paraId="5CCF91A7" w14:textId="1A6A2543" w:rsidR="00F267AB" w:rsidRPr="006A685B" w:rsidRDefault="00F267AB" w:rsidP="00F267AB">
      <w:pPr>
        <w:pStyle w:val="ListNumber"/>
        <w:numPr>
          <w:ilvl w:val="0"/>
          <w:numId w:val="0"/>
        </w:numPr>
        <w:spacing w:line="360" w:lineRule="auto"/>
        <w:ind w:firstLine="1440"/>
        <w:jc w:val="left"/>
        <w:rPr>
          <w:szCs w:val="24"/>
        </w:rPr>
      </w:pPr>
      <w:r w:rsidRPr="006A685B">
        <w:rPr>
          <w:szCs w:val="24"/>
        </w:rPr>
        <w:t>On October 8, 2020, the Commonwealth Court of Pennsylvania (</w:t>
      </w:r>
      <w:r w:rsidR="00045B43">
        <w:rPr>
          <w:szCs w:val="24"/>
        </w:rPr>
        <w:t>“</w:t>
      </w:r>
      <w:r w:rsidRPr="006A685B">
        <w:rPr>
          <w:szCs w:val="24"/>
        </w:rPr>
        <w:t>Commonwealth Court</w:t>
      </w:r>
      <w:r w:rsidR="00045B43">
        <w:rPr>
          <w:szCs w:val="24"/>
        </w:rPr>
        <w:t>”</w:t>
      </w:r>
      <w:r w:rsidRPr="006A685B">
        <w:rPr>
          <w:szCs w:val="24"/>
        </w:rPr>
        <w:t xml:space="preserve">) issued an Opinion in </w:t>
      </w:r>
      <w:proofErr w:type="spellStart"/>
      <w:r w:rsidRPr="006A685B">
        <w:rPr>
          <w:i/>
          <w:iCs/>
          <w:szCs w:val="24"/>
        </w:rPr>
        <w:t>Povacz</w:t>
      </w:r>
      <w:proofErr w:type="spellEnd"/>
      <w:r w:rsidRPr="006A685B">
        <w:rPr>
          <w:i/>
          <w:iCs/>
          <w:szCs w:val="24"/>
        </w:rPr>
        <w:t>, et al. v. Pa. Pub</w:t>
      </w:r>
      <w:r>
        <w:rPr>
          <w:i/>
          <w:iCs/>
          <w:szCs w:val="24"/>
        </w:rPr>
        <w:t xml:space="preserve">. </w:t>
      </w:r>
      <w:r w:rsidRPr="006A685B">
        <w:rPr>
          <w:i/>
          <w:iCs/>
          <w:szCs w:val="24"/>
        </w:rPr>
        <w:t>Uti</w:t>
      </w:r>
      <w:r>
        <w:rPr>
          <w:i/>
          <w:iCs/>
          <w:szCs w:val="24"/>
        </w:rPr>
        <w:t>l.</w:t>
      </w:r>
      <w:r w:rsidRPr="006A685B">
        <w:rPr>
          <w:i/>
          <w:iCs/>
          <w:szCs w:val="24"/>
        </w:rPr>
        <w:t xml:space="preserve"> Comm</w:t>
      </w:r>
      <w:r>
        <w:rPr>
          <w:i/>
          <w:iCs/>
          <w:szCs w:val="24"/>
        </w:rPr>
        <w:t>’</w:t>
      </w:r>
      <w:r w:rsidRPr="006A685B">
        <w:rPr>
          <w:i/>
          <w:iCs/>
          <w:szCs w:val="24"/>
        </w:rPr>
        <w:t>n</w:t>
      </w:r>
      <w:r>
        <w:rPr>
          <w:i/>
          <w:iCs/>
          <w:szCs w:val="24"/>
        </w:rPr>
        <w:t>.</w:t>
      </w:r>
      <w:r w:rsidRPr="006A685B">
        <w:rPr>
          <w:szCs w:val="24"/>
        </w:rPr>
        <w:t xml:space="preserve">, 241 A.3d 481 (Pa. </w:t>
      </w:r>
      <w:proofErr w:type="spellStart"/>
      <w:r w:rsidRPr="006A685B">
        <w:rPr>
          <w:szCs w:val="24"/>
        </w:rPr>
        <w:t>Cmwlth</w:t>
      </w:r>
      <w:proofErr w:type="spellEnd"/>
      <w:r w:rsidRPr="006A685B">
        <w:rPr>
          <w:szCs w:val="24"/>
        </w:rPr>
        <w:t>. 2020) (</w:t>
      </w:r>
      <w:proofErr w:type="spellStart"/>
      <w:r w:rsidRPr="006A685B">
        <w:rPr>
          <w:i/>
          <w:iCs/>
          <w:szCs w:val="24"/>
        </w:rPr>
        <w:t>Povacz</w:t>
      </w:r>
      <w:proofErr w:type="spellEnd"/>
      <w:r w:rsidRPr="006A685B">
        <w:rPr>
          <w:i/>
          <w:iCs/>
          <w:szCs w:val="24"/>
        </w:rPr>
        <w:t xml:space="preserve"> I</w:t>
      </w:r>
      <w:r w:rsidRPr="006A685B">
        <w:rPr>
          <w:szCs w:val="24"/>
        </w:rPr>
        <w:t>), the first of several appeals involving PECO Energy Company’s (</w:t>
      </w:r>
      <w:r w:rsidR="00045B43">
        <w:rPr>
          <w:szCs w:val="24"/>
        </w:rPr>
        <w:t>“</w:t>
      </w:r>
      <w:r w:rsidRPr="006A685B">
        <w:rPr>
          <w:szCs w:val="24"/>
        </w:rPr>
        <w:t>PECO</w:t>
      </w:r>
      <w:r w:rsidR="00045B43">
        <w:rPr>
          <w:szCs w:val="24"/>
        </w:rPr>
        <w:t>”</w:t>
      </w:r>
      <w:r w:rsidRPr="006A685B">
        <w:rPr>
          <w:szCs w:val="24"/>
        </w:rPr>
        <w:t xml:space="preserve">)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Laura Sunstein Murphy, and Cynthia Randall</w:t>
      </w:r>
      <w:r w:rsidR="00FD1195">
        <w:rPr>
          <w:szCs w:val="24"/>
        </w:rPr>
        <w:t xml:space="preserve"> smart meter matters</w:t>
      </w:r>
      <w:r w:rsidRPr="006A685B">
        <w:rPr>
          <w:szCs w:val="24"/>
        </w:rPr>
        <w:t xml:space="preserve">.  </w:t>
      </w:r>
      <w:proofErr w:type="spellStart"/>
      <w:r w:rsidRPr="006A685B">
        <w:rPr>
          <w:i/>
          <w:iCs/>
          <w:szCs w:val="24"/>
        </w:rPr>
        <w:t>Povacz</w:t>
      </w:r>
      <w:proofErr w:type="spellEnd"/>
      <w:r w:rsidRPr="006A685B">
        <w:rPr>
          <w:i/>
          <w:iCs/>
          <w:szCs w:val="24"/>
        </w:rPr>
        <w:t xml:space="preserve"> I</w:t>
      </w:r>
      <w:r w:rsidRPr="006A685B">
        <w:rPr>
          <w:szCs w:val="24"/>
        </w:rPr>
        <w:t xml:space="preserve"> at </w:t>
      </w:r>
      <w:r w:rsidRPr="006A685B">
        <w:rPr>
          <w:szCs w:val="24"/>
        </w:rPr>
        <w:lastRenderedPageBreak/>
        <w:t xml:space="preserve">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221399F2" w14:textId="77777777" w:rsidR="00F267AB" w:rsidRPr="006A685B" w:rsidRDefault="00F267AB" w:rsidP="00F267AB">
      <w:pPr>
        <w:pStyle w:val="ListNumber"/>
        <w:numPr>
          <w:ilvl w:val="0"/>
          <w:numId w:val="0"/>
        </w:numPr>
        <w:spacing w:line="360" w:lineRule="auto"/>
        <w:ind w:firstLine="1440"/>
        <w:jc w:val="left"/>
        <w:rPr>
          <w:szCs w:val="24"/>
        </w:rPr>
      </w:pPr>
    </w:p>
    <w:p w14:paraId="6505B06E" w14:textId="22179916" w:rsidR="00F267AB" w:rsidRPr="006A685B" w:rsidRDefault="00F267AB" w:rsidP="00F267AB">
      <w:pPr>
        <w:pStyle w:val="ListNumber"/>
        <w:numPr>
          <w:ilvl w:val="0"/>
          <w:numId w:val="0"/>
        </w:numPr>
        <w:spacing w:line="360" w:lineRule="auto"/>
        <w:ind w:firstLine="1440"/>
        <w:jc w:val="left"/>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xml:space="preserve">, the Commission entered an Order and Notice, at Docket No. M-2009-2092655, on November 4, 2020, pursuant to 66 </w:t>
      </w:r>
      <w:proofErr w:type="spellStart"/>
      <w:r w:rsidRPr="006A685B">
        <w:rPr>
          <w:szCs w:val="24"/>
        </w:rPr>
        <w:t>Pa.C.S</w:t>
      </w:r>
      <w:proofErr w:type="spellEnd"/>
      <w:r w:rsidRPr="006A685B">
        <w:rPr>
          <w:szCs w:val="24"/>
        </w:rPr>
        <w:t>. § 501, instituting a stay of certain formal complaint proceedings then-pending before the Commission involving challenges to EDC deployment of smart meter technology as being in violation of Section 1501 of the Code (</w:t>
      </w:r>
      <w:r w:rsidR="00C66476">
        <w:rPr>
          <w:i/>
          <w:iCs/>
          <w:szCs w:val="24"/>
        </w:rPr>
        <w:t>“</w:t>
      </w:r>
      <w:r w:rsidRPr="00C66476">
        <w:rPr>
          <w:szCs w:val="24"/>
        </w:rPr>
        <w:t>Stay Order</w:t>
      </w:r>
      <w:r w:rsidR="00C66476">
        <w:rPr>
          <w:i/>
          <w:iCs/>
          <w:szCs w:val="24"/>
        </w:rPr>
        <w:t>”</w:t>
      </w:r>
      <w:r w:rsidRPr="006A685B">
        <w:rPr>
          <w:szCs w:val="24"/>
        </w:rPr>
        <w:t>).</w:t>
      </w:r>
      <w:r w:rsidR="00C66476">
        <w:rPr>
          <w:szCs w:val="24"/>
        </w:rPr>
        <w:t xml:space="preserve">  The Stay Order </w:t>
      </w:r>
      <w:r w:rsidRPr="006A685B">
        <w:rPr>
          <w:szCs w:val="24"/>
        </w:rPr>
        <w:t>also directed that the stay would apply to any new formal complaints filed with the Commission claiming that EDC deployment of smart meter technology was a violation of Section 1501, and that the stay would remain in place until it was lifted by further Commission action.  The</w:t>
      </w:r>
      <w:r w:rsidR="002703B1">
        <w:rPr>
          <w:szCs w:val="24"/>
        </w:rPr>
        <w:t xml:space="preserve"> Stay Order was</w:t>
      </w:r>
      <w:r w:rsidRPr="006A685B">
        <w:rPr>
          <w:i/>
          <w:iCs/>
          <w:szCs w:val="24"/>
        </w:rPr>
        <w:t xml:space="preserve"> </w:t>
      </w:r>
      <w:r w:rsidRPr="006A685B">
        <w:rPr>
          <w:szCs w:val="24"/>
        </w:rPr>
        <w:t>applied to and was docketed at the instant case.</w:t>
      </w:r>
    </w:p>
    <w:p w14:paraId="264E4BCC" w14:textId="77777777" w:rsidR="00F267AB" w:rsidRPr="006A685B" w:rsidRDefault="00F267AB" w:rsidP="00F267AB">
      <w:pPr>
        <w:pStyle w:val="ListNumber"/>
        <w:numPr>
          <w:ilvl w:val="0"/>
          <w:numId w:val="0"/>
        </w:numPr>
        <w:spacing w:line="360" w:lineRule="auto"/>
        <w:ind w:firstLine="1440"/>
        <w:jc w:val="left"/>
        <w:rPr>
          <w:szCs w:val="24"/>
        </w:rPr>
      </w:pPr>
    </w:p>
    <w:p w14:paraId="24BE90CD" w14:textId="77777777" w:rsidR="00F267AB" w:rsidRPr="006A685B" w:rsidRDefault="00F267AB" w:rsidP="00F267AB">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3DC5CB16" w14:textId="77777777" w:rsidR="00F267AB" w:rsidRPr="006A685B" w:rsidRDefault="00F267AB" w:rsidP="00F267AB">
      <w:pPr>
        <w:pStyle w:val="ListNumber"/>
        <w:numPr>
          <w:ilvl w:val="0"/>
          <w:numId w:val="0"/>
        </w:numPr>
        <w:spacing w:line="360" w:lineRule="auto"/>
        <w:ind w:firstLine="1440"/>
        <w:jc w:val="left"/>
        <w:rPr>
          <w:rFonts w:eastAsia="Calibri"/>
          <w:szCs w:val="24"/>
        </w:rPr>
      </w:pPr>
    </w:p>
    <w:p w14:paraId="680CD0D3" w14:textId="77777777" w:rsidR="00F267AB" w:rsidRDefault="00F267AB" w:rsidP="00F267AB">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4EB41395" w14:textId="77777777" w:rsidR="00F267AB" w:rsidRPr="006A685B" w:rsidRDefault="00F267AB" w:rsidP="00F267AB">
      <w:pPr>
        <w:pStyle w:val="ListNumber"/>
        <w:numPr>
          <w:ilvl w:val="0"/>
          <w:numId w:val="0"/>
        </w:numPr>
        <w:spacing w:line="360" w:lineRule="auto"/>
        <w:ind w:firstLine="1440"/>
        <w:jc w:val="left"/>
        <w:rPr>
          <w:szCs w:val="24"/>
        </w:rPr>
      </w:pPr>
    </w:p>
    <w:p w14:paraId="6D60084D" w14:textId="77777777" w:rsidR="00F267AB" w:rsidRPr="006A685B" w:rsidRDefault="00F267AB" w:rsidP="00F267AB">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w:t>
      </w:r>
      <w:r w:rsidRPr="006A685B">
        <w:rPr>
          <w:szCs w:val="24"/>
        </w:rPr>
        <w:lastRenderedPageBreak/>
        <w:t xml:space="preserve">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1"/>
      </w:r>
    </w:p>
    <w:p w14:paraId="182B75A0" w14:textId="77777777" w:rsidR="00F267AB" w:rsidRPr="006A685B" w:rsidRDefault="00F267AB" w:rsidP="00F267AB">
      <w:pPr>
        <w:pStyle w:val="ListNumber"/>
        <w:numPr>
          <w:ilvl w:val="0"/>
          <w:numId w:val="0"/>
        </w:numPr>
        <w:spacing w:line="360" w:lineRule="auto"/>
        <w:ind w:firstLine="1440"/>
        <w:jc w:val="left"/>
        <w:rPr>
          <w:rFonts w:eastAsia="Calibri"/>
          <w:szCs w:val="24"/>
        </w:rPr>
      </w:pPr>
    </w:p>
    <w:p w14:paraId="564C3425" w14:textId="77777777" w:rsidR="00F267AB" w:rsidRPr="006A685B" w:rsidRDefault="00F267AB" w:rsidP="00F267AB">
      <w:pPr>
        <w:pStyle w:val="ListNumber"/>
        <w:numPr>
          <w:ilvl w:val="0"/>
          <w:numId w:val="0"/>
        </w:numPr>
        <w:spacing w:line="360" w:lineRule="auto"/>
        <w:ind w:firstLine="1440"/>
        <w:jc w:val="left"/>
        <w:rPr>
          <w:i/>
          <w:iCs/>
          <w:szCs w:val="24"/>
        </w:rPr>
      </w:pPr>
      <w:r w:rsidRPr="006A685B">
        <w:rPr>
          <w:szCs w:val="24"/>
        </w:rPr>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w:t>
      </w:r>
      <w:proofErr w:type="spellStart"/>
      <w:r w:rsidRPr="006A685B">
        <w:rPr>
          <w:szCs w:val="24"/>
        </w:rPr>
        <w:t>Pa.C.S</w:t>
      </w:r>
      <w:proofErr w:type="spellEnd"/>
      <w:r w:rsidRPr="006A685B">
        <w:rPr>
          <w:szCs w:val="24"/>
        </w:rPr>
        <w:t xml:space="preserve">.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4479520C" w14:textId="77777777" w:rsidR="00F267AB" w:rsidRPr="006A685B" w:rsidRDefault="00F267AB" w:rsidP="00F267AB">
      <w:pPr>
        <w:pStyle w:val="ListNumber"/>
        <w:numPr>
          <w:ilvl w:val="0"/>
          <w:numId w:val="0"/>
        </w:numPr>
        <w:spacing w:line="360" w:lineRule="auto"/>
        <w:ind w:firstLine="1440"/>
        <w:jc w:val="left"/>
        <w:rPr>
          <w:i/>
          <w:iCs/>
          <w:szCs w:val="24"/>
        </w:rPr>
      </w:pPr>
    </w:p>
    <w:p w14:paraId="7D4D71B2" w14:textId="77777777" w:rsidR="00F267AB" w:rsidRPr="006A685B" w:rsidRDefault="00F267AB" w:rsidP="00F267AB">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w:t>
      </w:r>
      <w:r w:rsidRPr="00790EA0">
        <w:rPr>
          <w:szCs w:val="24"/>
        </w:rPr>
        <w:lastRenderedPageBreak/>
        <w:t xml:space="preserve">66 </w:t>
      </w:r>
      <w:proofErr w:type="spellStart"/>
      <w:r w:rsidRPr="00790EA0">
        <w:rPr>
          <w:szCs w:val="24"/>
        </w:rPr>
        <w:t>Pa.C.S</w:t>
      </w:r>
      <w:proofErr w:type="spellEnd"/>
      <w:r w:rsidRPr="00790EA0">
        <w:rPr>
          <w:szCs w:val="24"/>
        </w:rPr>
        <w:t xml:space="preserve">.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1F0FA39D" w14:textId="77777777" w:rsidR="00F267AB" w:rsidRPr="006A685B" w:rsidRDefault="00F267AB" w:rsidP="00F267AB">
      <w:pPr>
        <w:pStyle w:val="ListNumber"/>
        <w:numPr>
          <w:ilvl w:val="0"/>
          <w:numId w:val="0"/>
        </w:numPr>
        <w:spacing w:line="360" w:lineRule="auto"/>
        <w:ind w:firstLine="1440"/>
        <w:jc w:val="left"/>
        <w:rPr>
          <w:i/>
          <w:iCs/>
          <w:szCs w:val="24"/>
        </w:rPr>
      </w:pPr>
    </w:p>
    <w:p w14:paraId="360491E1" w14:textId="77777777" w:rsidR="00F267AB" w:rsidRPr="006A685B" w:rsidRDefault="00F267AB" w:rsidP="00F267AB">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685D4864" w14:textId="77777777" w:rsidR="00F267AB" w:rsidRDefault="00F267AB" w:rsidP="00F267AB">
      <w:pPr>
        <w:pStyle w:val="ListNumber"/>
        <w:numPr>
          <w:ilvl w:val="0"/>
          <w:numId w:val="0"/>
        </w:numPr>
        <w:spacing w:line="360" w:lineRule="auto"/>
        <w:ind w:firstLine="1440"/>
        <w:jc w:val="left"/>
        <w:rPr>
          <w:szCs w:val="24"/>
        </w:rPr>
      </w:pPr>
    </w:p>
    <w:p w14:paraId="795C17D6" w14:textId="77777777" w:rsidR="00F86A87" w:rsidRDefault="00F86A87" w:rsidP="00F267AB">
      <w:pPr>
        <w:pStyle w:val="ListNumber"/>
        <w:numPr>
          <w:ilvl w:val="0"/>
          <w:numId w:val="0"/>
        </w:numPr>
        <w:spacing w:line="360" w:lineRule="auto"/>
        <w:ind w:firstLine="1440"/>
        <w:jc w:val="left"/>
        <w:rPr>
          <w:szCs w:val="24"/>
        </w:rPr>
      </w:pPr>
    </w:p>
    <w:p w14:paraId="1A6DB0F1" w14:textId="77777777" w:rsidR="00F86A87" w:rsidRDefault="00F86A87" w:rsidP="00F267AB">
      <w:pPr>
        <w:pStyle w:val="ListNumber"/>
        <w:numPr>
          <w:ilvl w:val="0"/>
          <w:numId w:val="0"/>
        </w:numPr>
        <w:spacing w:line="360" w:lineRule="auto"/>
        <w:ind w:firstLine="1440"/>
        <w:jc w:val="left"/>
        <w:rPr>
          <w:szCs w:val="24"/>
        </w:rPr>
      </w:pPr>
    </w:p>
    <w:p w14:paraId="4876FD57" w14:textId="77777777" w:rsidR="00F86A87" w:rsidRPr="006A685B" w:rsidRDefault="00F86A87" w:rsidP="00F267AB">
      <w:pPr>
        <w:pStyle w:val="ListNumber"/>
        <w:numPr>
          <w:ilvl w:val="0"/>
          <w:numId w:val="0"/>
        </w:numPr>
        <w:spacing w:line="360" w:lineRule="auto"/>
        <w:ind w:firstLine="1440"/>
        <w:jc w:val="left"/>
        <w:rPr>
          <w:szCs w:val="24"/>
        </w:rPr>
      </w:pPr>
    </w:p>
    <w:p w14:paraId="0E1A63CB" w14:textId="5350C9A5" w:rsidR="00C77197" w:rsidRPr="00C77197" w:rsidRDefault="00107CF8" w:rsidP="00C77197">
      <w:pPr>
        <w:spacing w:after="0" w:line="360" w:lineRule="auto"/>
        <w:jc w:val="both"/>
        <w:rPr>
          <w:rFonts w:ascii="Times New Roman" w:eastAsia="Times New Roman" w:hAnsi="Times New Roman" w:cs="Times New Roman"/>
          <w:i/>
          <w:iCs/>
          <w:sz w:val="24"/>
          <w:szCs w:val="24"/>
          <w:u w:val="single"/>
        </w:rPr>
      </w:pPr>
      <w:r>
        <w:rPr>
          <w:rFonts w:ascii="Times New Roman" w:hAnsi="Times New Roman" w:cs="Times New Roman"/>
          <w:bCs/>
          <w:i/>
          <w:iCs/>
          <w:sz w:val="24"/>
          <w:szCs w:val="24"/>
          <w:u w:val="single"/>
        </w:rPr>
        <w:lastRenderedPageBreak/>
        <w:t>Prehearing Conference</w:t>
      </w:r>
    </w:p>
    <w:p w14:paraId="5BF7F61E" w14:textId="3FAC8763"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6A55744E" w14:textId="23F926F0" w:rsidR="00FB49AE" w:rsidRDefault="00FB49AE" w:rsidP="00FB49AE">
      <w:pPr>
        <w:pStyle w:val="ListNumber"/>
        <w:numPr>
          <w:ilvl w:val="0"/>
          <w:numId w:val="0"/>
        </w:numPr>
        <w:spacing w:line="360" w:lineRule="auto"/>
        <w:ind w:firstLine="1440"/>
        <w:jc w:val="left"/>
        <w:rPr>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B359A2">
        <w:rPr>
          <w:szCs w:val="24"/>
        </w:rPr>
        <w:t>Stay Order</w:t>
      </w:r>
      <w:r w:rsidRPr="006A685B">
        <w:rPr>
          <w:szCs w:val="24"/>
        </w:rPr>
        <w:t xml:space="preserve"> November 9, 2023.  The Commission entered an Order at Docket No. M-2009-2092655, explaining that cases pending before the Office of Administrative Law Judge, such as the instant case, would proceed as directed by the assigned presiding officer.</w:t>
      </w:r>
      <w:r>
        <w:rPr>
          <w:szCs w:val="24"/>
        </w:rPr>
        <w:t xml:space="preserve">  </w:t>
      </w:r>
      <w:r w:rsidRPr="00EA0B47">
        <w:rPr>
          <w:i/>
          <w:iCs/>
          <w:szCs w:val="24"/>
        </w:rPr>
        <w:t>See</w:t>
      </w:r>
      <w:r>
        <w:rPr>
          <w:i/>
          <w:iCs/>
          <w:szCs w:val="24"/>
        </w:rPr>
        <w:t>,</w:t>
      </w:r>
      <w:r>
        <w:rPr>
          <w:szCs w:val="24"/>
        </w:rPr>
        <w:t xml:space="preserve"> </w:t>
      </w:r>
      <w:r w:rsidRPr="009A4E22">
        <w:rPr>
          <w:bCs/>
          <w:i/>
          <w:iCs/>
          <w:szCs w:val="24"/>
        </w:rPr>
        <w:t>Smart Meter Procurement and Installation</w:t>
      </w:r>
      <w:r>
        <w:rPr>
          <w:bCs/>
          <w:szCs w:val="24"/>
        </w:rPr>
        <w:t xml:space="preserve">, No. M-2009-2092655 (Order entered Nov. 14, 2023) (“Order </w:t>
      </w:r>
      <w:r w:rsidR="0075370D">
        <w:rPr>
          <w:bCs/>
          <w:szCs w:val="24"/>
        </w:rPr>
        <w:t>L</w:t>
      </w:r>
      <w:r>
        <w:rPr>
          <w:bCs/>
          <w:szCs w:val="24"/>
        </w:rPr>
        <w:t>ifting Stay”).</w:t>
      </w:r>
    </w:p>
    <w:p w14:paraId="4EA35089" w14:textId="77777777" w:rsidR="00FB49AE" w:rsidRDefault="00FB49AE" w:rsidP="00107CF8">
      <w:pPr>
        <w:spacing w:after="0" w:line="360" w:lineRule="auto"/>
        <w:ind w:firstLine="1440"/>
        <w:rPr>
          <w:rFonts w:ascii="Times New Roman" w:eastAsia="Times New Roman" w:hAnsi="Times New Roman" w:cs="Times New Roman"/>
          <w:sz w:val="24"/>
          <w:szCs w:val="24"/>
        </w:rPr>
      </w:pPr>
    </w:p>
    <w:p w14:paraId="43062FDC" w14:textId="36AAB9B6" w:rsidR="00107CF8" w:rsidRDefault="00107CF8" w:rsidP="00107CF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November 20, 2023, a Notice was issued to the parties changing the assigned presiding officer </w:t>
      </w:r>
      <w:r w:rsidR="009C55F5">
        <w:rPr>
          <w:rFonts w:ascii="Times New Roman" w:eastAsia="Times New Roman" w:hAnsi="Times New Roman" w:cs="Times New Roman"/>
          <w:sz w:val="24"/>
          <w:szCs w:val="24"/>
        </w:rPr>
        <w:t>in this matter</w:t>
      </w:r>
      <w:r>
        <w:rPr>
          <w:rFonts w:ascii="Times New Roman" w:eastAsia="Times New Roman" w:hAnsi="Times New Roman" w:cs="Times New Roman"/>
          <w:sz w:val="24"/>
          <w:szCs w:val="24"/>
        </w:rPr>
        <w:t xml:space="preserve"> from ALJ Jeffery Watson to the undersigned, ALJ Alphonso Arnold III.</w:t>
      </w:r>
    </w:p>
    <w:p w14:paraId="5F66F192" w14:textId="77777777" w:rsidR="00107CF8" w:rsidRPr="008C2288" w:rsidRDefault="00107CF8" w:rsidP="008C2288">
      <w:pPr>
        <w:spacing w:after="0" w:line="360" w:lineRule="auto"/>
        <w:ind w:firstLine="1440"/>
        <w:rPr>
          <w:rFonts w:ascii="Times New Roman" w:eastAsia="Times New Roman" w:hAnsi="Times New Roman" w:cs="Times New Roman"/>
          <w:sz w:val="24"/>
          <w:szCs w:val="24"/>
        </w:rPr>
      </w:pPr>
    </w:p>
    <w:p w14:paraId="0B4E6867" w14:textId="3B9251AE" w:rsidR="00107CF8" w:rsidRPr="008C2288" w:rsidRDefault="00107CF8" w:rsidP="008C2288">
      <w:pPr>
        <w:spacing w:after="0" w:line="360" w:lineRule="auto"/>
        <w:ind w:firstLine="1440"/>
        <w:rPr>
          <w:rFonts w:ascii="Times New Roman" w:hAnsi="Times New Roman" w:cs="Times New Roman"/>
          <w:b/>
          <w:bCs/>
          <w:sz w:val="24"/>
          <w:szCs w:val="24"/>
        </w:rPr>
      </w:pPr>
      <w:r w:rsidRPr="008C2288">
        <w:rPr>
          <w:rFonts w:ascii="Times New Roman" w:eastAsia="Times New Roman" w:hAnsi="Times New Roman" w:cs="Times New Roman"/>
          <w:sz w:val="24"/>
          <w:szCs w:val="24"/>
        </w:rPr>
        <w:t xml:space="preserve">On November 27, 2023, the Commission issued a Telephonic Prehearing Conference Notice, scheduling this case for a prehearing conference on </w:t>
      </w:r>
      <w:r w:rsidRPr="008C2288">
        <w:rPr>
          <w:rFonts w:ascii="Times New Roman" w:eastAsia="Times New Roman" w:hAnsi="Times New Roman" w:cs="Times New Roman"/>
          <w:b/>
          <w:bCs/>
          <w:sz w:val="24"/>
          <w:szCs w:val="24"/>
        </w:rPr>
        <w:t>January 8, 2024, beginning at 10:00 a.m</w:t>
      </w:r>
      <w:r w:rsidRPr="008C2288">
        <w:rPr>
          <w:rFonts w:ascii="Times New Roman" w:eastAsia="Times New Roman" w:hAnsi="Times New Roman" w:cs="Times New Roman"/>
          <w:sz w:val="24"/>
          <w:szCs w:val="24"/>
        </w:rPr>
        <w:t xml:space="preserve">.  </w:t>
      </w:r>
      <w:r w:rsidR="00DB07C6" w:rsidRPr="008C2288">
        <w:rPr>
          <w:rFonts w:ascii="Times New Roman" w:hAnsi="Times New Roman" w:cs="Times New Roman"/>
          <w:b/>
          <w:sz w:val="24"/>
          <w:szCs w:val="24"/>
          <w:u w:val="single"/>
        </w:rPr>
        <w:t xml:space="preserve">The parties are directed to dial </w:t>
      </w:r>
      <w:r w:rsidR="00DB07C6" w:rsidRPr="00356726">
        <w:rPr>
          <w:rFonts w:ascii="Times New Roman" w:hAnsi="Times New Roman" w:cs="Times New Roman"/>
          <w:b/>
          <w:sz w:val="24"/>
          <w:szCs w:val="24"/>
          <w:u w:val="single"/>
        </w:rPr>
        <w:t>1-</w:t>
      </w:r>
      <w:r w:rsidR="00250120" w:rsidRPr="00356726">
        <w:rPr>
          <w:rFonts w:ascii="Times New Roman" w:hAnsi="Times New Roman" w:cs="Times New Roman"/>
          <w:b/>
          <w:bCs/>
          <w:sz w:val="24"/>
          <w:szCs w:val="24"/>
          <w:u w:val="single"/>
        </w:rPr>
        <w:t>888</w:t>
      </w:r>
      <w:r w:rsidR="008C2288" w:rsidRPr="00356726">
        <w:rPr>
          <w:rFonts w:ascii="Times New Roman" w:hAnsi="Times New Roman" w:cs="Times New Roman"/>
          <w:b/>
          <w:bCs/>
          <w:sz w:val="24"/>
          <w:szCs w:val="24"/>
          <w:u w:val="single"/>
        </w:rPr>
        <w:t>-</w:t>
      </w:r>
      <w:r w:rsidR="00250120" w:rsidRPr="00356726">
        <w:rPr>
          <w:rFonts w:ascii="Times New Roman" w:hAnsi="Times New Roman" w:cs="Times New Roman"/>
          <w:b/>
          <w:bCs/>
          <w:sz w:val="24"/>
          <w:szCs w:val="24"/>
          <w:u w:val="single"/>
        </w:rPr>
        <w:t>395</w:t>
      </w:r>
      <w:r w:rsidR="008C2288" w:rsidRPr="00356726">
        <w:rPr>
          <w:rFonts w:ascii="Times New Roman" w:hAnsi="Times New Roman" w:cs="Times New Roman"/>
          <w:b/>
          <w:bCs/>
          <w:sz w:val="24"/>
          <w:szCs w:val="24"/>
          <w:u w:val="single"/>
        </w:rPr>
        <w:t>-</w:t>
      </w:r>
      <w:r w:rsidR="00250120" w:rsidRPr="00356726">
        <w:rPr>
          <w:rFonts w:ascii="Times New Roman" w:hAnsi="Times New Roman" w:cs="Times New Roman"/>
          <w:b/>
          <w:bCs/>
          <w:sz w:val="24"/>
          <w:szCs w:val="24"/>
          <w:u w:val="single"/>
        </w:rPr>
        <w:t>6703</w:t>
      </w:r>
      <w:r w:rsidR="00DB07C6" w:rsidRPr="00356726">
        <w:rPr>
          <w:rFonts w:ascii="Times New Roman" w:hAnsi="Times New Roman" w:cs="Times New Roman"/>
          <w:b/>
          <w:sz w:val="24"/>
          <w:szCs w:val="24"/>
          <w:u w:val="single"/>
        </w:rPr>
        <w:t xml:space="preserve">, pin </w:t>
      </w:r>
      <w:r w:rsidR="00872CC1" w:rsidRPr="00356726">
        <w:rPr>
          <w:rFonts w:ascii="Times New Roman" w:hAnsi="Times New Roman" w:cs="Times New Roman"/>
          <w:b/>
          <w:bCs/>
          <w:sz w:val="24"/>
          <w:szCs w:val="24"/>
          <w:u w:val="single"/>
        </w:rPr>
        <w:t>88097140</w:t>
      </w:r>
      <w:r w:rsidR="00DB07C6" w:rsidRPr="008C2288">
        <w:rPr>
          <w:rFonts w:ascii="Times New Roman" w:hAnsi="Times New Roman" w:cs="Times New Roman"/>
          <w:b/>
          <w:sz w:val="24"/>
          <w:szCs w:val="24"/>
          <w:u w:val="single"/>
        </w:rPr>
        <w:t xml:space="preserve"> at 10:00 a.m. to be connected to the conference.  </w:t>
      </w:r>
    </w:p>
    <w:p w14:paraId="534D44F4" w14:textId="61654099" w:rsidR="006E0D53" w:rsidRPr="008C2288" w:rsidRDefault="00F04A4A" w:rsidP="008C2288">
      <w:pPr>
        <w:spacing w:after="0" w:line="360" w:lineRule="auto"/>
        <w:rPr>
          <w:rFonts w:ascii="Times New Roman" w:hAnsi="Times New Roman" w:cs="Times New Roman"/>
          <w:sz w:val="24"/>
          <w:szCs w:val="24"/>
        </w:rPr>
      </w:pPr>
      <w:r w:rsidRPr="008C2288">
        <w:rPr>
          <w:rFonts w:ascii="Times New Roman" w:hAnsi="Times New Roman" w:cs="Times New Roman"/>
          <w:sz w:val="24"/>
          <w:szCs w:val="24"/>
        </w:rPr>
        <w:tab/>
      </w:r>
      <w:r w:rsidRPr="008C2288">
        <w:rPr>
          <w:rFonts w:ascii="Times New Roman" w:hAnsi="Times New Roman" w:cs="Times New Roman"/>
          <w:sz w:val="24"/>
          <w:szCs w:val="24"/>
        </w:rPr>
        <w:tab/>
      </w:r>
    </w:p>
    <w:p w14:paraId="5824953F" w14:textId="1A8CFC92" w:rsidR="00F04A4A" w:rsidRPr="009E011E" w:rsidRDefault="00F04A4A" w:rsidP="008C2288">
      <w:pPr>
        <w:spacing w:after="0" w:line="360" w:lineRule="auto"/>
        <w:ind w:firstLine="1440"/>
        <w:rPr>
          <w:rFonts w:ascii="Times New Roman" w:hAnsi="Times New Roman" w:cs="Times New Roman"/>
          <w:sz w:val="24"/>
          <w:szCs w:val="24"/>
        </w:rPr>
      </w:pPr>
      <w:r w:rsidRPr="008C2288">
        <w:rPr>
          <w:rFonts w:ascii="Times New Roman" w:hAnsi="Times New Roman" w:cs="Times New Roman"/>
          <w:sz w:val="24"/>
          <w:szCs w:val="24"/>
        </w:rPr>
        <w:t>A</w:t>
      </w:r>
      <w:r w:rsidR="000B539D" w:rsidRPr="008C2288">
        <w:rPr>
          <w:rFonts w:ascii="Times New Roman" w:hAnsi="Times New Roman" w:cs="Times New Roman"/>
          <w:sz w:val="24"/>
          <w:szCs w:val="24"/>
        </w:rPr>
        <w:t>fter a review of the record</w:t>
      </w:r>
      <w:r w:rsidR="002D2009" w:rsidRPr="009E011E">
        <w:rPr>
          <w:rFonts w:ascii="Times New Roman" w:hAnsi="Times New Roman" w:cs="Times New Roman"/>
          <w:sz w:val="24"/>
          <w:szCs w:val="24"/>
        </w:rPr>
        <w:t>, the decision of the</w:t>
      </w:r>
      <w:r w:rsidR="009E011E" w:rsidRPr="009E011E">
        <w:rPr>
          <w:rFonts w:ascii="Times New Roman" w:hAnsi="Times New Roman" w:cs="Times New Roman"/>
          <w:sz w:val="24"/>
          <w:szCs w:val="24"/>
        </w:rPr>
        <w:t xml:space="preserve"> Pennsylvania</w:t>
      </w:r>
      <w:r w:rsidR="002D2009" w:rsidRPr="009E011E">
        <w:rPr>
          <w:rFonts w:ascii="Times New Roman" w:hAnsi="Times New Roman" w:cs="Times New Roman"/>
          <w:sz w:val="24"/>
          <w:szCs w:val="24"/>
        </w:rPr>
        <w:t xml:space="preserve"> Supreme Court in </w:t>
      </w:r>
      <w:proofErr w:type="spellStart"/>
      <w:r w:rsidR="00443A0A">
        <w:rPr>
          <w:rFonts w:ascii="Times New Roman" w:hAnsi="Times New Roman" w:cs="Times New Roman"/>
          <w:i/>
          <w:iCs/>
          <w:sz w:val="24"/>
          <w:szCs w:val="24"/>
        </w:rPr>
        <w:t>Povacz</w:t>
      </w:r>
      <w:proofErr w:type="spellEnd"/>
      <w:r w:rsidR="00443A0A">
        <w:rPr>
          <w:rFonts w:ascii="Times New Roman" w:hAnsi="Times New Roman" w:cs="Times New Roman"/>
          <w:i/>
          <w:iCs/>
          <w:sz w:val="24"/>
          <w:szCs w:val="24"/>
        </w:rPr>
        <w:t xml:space="preserve"> II</w:t>
      </w:r>
      <w:r w:rsidR="002F4EBB">
        <w:rPr>
          <w:rFonts w:ascii="Times New Roman" w:hAnsi="Times New Roman" w:cs="Times New Roman"/>
          <w:i/>
          <w:iCs/>
          <w:sz w:val="24"/>
          <w:szCs w:val="24"/>
        </w:rPr>
        <w:t>,</w:t>
      </w:r>
      <w:r w:rsidR="009545B2" w:rsidRPr="009E011E">
        <w:rPr>
          <w:rFonts w:ascii="Times New Roman" w:hAnsi="Times New Roman" w:cs="Times New Roman"/>
          <w:sz w:val="24"/>
          <w:szCs w:val="24"/>
        </w:rPr>
        <w:t xml:space="preserve"> </w:t>
      </w:r>
      <w:r w:rsidR="00340D95" w:rsidRPr="009E011E">
        <w:rPr>
          <w:rFonts w:ascii="Times New Roman" w:hAnsi="Times New Roman" w:cs="Times New Roman"/>
          <w:sz w:val="24"/>
          <w:szCs w:val="24"/>
        </w:rPr>
        <w:t xml:space="preserve">and the </w:t>
      </w:r>
      <w:r w:rsidR="00AF0311">
        <w:rPr>
          <w:rFonts w:ascii="Times New Roman" w:hAnsi="Times New Roman" w:cs="Times New Roman"/>
          <w:sz w:val="24"/>
          <w:szCs w:val="24"/>
        </w:rPr>
        <w:t xml:space="preserve">Order </w:t>
      </w:r>
      <w:r w:rsidR="0075370D">
        <w:rPr>
          <w:rFonts w:ascii="Times New Roman" w:hAnsi="Times New Roman" w:cs="Times New Roman"/>
          <w:sz w:val="24"/>
          <w:szCs w:val="24"/>
        </w:rPr>
        <w:t>L</w:t>
      </w:r>
      <w:r w:rsidR="00AF0311">
        <w:rPr>
          <w:rFonts w:ascii="Times New Roman" w:hAnsi="Times New Roman" w:cs="Times New Roman"/>
          <w:sz w:val="24"/>
          <w:szCs w:val="24"/>
        </w:rPr>
        <w:t>ifting Stay</w:t>
      </w:r>
      <w:r w:rsidR="00340D95" w:rsidRPr="009E011E">
        <w:rPr>
          <w:rFonts w:ascii="Times New Roman" w:hAnsi="Times New Roman" w:cs="Times New Roman"/>
          <w:sz w:val="24"/>
          <w:szCs w:val="24"/>
        </w:rPr>
        <w:t xml:space="preserve">, I deem it helpful to hold a </w:t>
      </w:r>
      <w:r w:rsidR="00107CF8" w:rsidRPr="009E011E">
        <w:rPr>
          <w:rFonts w:ascii="Times New Roman" w:hAnsi="Times New Roman" w:cs="Times New Roman"/>
          <w:sz w:val="24"/>
          <w:szCs w:val="24"/>
        </w:rPr>
        <w:t>prehearing</w:t>
      </w:r>
      <w:r w:rsidR="00340D95" w:rsidRPr="009E011E">
        <w:rPr>
          <w:rFonts w:ascii="Times New Roman" w:hAnsi="Times New Roman" w:cs="Times New Roman"/>
          <w:sz w:val="24"/>
          <w:szCs w:val="24"/>
        </w:rPr>
        <w:t xml:space="preserve"> conference to give the parties an opportunity to address procedural matters</w:t>
      </w:r>
      <w:r w:rsidR="002D2009" w:rsidRPr="009E011E">
        <w:rPr>
          <w:rFonts w:ascii="Times New Roman" w:hAnsi="Times New Roman" w:cs="Times New Roman"/>
          <w:sz w:val="24"/>
          <w:szCs w:val="24"/>
        </w:rPr>
        <w:t xml:space="preserve">.  These matters </w:t>
      </w:r>
      <w:r w:rsidR="00340D95" w:rsidRPr="009E011E">
        <w:rPr>
          <w:rFonts w:ascii="Times New Roman" w:hAnsi="Times New Roman" w:cs="Times New Roman"/>
          <w:sz w:val="24"/>
          <w:szCs w:val="24"/>
        </w:rPr>
        <w:t>includ</w:t>
      </w:r>
      <w:r w:rsidR="002D2009" w:rsidRPr="009E011E">
        <w:rPr>
          <w:rFonts w:ascii="Times New Roman" w:hAnsi="Times New Roman" w:cs="Times New Roman"/>
          <w:sz w:val="24"/>
          <w:szCs w:val="24"/>
        </w:rPr>
        <w:t>e</w:t>
      </w:r>
      <w:r w:rsidR="00F84AA5">
        <w:rPr>
          <w:rFonts w:ascii="Times New Roman" w:hAnsi="Times New Roman" w:cs="Times New Roman"/>
          <w:sz w:val="24"/>
          <w:szCs w:val="24"/>
        </w:rPr>
        <w:t xml:space="preserve"> the </w:t>
      </w:r>
      <w:r w:rsidR="000A5B7E">
        <w:rPr>
          <w:rFonts w:ascii="Times New Roman" w:hAnsi="Times New Roman" w:cs="Times New Roman"/>
          <w:sz w:val="24"/>
          <w:szCs w:val="24"/>
        </w:rPr>
        <w:t>creation of a</w:t>
      </w:r>
      <w:r w:rsidR="0075370D">
        <w:rPr>
          <w:rFonts w:ascii="Times New Roman" w:hAnsi="Times New Roman" w:cs="Times New Roman"/>
          <w:sz w:val="24"/>
          <w:szCs w:val="24"/>
        </w:rPr>
        <w:t>n amended</w:t>
      </w:r>
      <w:r w:rsidR="000A5B7E">
        <w:rPr>
          <w:rFonts w:ascii="Times New Roman" w:hAnsi="Times New Roman" w:cs="Times New Roman"/>
          <w:sz w:val="24"/>
          <w:szCs w:val="24"/>
        </w:rPr>
        <w:t xml:space="preserve"> </w:t>
      </w:r>
      <w:r w:rsidR="009F762C" w:rsidRPr="009E011E">
        <w:rPr>
          <w:rFonts w:ascii="Times New Roman" w:hAnsi="Times New Roman" w:cs="Times New Roman"/>
          <w:sz w:val="24"/>
          <w:szCs w:val="24"/>
        </w:rPr>
        <w:t>litigation schedule</w:t>
      </w:r>
      <w:r w:rsidR="00747D2D">
        <w:rPr>
          <w:rFonts w:ascii="Times New Roman" w:hAnsi="Times New Roman" w:cs="Times New Roman"/>
          <w:sz w:val="24"/>
          <w:szCs w:val="24"/>
        </w:rPr>
        <w:t xml:space="preserve"> (a proposed </w:t>
      </w:r>
      <w:r w:rsidR="000E2075">
        <w:rPr>
          <w:rFonts w:ascii="Times New Roman" w:hAnsi="Times New Roman" w:cs="Times New Roman"/>
          <w:sz w:val="24"/>
          <w:szCs w:val="24"/>
        </w:rPr>
        <w:t xml:space="preserve">amended </w:t>
      </w:r>
      <w:r w:rsidR="00747D2D">
        <w:rPr>
          <w:rFonts w:ascii="Times New Roman" w:hAnsi="Times New Roman" w:cs="Times New Roman"/>
          <w:sz w:val="24"/>
          <w:szCs w:val="24"/>
        </w:rPr>
        <w:t>litigation schedule is contained in the Ordering paragraph</w:t>
      </w:r>
      <w:r w:rsidR="00060871">
        <w:rPr>
          <w:rFonts w:ascii="Times New Roman" w:hAnsi="Times New Roman" w:cs="Times New Roman"/>
          <w:sz w:val="24"/>
          <w:szCs w:val="24"/>
        </w:rPr>
        <w:t>s)</w:t>
      </w:r>
      <w:r w:rsidR="009F7579">
        <w:rPr>
          <w:rFonts w:ascii="Times New Roman" w:hAnsi="Times New Roman" w:cs="Times New Roman"/>
          <w:sz w:val="24"/>
          <w:szCs w:val="24"/>
        </w:rPr>
        <w:t xml:space="preserve">; (b) </w:t>
      </w:r>
      <w:r w:rsidR="00020A25">
        <w:rPr>
          <w:rFonts w:ascii="Times New Roman" w:hAnsi="Times New Roman" w:cs="Times New Roman"/>
          <w:sz w:val="24"/>
          <w:szCs w:val="24"/>
        </w:rPr>
        <w:t>any outstanding issues in this case; and (c)</w:t>
      </w:r>
      <w:r w:rsidR="00F84AA5">
        <w:rPr>
          <w:rFonts w:ascii="Times New Roman" w:hAnsi="Times New Roman" w:cs="Times New Roman"/>
          <w:sz w:val="24"/>
          <w:szCs w:val="24"/>
        </w:rPr>
        <w:t xml:space="preserve"> and</w:t>
      </w:r>
      <w:r w:rsidR="002D2009" w:rsidRPr="009E011E">
        <w:rPr>
          <w:rFonts w:ascii="Times New Roman" w:hAnsi="Times New Roman" w:cs="Times New Roman"/>
          <w:sz w:val="24"/>
          <w:szCs w:val="24"/>
        </w:rPr>
        <w:t xml:space="preserve"> any other procedural matter either party would like to address.</w:t>
      </w:r>
    </w:p>
    <w:p w14:paraId="53550A69" w14:textId="77777777" w:rsidR="000B539D" w:rsidRDefault="000B539D" w:rsidP="00F04A4A">
      <w:pPr>
        <w:pStyle w:val="BodyTextIndent"/>
        <w:ind w:firstLine="0"/>
        <w:jc w:val="center"/>
        <w:rPr>
          <w:sz w:val="24"/>
          <w:szCs w:val="24"/>
          <w:u w:val="single"/>
        </w:rPr>
      </w:pPr>
    </w:p>
    <w:p w14:paraId="4D6FB772" w14:textId="77777777" w:rsidR="00F86A87" w:rsidRDefault="00F86A87" w:rsidP="00F04A4A">
      <w:pPr>
        <w:pStyle w:val="BodyTextIndent"/>
        <w:ind w:firstLine="0"/>
        <w:jc w:val="center"/>
        <w:rPr>
          <w:sz w:val="24"/>
          <w:szCs w:val="24"/>
          <w:u w:val="single"/>
        </w:rPr>
      </w:pPr>
    </w:p>
    <w:p w14:paraId="38197C14" w14:textId="77777777" w:rsidR="00F86A87" w:rsidRDefault="00F86A87" w:rsidP="00F04A4A">
      <w:pPr>
        <w:pStyle w:val="BodyTextIndent"/>
        <w:ind w:firstLine="0"/>
        <w:jc w:val="center"/>
        <w:rPr>
          <w:sz w:val="24"/>
          <w:szCs w:val="24"/>
          <w:u w:val="single"/>
        </w:rPr>
      </w:pPr>
    </w:p>
    <w:p w14:paraId="26F97820" w14:textId="77777777" w:rsidR="00F86A87" w:rsidRDefault="00F86A87" w:rsidP="00F04A4A">
      <w:pPr>
        <w:pStyle w:val="BodyTextIndent"/>
        <w:ind w:firstLine="0"/>
        <w:jc w:val="center"/>
        <w:rPr>
          <w:sz w:val="24"/>
          <w:szCs w:val="24"/>
          <w:u w:val="single"/>
        </w:rPr>
      </w:pPr>
    </w:p>
    <w:p w14:paraId="5C0FEBD6" w14:textId="77777777" w:rsidR="00F86A87" w:rsidRDefault="00F86A87" w:rsidP="00F04A4A">
      <w:pPr>
        <w:pStyle w:val="BodyTextIndent"/>
        <w:ind w:firstLine="0"/>
        <w:jc w:val="center"/>
        <w:rPr>
          <w:sz w:val="24"/>
          <w:szCs w:val="24"/>
          <w:u w:val="single"/>
        </w:rPr>
      </w:pPr>
    </w:p>
    <w:p w14:paraId="046EBB21" w14:textId="77777777" w:rsidR="00F86A87" w:rsidRDefault="00F86A87" w:rsidP="00F04A4A">
      <w:pPr>
        <w:pStyle w:val="BodyTextIndent"/>
        <w:ind w:firstLine="0"/>
        <w:jc w:val="center"/>
        <w:rPr>
          <w:sz w:val="24"/>
          <w:szCs w:val="24"/>
          <w:u w:val="single"/>
        </w:rPr>
      </w:pPr>
    </w:p>
    <w:p w14:paraId="51ABCC61" w14:textId="77777777" w:rsidR="00F86A87" w:rsidRPr="00DA07F0" w:rsidRDefault="00F86A87"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lastRenderedPageBreak/>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4DF749D7" w14:textId="1E56F4E4" w:rsidR="00F04A4A" w:rsidRPr="00986A44" w:rsidRDefault="00F04A4A" w:rsidP="00986A44">
      <w:pPr>
        <w:pStyle w:val="ListParagraph"/>
        <w:numPr>
          <w:ilvl w:val="0"/>
          <w:numId w:val="5"/>
        </w:numPr>
        <w:tabs>
          <w:tab w:val="left" w:pos="2160"/>
        </w:tabs>
        <w:spacing w:line="360" w:lineRule="auto"/>
        <w:ind w:left="90" w:firstLine="1350"/>
        <w:rPr>
          <w:rFonts w:ascii="Times New Roman" w:hAnsi="Times New Roman" w:cs="Times New Roman"/>
        </w:rPr>
      </w:pPr>
      <w:r w:rsidRPr="00986A44">
        <w:rPr>
          <w:rFonts w:ascii="Times New Roman" w:hAnsi="Times New Roman" w:cs="Times New Roman"/>
        </w:rPr>
        <w:t xml:space="preserve">That </w:t>
      </w:r>
      <w:r w:rsidR="002D2009" w:rsidRPr="00986A44">
        <w:rPr>
          <w:rFonts w:ascii="Times New Roman" w:hAnsi="Times New Roman" w:cs="Times New Roman"/>
        </w:rPr>
        <w:t xml:space="preserve">a </w:t>
      </w:r>
      <w:r w:rsidR="00F84AA5" w:rsidRPr="00986A44">
        <w:rPr>
          <w:rFonts w:ascii="Times New Roman" w:hAnsi="Times New Roman" w:cs="Times New Roman"/>
        </w:rPr>
        <w:t>prehearing hearing conference</w:t>
      </w:r>
      <w:r w:rsidR="0070633B" w:rsidRPr="00986A44">
        <w:rPr>
          <w:rFonts w:ascii="Times New Roman" w:hAnsi="Times New Roman" w:cs="Times New Roman"/>
        </w:rPr>
        <w:t xml:space="preserve"> in this matter</w:t>
      </w:r>
      <w:r w:rsidR="00DA07F0" w:rsidRPr="00986A44">
        <w:rPr>
          <w:rFonts w:ascii="Times New Roman" w:hAnsi="Times New Roman" w:cs="Times New Roman"/>
        </w:rPr>
        <w:t xml:space="preserve"> will be </w:t>
      </w:r>
      <w:r w:rsidR="009E5BFC" w:rsidRPr="00986A44">
        <w:rPr>
          <w:rFonts w:ascii="Times New Roman" w:hAnsi="Times New Roman" w:cs="Times New Roman"/>
        </w:rPr>
        <w:t xml:space="preserve">held on the </w:t>
      </w:r>
      <w:r w:rsidR="0070633B" w:rsidRPr="002B6040">
        <w:rPr>
          <w:rFonts w:ascii="Times New Roman" w:hAnsi="Times New Roman" w:cs="Times New Roman"/>
          <w:b/>
          <w:bCs/>
        </w:rPr>
        <w:t>January 8, 2024, beginning at 10:00 a.m</w:t>
      </w:r>
      <w:r w:rsidR="00DA07F0" w:rsidRPr="00986A44">
        <w:rPr>
          <w:rFonts w:ascii="Times New Roman" w:hAnsi="Times New Roman" w:cs="Times New Roman"/>
        </w:rPr>
        <w:t>.</w:t>
      </w:r>
      <w:r w:rsidR="00DB07C6" w:rsidRPr="00986A44">
        <w:rPr>
          <w:rFonts w:ascii="Times New Roman" w:hAnsi="Times New Roman" w:cs="Times New Roman"/>
        </w:rPr>
        <w:t xml:space="preserve">  </w:t>
      </w:r>
      <w:r w:rsidR="00356726" w:rsidRPr="008C2288">
        <w:rPr>
          <w:rFonts w:ascii="Times New Roman" w:hAnsi="Times New Roman" w:cs="Times New Roman"/>
          <w:b/>
          <w:u w:val="single"/>
        </w:rPr>
        <w:t xml:space="preserve">The parties are directed to dial </w:t>
      </w:r>
      <w:r w:rsidR="00356726" w:rsidRPr="00356726">
        <w:rPr>
          <w:rFonts w:ascii="Times New Roman" w:hAnsi="Times New Roman" w:cs="Times New Roman"/>
          <w:b/>
          <w:u w:val="single"/>
        </w:rPr>
        <w:t>1-</w:t>
      </w:r>
      <w:r w:rsidR="00356726" w:rsidRPr="00356726">
        <w:rPr>
          <w:rFonts w:ascii="Times New Roman" w:hAnsi="Times New Roman" w:cs="Times New Roman"/>
          <w:b/>
          <w:bCs/>
          <w:u w:val="single"/>
        </w:rPr>
        <w:t>888-395-6703</w:t>
      </w:r>
      <w:r w:rsidR="00356726" w:rsidRPr="00356726">
        <w:rPr>
          <w:rFonts w:ascii="Times New Roman" w:hAnsi="Times New Roman" w:cs="Times New Roman"/>
          <w:b/>
          <w:u w:val="single"/>
        </w:rPr>
        <w:t xml:space="preserve">, pin </w:t>
      </w:r>
      <w:r w:rsidR="00356726" w:rsidRPr="00356726">
        <w:rPr>
          <w:rFonts w:ascii="Times New Roman" w:hAnsi="Times New Roman" w:cs="Times New Roman"/>
          <w:b/>
          <w:bCs/>
          <w:u w:val="single"/>
        </w:rPr>
        <w:t>88097140</w:t>
      </w:r>
      <w:r w:rsidR="00356726" w:rsidRPr="008C2288">
        <w:rPr>
          <w:rFonts w:ascii="Times New Roman" w:hAnsi="Times New Roman" w:cs="Times New Roman"/>
          <w:b/>
          <w:u w:val="single"/>
        </w:rPr>
        <w:t xml:space="preserve"> at 10:00 a.m. to be connected to the conference.  </w:t>
      </w:r>
    </w:p>
    <w:p w14:paraId="759D0375" w14:textId="77777777" w:rsidR="00986A44" w:rsidRPr="00986A44" w:rsidRDefault="00986A44" w:rsidP="00986A44">
      <w:pPr>
        <w:pStyle w:val="ListParagraph"/>
        <w:tabs>
          <w:tab w:val="left" w:pos="2160"/>
        </w:tabs>
        <w:spacing w:line="360" w:lineRule="auto"/>
        <w:ind w:left="1440"/>
        <w:rPr>
          <w:rFonts w:ascii="Times New Roman" w:hAnsi="Times New Roman" w:cs="Times New Roman"/>
        </w:rPr>
      </w:pPr>
    </w:p>
    <w:p w14:paraId="7A5F3DA4" w14:textId="77777777" w:rsidR="00986A44" w:rsidRDefault="00986A44" w:rsidP="00986A44">
      <w:pPr>
        <w:pStyle w:val="ListParagraph"/>
        <w:numPr>
          <w:ilvl w:val="0"/>
          <w:numId w:val="5"/>
        </w:numPr>
        <w:tabs>
          <w:tab w:val="left" w:pos="2160"/>
        </w:tabs>
        <w:spacing w:line="360" w:lineRule="auto"/>
        <w:ind w:left="90" w:firstLine="1350"/>
        <w:rPr>
          <w:rFonts w:ascii="Times New Roman" w:hAnsi="Times New Roman" w:cs="Times New Roman"/>
        </w:rPr>
      </w:pPr>
      <w:r w:rsidRPr="00450357">
        <w:rPr>
          <w:rFonts w:ascii="Times New Roman" w:hAnsi="Times New Roman" w:cs="Times New Roman"/>
        </w:rPr>
        <w:t>Failure of a party to participate in the conference</w:t>
      </w:r>
      <w:r>
        <w:rPr>
          <w:rFonts w:ascii="Times New Roman" w:hAnsi="Times New Roman" w:cs="Times New Roman"/>
        </w:rPr>
        <w:t xml:space="preserve"> </w:t>
      </w:r>
      <w:r w:rsidRPr="00450357">
        <w:rPr>
          <w:rFonts w:ascii="Times New Roman" w:hAnsi="Times New Roman" w:cs="Times New Roman"/>
        </w:rPr>
        <w:t>without good case shown, shall constitute a waiver of all objections to the agreements reached and an order or ruling with respect thereto</w:t>
      </w:r>
      <w:r>
        <w:rPr>
          <w:rFonts w:ascii="Times New Roman" w:hAnsi="Times New Roman" w:cs="Times New Roman"/>
        </w:rPr>
        <w:t>.</w:t>
      </w:r>
    </w:p>
    <w:p w14:paraId="32CCB8F6" w14:textId="77777777" w:rsidR="00986A44" w:rsidRPr="00986A44" w:rsidRDefault="00986A44" w:rsidP="00986A44">
      <w:pPr>
        <w:pStyle w:val="ListParagraph"/>
        <w:rPr>
          <w:rFonts w:ascii="Times New Roman" w:hAnsi="Times New Roman" w:cs="Times New Roman"/>
        </w:rPr>
      </w:pPr>
    </w:p>
    <w:p w14:paraId="5369C26C" w14:textId="5390F04B" w:rsidR="00CD77F0" w:rsidRPr="00986A44" w:rsidRDefault="00F04A4A" w:rsidP="00986A44">
      <w:pPr>
        <w:pStyle w:val="ListParagraph"/>
        <w:numPr>
          <w:ilvl w:val="0"/>
          <w:numId w:val="5"/>
        </w:numPr>
        <w:tabs>
          <w:tab w:val="left" w:pos="2160"/>
        </w:tabs>
        <w:spacing w:line="360" w:lineRule="auto"/>
        <w:ind w:left="90" w:firstLine="1350"/>
        <w:rPr>
          <w:rFonts w:ascii="Times New Roman" w:hAnsi="Times New Roman" w:cs="Times New Roman"/>
        </w:rPr>
      </w:pPr>
      <w:r w:rsidRPr="00986A44">
        <w:rPr>
          <w:rFonts w:ascii="Times New Roman" w:hAnsi="Times New Roman" w:cs="Times New Roman"/>
        </w:rPr>
        <w:t>That the parties</w:t>
      </w:r>
      <w:r w:rsidR="00DA07F0" w:rsidRPr="00986A44">
        <w:rPr>
          <w:rFonts w:ascii="Times New Roman" w:hAnsi="Times New Roman" w:cs="Times New Roman"/>
        </w:rPr>
        <w:t xml:space="preserve"> should be prepared to discuss at said conference:</w:t>
      </w:r>
    </w:p>
    <w:p w14:paraId="5A4BB627" w14:textId="77777777" w:rsidR="00B335EE" w:rsidRDefault="00B335EE" w:rsidP="00EA0B47">
      <w:pPr>
        <w:spacing w:after="0" w:line="240" w:lineRule="auto"/>
        <w:ind w:left="1440" w:firstLine="720"/>
        <w:rPr>
          <w:rFonts w:ascii="Times New Roman" w:hAnsi="Times New Roman" w:cs="Times New Roman"/>
          <w:sz w:val="24"/>
          <w:szCs w:val="24"/>
        </w:rPr>
      </w:pPr>
    </w:p>
    <w:p w14:paraId="7F15489E" w14:textId="0499CE7D" w:rsidR="009C0092" w:rsidRDefault="00DA07F0" w:rsidP="00FD5739">
      <w:pPr>
        <w:spacing w:after="0" w:line="240" w:lineRule="auto"/>
        <w:ind w:left="2160"/>
        <w:rPr>
          <w:rFonts w:ascii="Times New Roman" w:hAnsi="Times New Roman" w:cs="Times New Roman"/>
          <w:sz w:val="24"/>
          <w:szCs w:val="24"/>
        </w:rPr>
      </w:pPr>
      <w:r w:rsidRPr="00DA07F0">
        <w:rPr>
          <w:rFonts w:ascii="Times New Roman" w:hAnsi="Times New Roman" w:cs="Times New Roman"/>
          <w:sz w:val="24"/>
          <w:szCs w:val="24"/>
        </w:rPr>
        <w:t xml:space="preserve">(a) </w:t>
      </w:r>
      <w:r w:rsidR="00644B33">
        <w:rPr>
          <w:rFonts w:ascii="Times New Roman" w:hAnsi="Times New Roman" w:cs="Times New Roman"/>
          <w:sz w:val="24"/>
          <w:szCs w:val="24"/>
        </w:rPr>
        <w:t xml:space="preserve">  </w:t>
      </w:r>
      <w:r w:rsidR="00B335EE">
        <w:rPr>
          <w:rFonts w:ascii="Times New Roman" w:hAnsi="Times New Roman" w:cs="Times New Roman"/>
          <w:sz w:val="24"/>
          <w:szCs w:val="24"/>
        </w:rPr>
        <w:tab/>
      </w:r>
      <w:r w:rsidR="00FD5739">
        <w:rPr>
          <w:rFonts w:ascii="Times New Roman" w:hAnsi="Times New Roman" w:cs="Times New Roman"/>
          <w:sz w:val="24"/>
          <w:szCs w:val="24"/>
        </w:rPr>
        <w:t>C</w:t>
      </w:r>
      <w:r w:rsidR="00226D94">
        <w:rPr>
          <w:rFonts w:ascii="Times New Roman" w:hAnsi="Times New Roman" w:cs="Times New Roman"/>
          <w:sz w:val="24"/>
          <w:szCs w:val="24"/>
        </w:rPr>
        <w:t>reation of a</w:t>
      </w:r>
      <w:r w:rsidR="00C47322">
        <w:rPr>
          <w:rFonts w:ascii="Times New Roman" w:hAnsi="Times New Roman" w:cs="Times New Roman"/>
          <w:sz w:val="24"/>
          <w:szCs w:val="24"/>
        </w:rPr>
        <w:t>n amended</w:t>
      </w:r>
      <w:r w:rsidR="00226D94">
        <w:rPr>
          <w:rFonts w:ascii="Times New Roman" w:hAnsi="Times New Roman" w:cs="Times New Roman"/>
          <w:sz w:val="24"/>
          <w:szCs w:val="24"/>
        </w:rPr>
        <w:t xml:space="preserve"> litigation schedule.</w:t>
      </w:r>
      <w:r w:rsidR="00FD5739">
        <w:rPr>
          <w:rFonts w:ascii="Times New Roman" w:hAnsi="Times New Roman" w:cs="Times New Roman"/>
          <w:sz w:val="24"/>
          <w:szCs w:val="24"/>
        </w:rPr>
        <w:t xml:space="preserve">  The following is a proposed litigation schedule for this case.</w:t>
      </w:r>
    </w:p>
    <w:p w14:paraId="5EE2A302" w14:textId="77777777" w:rsidR="002B493D" w:rsidRDefault="002B493D" w:rsidP="00DC3EA0">
      <w:pPr>
        <w:spacing w:after="0" w:line="360" w:lineRule="auto"/>
        <w:rPr>
          <w:rFonts w:ascii="Times New Roman" w:hAnsi="Times New Roman" w:cs="Times New Roman"/>
          <w:sz w:val="24"/>
          <w:szCs w:val="24"/>
        </w:rPr>
      </w:pPr>
    </w:p>
    <w:p w14:paraId="2451A41C" w14:textId="0A48CA7A" w:rsidR="00B335EE" w:rsidRPr="005A1C5A" w:rsidRDefault="002B493D" w:rsidP="00060871">
      <w:pPr>
        <w:pStyle w:val="ListParagraph"/>
        <w:numPr>
          <w:ilvl w:val="0"/>
          <w:numId w:val="6"/>
        </w:numPr>
        <w:spacing w:line="360" w:lineRule="auto"/>
        <w:ind w:hanging="540"/>
        <w:contextualSpacing/>
        <w:rPr>
          <w:rFonts w:ascii="Times New Roman" w:hAnsi="Times New Roman" w:cs="Times New Roman"/>
          <w:b/>
          <w:bCs/>
          <w:color w:val="000000"/>
        </w:rPr>
      </w:pPr>
      <w:r w:rsidRPr="00B335EE">
        <w:rPr>
          <w:rFonts w:ascii="Times New Roman" w:hAnsi="Times New Roman" w:cs="Times New Roman"/>
          <w:b/>
          <w:bCs/>
          <w:i/>
          <w:iCs/>
          <w:color w:val="000000"/>
          <w:u w:val="single"/>
        </w:rPr>
        <w:t xml:space="preserve">ON OR BEFORE </w:t>
      </w:r>
      <w:r w:rsidR="00F16A54" w:rsidRPr="00B335EE">
        <w:rPr>
          <w:rFonts w:ascii="Times New Roman" w:hAnsi="Times New Roman" w:cs="Times New Roman"/>
          <w:b/>
          <w:bCs/>
          <w:i/>
          <w:iCs/>
          <w:color w:val="000000"/>
          <w:u w:val="single"/>
        </w:rPr>
        <w:t xml:space="preserve">February </w:t>
      </w:r>
      <w:r w:rsidR="00784817" w:rsidRPr="00B335EE">
        <w:rPr>
          <w:rFonts w:ascii="Times New Roman" w:hAnsi="Times New Roman" w:cs="Times New Roman"/>
          <w:b/>
          <w:bCs/>
          <w:i/>
          <w:iCs/>
          <w:color w:val="000000"/>
          <w:u w:val="single"/>
        </w:rPr>
        <w:t>9</w:t>
      </w:r>
      <w:r w:rsidRPr="00B335EE">
        <w:rPr>
          <w:rFonts w:ascii="Times New Roman" w:hAnsi="Times New Roman" w:cs="Times New Roman"/>
          <w:b/>
          <w:bCs/>
          <w:i/>
          <w:iCs/>
          <w:color w:val="000000"/>
          <w:u w:val="single"/>
        </w:rPr>
        <w:t>, 2024</w:t>
      </w:r>
      <w:r w:rsidRPr="00B335EE">
        <w:rPr>
          <w:rFonts w:ascii="Times New Roman" w:hAnsi="Times New Roman" w:cs="Times New Roman"/>
          <w:color w:val="000000"/>
        </w:rPr>
        <w:t xml:space="preserve">, any Party wishing to present factual testimony of any person other than Complainant must provide to the other Party in writing, the name and business address of that person </w:t>
      </w:r>
      <w:r w:rsidRPr="00B335EE">
        <w:rPr>
          <w:rFonts w:ascii="Times New Roman" w:hAnsi="Times New Roman" w:cs="Times New Roman"/>
          <w:color w:val="000000"/>
          <w:u w:val="single"/>
        </w:rPr>
        <w:t>and</w:t>
      </w:r>
      <w:r w:rsidRPr="00B335EE">
        <w:rPr>
          <w:rFonts w:ascii="Times New Roman" w:hAnsi="Times New Roman" w:cs="Times New Roman"/>
          <w:color w:val="000000"/>
        </w:rPr>
        <w:t xml:space="preserve"> a written summary of the expected testimony of that person.  If no factual testimony will be presented, the Parties shall provide a writing to the opposing Party indicating this fact</w:t>
      </w:r>
      <w:r w:rsidR="005A1C5A">
        <w:rPr>
          <w:rFonts w:ascii="Times New Roman" w:hAnsi="Times New Roman" w:cs="Times New Roman"/>
          <w:color w:val="000000"/>
        </w:rPr>
        <w:t>.</w:t>
      </w:r>
    </w:p>
    <w:p w14:paraId="16DA170F" w14:textId="77777777" w:rsidR="005A1C5A" w:rsidRPr="00B335EE" w:rsidRDefault="005A1C5A" w:rsidP="005A1C5A">
      <w:pPr>
        <w:pStyle w:val="ListParagraph"/>
        <w:spacing w:line="360" w:lineRule="auto"/>
        <w:ind w:left="2880"/>
        <w:contextualSpacing/>
        <w:rPr>
          <w:rFonts w:ascii="Times New Roman" w:hAnsi="Times New Roman" w:cs="Times New Roman"/>
          <w:b/>
          <w:bCs/>
          <w:color w:val="000000"/>
        </w:rPr>
      </w:pPr>
    </w:p>
    <w:p w14:paraId="4B05F0DF" w14:textId="77777777" w:rsidR="00B335EE" w:rsidRPr="00065986" w:rsidRDefault="002B493D" w:rsidP="00060871">
      <w:pPr>
        <w:pStyle w:val="ListParagraph"/>
        <w:numPr>
          <w:ilvl w:val="0"/>
          <w:numId w:val="6"/>
        </w:numPr>
        <w:spacing w:line="360" w:lineRule="auto"/>
        <w:ind w:hanging="540"/>
        <w:contextualSpacing/>
        <w:rPr>
          <w:rFonts w:ascii="Times New Roman" w:hAnsi="Times New Roman" w:cs="Times New Roman"/>
          <w:b/>
          <w:bCs/>
          <w:color w:val="000000"/>
        </w:rPr>
      </w:pPr>
      <w:r w:rsidRPr="00B335EE">
        <w:rPr>
          <w:rFonts w:ascii="Times New Roman" w:hAnsi="Times New Roman" w:cs="Times New Roman"/>
          <w:b/>
          <w:bCs/>
          <w:i/>
          <w:iCs/>
          <w:color w:val="000000"/>
          <w:u w:val="single"/>
        </w:rPr>
        <w:t xml:space="preserve">ON OR BEFORE </w:t>
      </w:r>
      <w:r w:rsidR="004A7EEA" w:rsidRPr="00B335EE">
        <w:rPr>
          <w:rFonts w:ascii="Times New Roman" w:hAnsi="Times New Roman" w:cs="Times New Roman"/>
          <w:b/>
          <w:bCs/>
          <w:i/>
          <w:iCs/>
          <w:color w:val="000000"/>
          <w:u w:val="single"/>
        </w:rPr>
        <w:t xml:space="preserve">February </w:t>
      </w:r>
      <w:r w:rsidR="00784817" w:rsidRPr="00B335EE">
        <w:rPr>
          <w:rFonts w:ascii="Times New Roman" w:hAnsi="Times New Roman" w:cs="Times New Roman"/>
          <w:b/>
          <w:bCs/>
          <w:i/>
          <w:iCs/>
          <w:color w:val="000000"/>
          <w:u w:val="single"/>
        </w:rPr>
        <w:t>9</w:t>
      </w:r>
      <w:r w:rsidRPr="00B335EE">
        <w:rPr>
          <w:rFonts w:ascii="Times New Roman" w:hAnsi="Times New Roman" w:cs="Times New Roman"/>
          <w:b/>
          <w:bCs/>
          <w:i/>
          <w:iCs/>
          <w:color w:val="000000"/>
          <w:u w:val="single"/>
        </w:rPr>
        <w:t>, 2024</w:t>
      </w:r>
      <w:r w:rsidRPr="00B335EE">
        <w:rPr>
          <w:rFonts w:ascii="Times New Roman" w:hAnsi="Times New Roman" w:cs="Times New Roman"/>
          <w:color w:val="000000"/>
        </w:rPr>
        <w:t>,</w:t>
      </w:r>
      <w:r w:rsidRPr="00B335EE">
        <w:rPr>
          <w:rFonts w:ascii="Times New Roman" w:hAnsi="Times New Roman" w:cs="Times New Roman"/>
          <w:b/>
          <w:bCs/>
          <w:color w:val="000000"/>
        </w:rPr>
        <w:t xml:space="preserve"> </w:t>
      </w:r>
      <w:r w:rsidRPr="00B335EE">
        <w:rPr>
          <w:rFonts w:ascii="Times New Roman" w:hAnsi="Times New Roman" w:cs="Times New Roman"/>
          <w:color w:val="000000"/>
        </w:rPr>
        <w:t xml:space="preserve">any Party wishing to present expert testimony (including but not limited to medical, technical, etc.) must provide to the other Party in writing, the name and </w:t>
      </w:r>
      <w:r w:rsidRPr="00B335EE">
        <w:rPr>
          <w:rFonts w:ascii="Times New Roman" w:hAnsi="Times New Roman" w:cs="Times New Roman"/>
          <w:color w:val="000000"/>
        </w:rPr>
        <w:lastRenderedPageBreak/>
        <w:t xml:space="preserve">business address of that expert </w:t>
      </w:r>
      <w:r w:rsidRPr="00B335EE">
        <w:rPr>
          <w:rFonts w:ascii="Times New Roman" w:hAnsi="Times New Roman" w:cs="Times New Roman"/>
          <w:color w:val="000000"/>
          <w:u w:val="single"/>
        </w:rPr>
        <w:t>and</w:t>
      </w:r>
      <w:r w:rsidRPr="00B335EE">
        <w:rPr>
          <w:rFonts w:ascii="Times New Roman" w:hAnsi="Times New Roman" w:cs="Times New Roman"/>
          <w:color w:val="000000"/>
        </w:rPr>
        <w:t xml:space="preserve"> a written summary of the expected testimony of that expert.  If no expert testimony will be presented, the Parties shall provide a writing to the opposing Party indicating this fact.</w:t>
      </w:r>
    </w:p>
    <w:p w14:paraId="3D7EC7E7" w14:textId="77777777" w:rsidR="00065986" w:rsidRPr="00065986" w:rsidRDefault="00065986" w:rsidP="00065986">
      <w:pPr>
        <w:spacing w:line="360" w:lineRule="auto"/>
        <w:contextualSpacing/>
        <w:rPr>
          <w:rFonts w:ascii="Times New Roman" w:hAnsi="Times New Roman" w:cs="Times New Roman"/>
          <w:b/>
          <w:bCs/>
          <w:color w:val="000000"/>
        </w:rPr>
      </w:pPr>
    </w:p>
    <w:p w14:paraId="089BE47B" w14:textId="77777777" w:rsidR="00B335EE" w:rsidRPr="005A1C5A" w:rsidRDefault="002B493D" w:rsidP="005A1C5A">
      <w:pPr>
        <w:pStyle w:val="ListParagraph"/>
        <w:numPr>
          <w:ilvl w:val="0"/>
          <w:numId w:val="6"/>
        </w:numPr>
        <w:spacing w:line="360" w:lineRule="auto"/>
        <w:contextualSpacing/>
        <w:rPr>
          <w:rFonts w:ascii="Times New Roman" w:hAnsi="Times New Roman" w:cs="Times New Roman"/>
          <w:b/>
          <w:bCs/>
          <w:color w:val="000000"/>
        </w:rPr>
      </w:pPr>
      <w:r w:rsidRPr="00B335EE">
        <w:rPr>
          <w:b/>
          <w:bCs/>
          <w:color w:val="000000"/>
          <w:u w:val="single"/>
        </w:rPr>
        <w:t>ON OR BEFORE</w:t>
      </w:r>
      <w:r w:rsidRPr="00B335EE">
        <w:rPr>
          <w:b/>
          <w:bCs/>
          <w:i/>
          <w:iCs/>
          <w:color w:val="000000"/>
          <w:u w:val="single"/>
        </w:rPr>
        <w:t xml:space="preserve"> </w:t>
      </w:r>
      <w:r w:rsidR="00DB3813" w:rsidRPr="00B335EE">
        <w:rPr>
          <w:b/>
          <w:bCs/>
          <w:i/>
          <w:iCs/>
          <w:color w:val="000000"/>
          <w:u w:val="single"/>
        </w:rPr>
        <w:t>March 1</w:t>
      </w:r>
      <w:r w:rsidR="00784817" w:rsidRPr="00B335EE">
        <w:rPr>
          <w:b/>
          <w:bCs/>
          <w:i/>
          <w:iCs/>
          <w:color w:val="000000"/>
          <w:u w:val="single"/>
        </w:rPr>
        <w:t>5</w:t>
      </w:r>
      <w:r w:rsidRPr="00B335EE">
        <w:rPr>
          <w:b/>
          <w:bCs/>
          <w:i/>
          <w:iCs/>
          <w:color w:val="000000"/>
          <w:u w:val="single"/>
        </w:rPr>
        <w:t>, 2024</w:t>
      </w:r>
      <w:r w:rsidRPr="00B335EE">
        <w:rPr>
          <w:color w:val="000000"/>
        </w:rPr>
        <w:t>,</w:t>
      </w:r>
      <w:r w:rsidRPr="00B335EE">
        <w:rPr>
          <w:b/>
          <w:bCs/>
          <w:color w:val="000000"/>
        </w:rPr>
        <w:t xml:space="preserve"> </w:t>
      </w:r>
      <w:r w:rsidRPr="00B335EE">
        <w:rPr>
          <w:bCs/>
          <w:color w:val="000000"/>
        </w:rPr>
        <w:t>the Parties shall conclude discovery in this proceeding.</w:t>
      </w:r>
    </w:p>
    <w:p w14:paraId="39188A93" w14:textId="77777777" w:rsidR="005A1C5A" w:rsidRPr="00B335EE" w:rsidRDefault="005A1C5A" w:rsidP="005A1C5A">
      <w:pPr>
        <w:pStyle w:val="ListParagraph"/>
        <w:spacing w:line="360" w:lineRule="auto"/>
        <w:ind w:left="2880"/>
        <w:contextualSpacing/>
        <w:rPr>
          <w:rFonts w:ascii="Times New Roman" w:hAnsi="Times New Roman" w:cs="Times New Roman"/>
          <w:b/>
          <w:bCs/>
          <w:color w:val="000000"/>
        </w:rPr>
      </w:pPr>
    </w:p>
    <w:p w14:paraId="04788247" w14:textId="00F85688" w:rsidR="00B335EE" w:rsidRPr="005A1C5A" w:rsidRDefault="002B493D" w:rsidP="005A1C5A">
      <w:pPr>
        <w:pStyle w:val="ListParagraph"/>
        <w:numPr>
          <w:ilvl w:val="0"/>
          <w:numId w:val="6"/>
        </w:numPr>
        <w:spacing w:line="360" w:lineRule="auto"/>
        <w:contextualSpacing/>
        <w:rPr>
          <w:rFonts w:ascii="Times New Roman" w:hAnsi="Times New Roman" w:cs="Times New Roman"/>
          <w:b/>
          <w:bCs/>
          <w:color w:val="000000"/>
        </w:rPr>
      </w:pPr>
      <w:r w:rsidRPr="00B335EE">
        <w:rPr>
          <w:b/>
          <w:bCs/>
          <w:color w:val="000000"/>
          <w:u w:val="single"/>
        </w:rPr>
        <w:t>ON OR BEFORE</w:t>
      </w:r>
      <w:r w:rsidRPr="00B335EE">
        <w:rPr>
          <w:b/>
          <w:bCs/>
          <w:i/>
          <w:iCs/>
          <w:color w:val="000000"/>
          <w:u w:val="single"/>
        </w:rPr>
        <w:t xml:space="preserve"> March </w:t>
      </w:r>
      <w:r w:rsidR="00784817" w:rsidRPr="00B335EE">
        <w:rPr>
          <w:b/>
          <w:bCs/>
          <w:i/>
          <w:iCs/>
          <w:color w:val="000000"/>
          <w:u w:val="single"/>
        </w:rPr>
        <w:t>22</w:t>
      </w:r>
      <w:r w:rsidRPr="00B335EE">
        <w:rPr>
          <w:b/>
          <w:bCs/>
          <w:i/>
          <w:iCs/>
          <w:color w:val="000000"/>
          <w:u w:val="single"/>
        </w:rPr>
        <w:t>, 2024</w:t>
      </w:r>
      <w:r w:rsidRPr="00B335EE">
        <w:rPr>
          <w:color w:val="000000"/>
        </w:rPr>
        <w:t>,</w:t>
      </w:r>
      <w:r w:rsidRPr="00B335EE">
        <w:rPr>
          <w:b/>
          <w:bCs/>
          <w:color w:val="000000"/>
        </w:rPr>
        <w:t xml:space="preserve"> (unless required to provide such documentation by Order or pursuant to Commission discovery or other regulations) </w:t>
      </w:r>
      <w:r w:rsidRPr="00B335EE">
        <w:rPr>
          <w:bCs/>
          <w:color w:val="000000"/>
        </w:rPr>
        <w:t xml:space="preserve">the Parties shall exchange expert reports for all experts the Parties intend to offer as witnesses in this proceeding, which shall include an identification of the specific materials </w:t>
      </w:r>
      <w:r w:rsidRPr="00D1694E">
        <w:t xml:space="preserve">or other documents upon which the witness will rely or reference, and setting forth the specific facts and opinions to which each such witness will testify.   The expert documentation shall include a current curriculum vitae of each expert and shall specifically comply with each and every requirement set forth in 52 </w:t>
      </w:r>
      <w:proofErr w:type="spellStart"/>
      <w:r w:rsidRPr="00D1694E">
        <w:t>Pa.Code</w:t>
      </w:r>
      <w:proofErr w:type="spellEnd"/>
      <w:r w:rsidRPr="00D1694E">
        <w:t xml:space="preserve"> </w:t>
      </w:r>
      <w:r w:rsidR="00A6076F">
        <w:t xml:space="preserve">§ </w:t>
      </w:r>
      <w:r w:rsidRPr="00D1694E">
        <w:t xml:space="preserve">5.324(a)(1)(ii). Each of the expert reports shall include the identity of each expert, the subject matter on which the expert is expected to testify, the substance of the facts and opinions to which the expert is expected to testify, and shall set forth the grounds for each opinion as it relates to the claims being advanced by the Party offering the testimony.  In the event that any Party should fail to provide timely, full and complete expert reports and documentation identified above and consistent with the provisions of this order and 52 </w:t>
      </w:r>
      <w:proofErr w:type="spellStart"/>
      <w:r w:rsidRPr="00D1694E">
        <w:t>Pa.Code</w:t>
      </w:r>
      <w:proofErr w:type="spellEnd"/>
      <w:r w:rsidRPr="00D1694E">
        <w:t xml:space="preserve"> </w:t>
      </w:r>
      <w:r w:rsidR="00A4553E">
        <w:t xml:space="preserve">§ </w:t>
      </w:r>
      <w:r w:rsidRPr="00D1694E">
        <w:t>5.324(a)(1)(ii) for any or all of the proposed expert witnesses identified in these ordering paragraphs, such proposed expert witnesses may be precluded from providing expert testimony in this proceeding.</w:t>
      </w:r>
    </w:p>
    <w:p w14:paraId="59394F4B" w14:textId="77777777" w:rsidR="005A1C5A" w:rsidRPr="00B335EE" w:rsidRDefault="005A1C5A" w:rsidP="005A1C5A">
      <w:pPr>
        <w:pStyle w:val="ListParagraph"/>
        <w:spacing w:line="360" w:lineRule="auto"/>
        <w:ind w:left="2880"/>
        <w:contextualSpacing/>
        <w:rPr>
          <w:rFonts w:ascii="Times New Roman" w:hAnsi="Times New Roman" w:cs="Times New Roman"/>
          <w:b/>
          <w:bCs/>
          <w:color w:val="000000"/>
        </w:rPr>
      </w:pPr>
    </w:p>
    <w:p w14:paraId="5633B9CB" w14:textId="41672B21" w:rsidR="00EA0B47" w:rsidRPr="00B335EE" w:rsidRDefault="002B493D" w:rsidP="005A1C5A">
      <w:pPr>
        <w:pStyle w:val="ListParagraph"/>
        <w:numPr>
          <w:ilvl w:val="0"/>
          <w:numId w:val="6"/>
        </w:numPr>
        <w:spacing w:line="360" w:lineRule="auto"/>
        <w:contextualSpacing/>
        <w:rPr>
          <w:rFonts w:ascii="Times New Roman" w:hAnsi="Times New Roman" w:cs="Times New Roman"/>
          <w:b/>
          <w:bCs/>
          <w:color w:val="000000"/>
        </w:rPr>
      </w:pPr>
      <w:r w:rsidRPr="00B335EE">
        <w:rPr>
          <w:b/>
          <w:bCs/>
          <w:color w:val="000000" w:themeColor="text1"/>
          <w:u w:val="single"/>
        </w:rPr>
        <w:lastRenderedPageBreak/>
        <w:t xml:space="preserve">ON OR BEFORE March </w:t>
      </w:r>
      <w:r w:rsidR="00880453" w:rsidRPr="00B335EE">
        <w:rPr>
          <w:b/>
          <w:bCs/>
          <w:color w:val="000000" w:themeColor="text1"/>
          <w:u w:val="single"/>
        </w:rPr>
        <w:t>22</w:t>
      </w:r>
      <w:r w:rsidRPr="00B335EE">
        <w:rPr>
          <w:b/>
          <w:bCs/>
          <w:color w:val="000000" w:themeColor="text1"/>
          <w:u w:val="single"/>
        </w:rPr>
        <w:t>, 2024</w:t>
      </w:r>
      <w:r w:rsidRPr="00B335EE">
        <w:rPr>
          <w:color w:val="000000" w:themeColor="text1"/>
        </w:rPr>
        <w:t>, the Parties shall file a status report in this proceeding and serve a copy upon the opposing Party and the undersigned Presiding Officer. In addition, prior to March 2</w:t>
      </w:r>
      <w:r w:rsidR="00E23398">
        <w:rPr>
          <w:color w:val="000000" w:themeColor="text1"/>
        </w:rPr>
        <w:t>2,</w:t>
      </w:r>
      <w:r w:rsidRPr="00B335EE">
        <w:rPr>
          <w:color w:val="000000" w:themeColor="text1"/>
        </w:rPr>
        <w:t xml:space="preserve"> 2024, the Parties shall confer in an attempt to agree upon </w:t>
      </w:r>
      <w:r w:rsidR="007B1B31">
        <w:rPr>
          <w:color w:val="000000" w:themeColor="text1"/>
        </w:rPr>
        <w:t xml:space="preserve">a </w:t>
      </w:r>
      <w:r w:rsidRPr="00B335EE">
        <w:rPr>
          <w:color w:val="000000" w:themeColor="text1"/>
        </w:rPr>
        <w:t xml:space="preserve">proposed </w:t>
      </w:r>
      <w:r w:rsidR="007B1B31">
        <w:rPr>
          <w:color w:val="000000" w:themeColor="text1"/>
        </w:rPr>
        <w:t>date</w:t>
      </w:r>
      <w:r w:rsidRPr="00B335EE">
        <w:rPr>
          <w:color w:val="000000" w:themeColor="text1"/>
        </w:rPr>
        <w:t xml:space="preserve"> for a hearing in this case to be held in May of 2024.  </w:t>
      </w:r>
      <w:r w:rsidRPr="00B335EE">
        <w:rPr>
          <w:b/>
          <w:bCs/>
        </w:rPr>
        <w:t xml:space="preserve"> </w:t>
      </w:r>
      <w:r>
        <w:t xml:space="preserve">The status report shall identify the agreed upon hearing date and whether the Parties are requesting a telephone or in-person hearing.  In the event the Parties are unable to agree upon a hearing date, the Parties, in their respective status reports, shall also identify all dates in which the </w:t>
      </w:r>
      <w:r w:rsidRPr="00B335EE">
        <w:rPr>
          <w:color w:val="000000" w:themeColor="text1"/>
        </w:rPr>
        <w:t xml:space="preserve">Parties and their witnesses will be able to provide testimony in this proceeding in May of 2024.  The Parties shall identify at least two different proposed hearing dates, in May of 2024.  </w:t>
      </w:r>
      <w:r>
        <w:t xml:space="preserve">Absent receipt of this information, a hearing date will be established by the undersigned Presiding Officer and the Parties and their witnesses will make themselves available at the scheduled date(s) and time(s).  </w:t>
      </w:r>
    </w:p>
    <w:p w14:paraId="281C1A4D" w14:textId="77777777" w:rsidR="00CD77F0" w:rsidRPr="00DA07F0" w:rsidRDefault="00CD77F0" w:rsidP="00CD77F0">
      <w:pPr>
        <w:spacing w:after="0" w:line="240" w:lineRule="auto"/>
        <w:ind w:left="2160"/>
        <w:rPr>
          <w:rFonts w:ascii="Times New Roman" w:hAnsi="Times New Roman" w:cs="Times New Roman"/>
          <w:sz w:val="24"/>
          <w:szCs w:val="24"/>
        </w:rPr>
      </w:pPr>
    </w:p>
    <w:p w14:paraId="60C373C6" w14:textId="63680B76" w:rsidR="00913839" w:rsidRDefault="00DA07F0" w:rsidP="00CD77F0">
      <w:pPr>
        <w:spacing w:after="0" w:line="36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w:t>
      </w:r>
      <w:r w:rsidR="00B335EE">
        <w:rPr>
          <w:rFonts w:ascii="Times New Roman" w:hAnsi="Times New Roman" w:cs="Times New Roman"/>
          <w:sz w:val="24"/>
          <w:szCs w:val="24"/>
        </w:rPr>
        <w:t>b</w:t>
      </w:r>
      <w:r w:rsidRPr="00DA07F0">
        <w:rPr>
          <w:rFonts w:ascii="Times New Roman" w:hAnsi="Times New Roman" w:cs="Times New Roman"/>
          <w:sz w:val="24"/>
          <w:szCs w:val="24"/>
        </w:rPr>
        <w:t xml:space="preserve">) </w:t>
      </w:r>
      <w:r w:rsidR="00644B33">
        <w:rPr>
          <w:rFonts w:ascii="Times New Roman" w:hAnsi="Times New Roman" w:cs="Times New Roman"/>
          <w:sz w:val="24"/>
          <w:szCs w:val="24"/>
        </w:rPr>
        <w:t xml:space="preserve"> </w:t>
      </w:r>
      <w:r w:rsidR="00B335EE">
        <w:rPr>
          <w:rFonts w:ascii="Times New Roman" w:hAnsi="Times New Roman" w:cs="Times New Roman"/>
          <w:sz w:val="24"/>
          <w:szCs w:val="24"/>
        </w:rPr>
        <w:tab/>
      </w:r>
      <w:r w:rsidR="00913839">
        <w:rPr>
          <w:rFonts w:ascii="Times New Roman" w:hAnsi="Times New Roman" w:cs="Times New Roman"/>
          <w:sz w:val="24"/>
          <w:szCs w:val="24"/>
        </w:rPr>
        <w:t>Any outstanding issues in this case.</w:t>
      </w:r>
    </w:p>
    <w:p w14:paraId="144DFACA" w14:textId="77777777" w:rsidR="00913839" w:rsidRDefault="00913839" w:rsidP="00CD77F0">
      <w:pPr>
        <w:spacing w:after="0" w:line="360" w:lineRule="auto"/>
        <w:ind w:left="1440" w:firstLine="720"/>
        <w:rPr>
          <w:rFonts w:ascii="Times New Roman" w:hAnsi="Times New Roman" w:cs="Times New Roman"/>
          <w:sz w:val="24"/>
          <w:szCs w:val="24"/>
        </w:rPr>
      </w:pPr>
    </w:p>
    <w:p w14:paraId="1E3E6853" w14:textId="144F621A" w:rsidR="00BD3343" w:rsidRDefault="00913839" w:rsidP="00CD77F0">
      <w:pPr>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w:t>
      </w:r>
      <w:r w:rsidR="00DA07F0" w:rsidRPr="00DA07F0">
        <w:rPr>
          <w:rFonts w:ascii="Times New Roman" w:hAnsi="Times New Roman" w:cs="Times New Roman"/>
          <w:sz w:val="24"/>
          <w:szCs w:val="24"/>
        </w:rPr>
        <w:t>ny other procedural matter either party would like to address.</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2D4909D7" w14:textId="707BC6D6" w:rsidR="00DA07F0" w:rsidRPr="00986A44" w:rsidRDefault="00DA07F0" w:rsidP="00DA07F0">
      <w:pPr>
        <w:pStyle w:val="ListParagraph"/>
        <w:numPr>
          <w:ilvl w:val="0"/>
          <w:numId w:val="5"/>
        </w:numPr>
        <w:tabs>
          <w:tab w:val="left" w:pos="2160"/>
        </w:tabs>
        <w:spacing w:line="360" w:lineRule="auto"/>
        <w:ind w:left="0" w:firstLine="1440"/>
        <w:rPr>
          <w:rFonts w:ascii="Times New Roman" w:hAnsi="Times New Roman" w:cs="Times New Roman"/>
        </w:rPr>
      </w:pPr>
      <w:r w:rsidRPr="00986A44">
        <w:rPr>
          <w:rFonts w:ascii="Times New Roman" w:hAnsi="Times New Roman" w:cs="Times New Roman"/>
        </w:rPr>
        <w:t xml:space="preserve">   </w:t>
      </w:r>
      <w:r w:rsidR="00F04A4A" w:rsidRPr="00986A44">
        <w:rPr>
          <w:rFonts w:ascii="Times New Roman" w:hAnsi="Times New Roman" w:cs="Times New Roman"/>
        </w:rPr>
        <w:t>That the parties are reminded it is the Commission’s policy to encourage settlements.  52 Pa. Code § 5.231(a).  The parties are urged to explore this possibility</w:t>
      </w:r>
      <w:r w:rsidRPr="00986A44">
        <w:rPr>
          <w:rFonts w:ascii="Times New Roman" w:hAnsi="Times New Roman" w:cs="Times New Roman"/>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1591959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w:t>
      </w:r>
      <w:r w:rsidR="00913839">
        <w:rPr>
          <w:rFonts w:ascii="Times New Roman" w:eastAsia="Times New Roman" w:hAnsi="Times New Roman" w:cs="Times New Roman"/>
          <w:sz w:val="24"/>
          <w:szCs w:val="24"/>
          <w:u w:val="single"/>
        </w:rPr>
        <w:t>5</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09974762"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D0618A">
        <w:rPr>
          <w:rFonts w:ascii="Times New Roman" w:eastAsia="Times New Roman" w:hAnsi="Times New Roman" w:cs="Times New Roman"/>
          <w:sz w:val="24"/>
          <w:szCs w:val="24"/>
        </w:rPr>
        <w:t>Alphonso Arnold III</w:t>
      </w:r>
    </w:p>
    <w:p w14:paraId="3D9E0C7E" w14:textId="7FADF867" w:rsidR="00A91597" w:rsidRDefault="00A91597"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w:t>
      </w:r>
      <w:r w:rsidR="00334FEA">
        <w:rPr>
          <w:rFonts w:ascii="Times New Roman" w:eastAsia="Times New Roman" w:hAnsi="Times New Roman" w:cs="Times New Roman"/>
          <w:sz w:val="24"/>
          <w:szCs w:val="24"/>
        </w:rPr>
        <w:t>e</w:t>
      </w:r>
    </w:p>
    <w:p w14:paraId="71BB5C51" w14:textId="77777777" w:rsidR="00F86A87" w:rsidRDefault="00F86A87"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F86A87" w:rsidSect="00F86A87">
          <w:footerReference w:type="default" r:id="rId8"/>
          <w:pgSz w:w="12240" w:h="15840"/>
          <w:pgMar w:top="1440" w:right="1440" w:bottom="1440" w:left="1440" w:header="720" w:footer="720" w:gutter="0"/>
          <w:cols w:space="720"/>
          <w:titlePg/>
          <w:docGrid w:linePitch="360"/>
        </w:sectPr>
      </w:pPr>
    </w:p>
    <w:p w14:paraId="0E34642C" w14:textId="77777777" w:rsidR="00F86A87" w:rsidRDefault="00F86A87" w:rsidP="00F86A8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C-2019-3007460 - DAVID MALONEY v. METROPOLITAN EDISON CO</w:t>
      </w:r>
    </w:p>
    <w:p w14:paraId="0AF391D4" w14:textId="77777777" w:rsidR="00F86A87" w:rsidRDefault="00F86A87" w:rsidP="00F86A87">
      <w:pPr>
        <w:rPr>
          <w:rFonts w:ascii="Microsoft Sans Serif" w:eastAsia="Microsoft Sans Serif" w:hAnsi="Microsoft Sans Serif" w:cs="Microsoft Sans Serif"/>
          <w:sz w:val="24"/>
        </w:rPr>
      </w:pPr>
      <w:r w:rsidRPr="00AD225A">
        <w:rPr>
          <w:rFonts w:ascii="Microsoft Sans Serif" w:eastAsia="Microsoft Sans Serif" w:hAnsi="Microsoft Sans Serif" w:cs="Microsoft Sans Serif"/>
          <w:bCs/>
          <w:i/>
          <w:iCs/>
          <w:sz w:val="20"/>
          <w:szCs w:val="20"/>
        </w:rPr>
        <w:t>Revised 11.20.2023</w:t>
      </w:r>
      <w:r w:rsidRPr="00AD225A">
        <w:rPr>
          <w:rFonts w:ascii="Microsoft Sans Serif" w:eastAsia="Microsoft Sans Serif" w:hAnsi="Microsoft Sans Serif" w:cs="Microsoft Sans Serif"/>
          <w:bCs/>
          <w:i/>
          <w:iCs/>
          <w:sz w:val="20"/>
          <w:szCs w:val="20"/>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MALONEY</w:t>
      </w:r>
      <w:r>
        <w:rPr>
          <w:rFonts w:ascii="Microsoft Sans Serif" w:eastAsia="Microsoft Sans Serif" w:hAnsi="Microsoft Sans Serif" w:cs="Microsoft Sans Serif"/>
          <w:sz w:val="24"/>
        </w:rPr>
        <w:cr/>
        <w:t>320 MERKLE RD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EA27DC">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EA27DC">
        <w:rPr>
          <w:rFonts w:ascii="Microsoft Sans Serif" w:eastAsia="Microsoft Sans Serif" w:hAnsi="Microsoft Sans Serif" w:cs="Microsoft Sans Serif"/>
          <w:b/>
          <w:bCs/>
          <w:sz w:val="24"/>
        </w:rPr>
        <w:t>256</w:t>
      </w:r>
      <w:r>
        <w:rPr>
          <w:rFonts w:ascii="Microsoft Sans Serif" w:eastAsia="Microsoft Sans Serif" w:hAnsi="Microsoft Sans Serif" w:cs="Microsoft Sans Serif"/>
          <w:b/>
          <w:bCs/>
          <w:sz w:val="24"/>
        </w:rPr>
        <w:t>.</w:t>
      </w:r>
      <w:r w:rsidRPr="00EA27DC">
        <w:rPr>
          <w:rFonts w:ascii="Microsoft Sans Serif" w:eastAsia="Microsoft Sans Serif" w:hAnsi="Microsoft Sans Serif" w:cs="Microsoft Sans Serif"/>
          <w:b/>
          <w:bCs/>
          <w:sz w:val="24"/>
        </w:rPr>
        <w:t>0794</w:t>
      </w:r>
      <w:r w:rsidRPr="00EA27DC">
        <w:rPr>
          <w:rFonts w:ascii="Microsoft Sans Serif" w:eastAsia="Microsoft Sans Serif" w:hAnsi="Microsoft Sans Serif" w:cs="Microsoft Sans Serif"/>
          <w:b/>
          <w:bCs/>
          <w:sz w:val="24"/>
        </w:rPr>
        <w:cr/>
      </w:r>
      <w:r w:rsidRPr="00EA27DC">
        <w:rPr>
          <w:rFonts w:ascii="Microsoft Sans Serif" w:eastAsia="Microsoft Sans Serif" w:hAnsi="Microsoft Sans Serif" w:cs="Microsoft Sans Serif"/>
          <w:i/>
          <w:iCs/>
          <w:sz w:val="24"/>
        </w:rPr>
        <w:t xml:space="preserve">Served via first class </w:t>
      </w:r>
      <w:proofErr w:type="gramStart"/>
      <w:r w:rsidRPr="00EA27DC">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3D2E1B14" w14:textId="77777777" w:rsidR="00F86A87" w:rsidRDefault="00F86A87" w:rsidP="00F86A8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LAUREN LEPKOSKI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EA27DC">
        <w:rPr>
          <w:rFonts w:ascii="Microsoft Sans Serif" w:eastAsia="Microsoft Sans Serif" w:hAnsi="Microsoft Sans Serif" w:cs="Microsoft Sans Serif"/>
          <w:b/>
          <w:bCs/>
          <w:sz w:val="24"/>
        </w:rPr>
        <w:t>610.921.6658</w:t>
      </w:r>
      <w:r w:rsidRPr="00EA27DC">
        <w:rPr>
          <w:rFonts w:ascii="Microsoft Sans Serif" w:eastAsia="Microsoft Sans Serif" w:hAnsi="Microsoft Sans Serif" w:cs="Microsoft Sans Serif"/>
          <w:b/>
          <w:bCs/>
          <w:sz w:val="24"/>
        </w:rPr>
        <w:cr/>
        <w:t>610.921.6203</w:t>
      </w:r>
      <w:r w:rsidRPr="00EA27DC">
        <w:rPr>
          <w:rFonts w:ascii="Microsoft Sans Serif" w:eastAsia="Microsoft Sans Serif" w:hAnsi="Microsoft Sans Serif" w:cs="Microsoft Sans Serif"/>
          <w:b/>
          <w:bCs/>
          <w:sz w:val="24"/>
        </w:rPr>
        <w:cr/>
      </w:r>
      <w:hyperlink r:id="rId9" w:history="1">
        <w:r w:rsidRPr="00E20683">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0" w:history="1">
        <w:r w:rsidRPr="00E20683">
          <w:rPr>
            <w:rStyle w:val="Hyperlink"/>
            <w:rFonts w:ascii="Microsoft Sans Serif" w:eastAsia="Microsoft Sans Serif" w:hAnsi="Microsoft Sans Serif" w:cs="Microsoft Sans Serif"/>
            <w:sz w:val="24"/>
          </w:rPr>
          <w:t>llepkoski@firstenergycorp.com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1DD09C7" w14:textId="77777777" w:rsidR="00F86A87" w:rsidRPr="00DA07F0" w:rsidRDefault="00F86A87"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F86A87" w:rsidRPr="00DA07F0" w:rsidSect="00F86A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C436" w14:textId="77777777" w:rsidR="001E47A8" w:rsidRDefault="001E47A8" w:rsidP="00DC6465">
      <w:pPr>
        <w:spacing w:after="0" w:line="240" w:lineRule="auto"/>
      </w:pPr>
      <w:r>
        <w:separator/>
      </w:r>
    </w:p>
  </w:endnote>
  <w:endnote w:type="continuationSeparator" w:id="0">
    <w:p w14:paraId="469E521B" w14:textId="77777777" w:rsidR="001E47A8" w:rsidRDefault="001E47A8"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758216"/>
      <w:docPartObj>
        <w:docPartGallery w:val="Page Numbers (Bottom of Page)"/>
        <w:docPartUnique/>
      </w:docPartObj>
    </w:sdtPr>
    <w:sdtEndPr>
      <w:rPr>
        <w:rFonts w:ascii="Times New Roman" w:hAnsi="Times New Roman" w:cs="Times New Roman"/>
        <w:noProof/>
        <w:sz w:val="20"/>
        <w:szCs w:val="20"/>
      </w:rPr>
    </w:sdtEndPr>
    <w:sdtContent>
      <w:p w14:paraId="4EB95BF5" w14:textId="410DF488" w:rsidR="00F86A87" w:rsidRPr="00F86A87" w:rsidRDefault="00F86A87">
        <w:pPr>
          <w:pStyle w:val="Footer"/>
          <w:jc w:val="center"/>
          <w:rPr>
            <w:rFonts w:ascii="Times New Roman" w:hAnsi="Times New Roman" w:cs="Times New Roman"/>
            <w:sz w:val="20"/>
            <w:szCs w:val="20"/>
          </w:rPr>
        </w:pPr>
        <w:r w:rsidRPr="00F86A87">
          <w:rPr>
            <w:rFonts w:ascii="Times New Roman" w:hAnsi="Times New Roman" w:cs="Times New Roman"/>
            <w:sz w:val="20"/>
            <w:szCs w:val="20"/>
          </w:rPr>
          <w:fldChar w:fldCharType="begin"/>
        </w:r>
        <w:r w:rsidRPr="00F86A87">
          <w:rPr>
            <w:rFonts w:ascii="Times New Roman" w:hAnsi="Times New Roman" w:cs="Times New Roman"/>
            <w:sz w:val="20"/>
            <w:szCs w:val="20"/>
          </w:rPr>
          <w:instrText xml:space="preserve"> PAGE   \* MERGEFORMAT </w:instrText>
        </w:r>
        <w:r w:rsidRPr="00F86A87">
          <w:rPr>
            <w:rFonts w:ascii="Times New Roman" w:hAnsi="Times New Roman" w:cs="Times New Roman"/>
            <w:sz w:val="20"/>
            <w:szCs w:val="20"/>
          </w:rPr>
          <w:fldChar w:fldCharType="separate"/>
        </w:r>
        <w:r w:rsidRPr="00F86A87">
          <w:rPr>
            <w:rFonts w:ascii="Times New Roman" w:hAnsi="Times New Roman" w:cs="Times New Roman"/>
            <w:noProof/>
            <w:sz w:val="20"/>
            <w:szCs w:val="20"/>
          </w:rPr>
          <w:t>2</w:t>
        </w:r>
        <w:r w:rsidRPr="00F86A8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6755" w14:textId="77777777" w:rsidR="001E47A8" w:rsidRDefault="001E47A8" w:rsidP="00DC6465">
      <w:pPr>
        <w:spacing w:after="0" w:line="240" w:lineRule="auto"/>
      </w:pPr>
      <w:r>
        <w:separator/>
      </w:r>
    </w:p>
  </w:footnote>
  <w:footnote w:type="continuationSeparator" w:id="0">
    <w:p w14:paraId="5A60D74C" w14:textId="77777777" w:rsidR="001E47A8" w:rsidRDefault="001E47A8" w:rsidP="00DC6465">
      <w:pPr>
        <w:spacing w:after="0" w:line="240" w:lineRule="auto"/>
      </w:pPr>
      <w:r>
        <w:continuationSeparator/>
      </w:r>
    </w:p>
  </w:footnote>
  <w:footnote w:id="1">
    <w:p w14:paraId="20B222C2" w14:textId="77777777" w:rsidR="00F267AB" w:rsidRPr="00E34076" w:rsidRDefault="00F267AB" w:rsidP="00F267AB">
      <w:pPr>
        <w:pStyle w:val="FootnoteText"/>
        <w:rPr>
          <w:rFonts w:ascii="Times New Roman" w:hAnsi="Times New Roman" w:cs="Times New Roman"/>
        </w:rPr>
      </w:pPr>
      <w:r w:rsidRPr="00E34076">
        <w:rPr>
          <w:rFonts w:ascii="Times New Roman" w:hAnsi="Times New Roman" w:cs="Times New Roman"/>
          <w:color w:val="000000" w:themeColor="text1"/>
        </w:rPr>
        <w:tab/>
      </w:r>
      <w:r w:rsidRPr="00E34076">
        <w:rPr>
          <w:rStyle w:val="FootnoteReference"/>
          <w:rFonts w:ascii="Times New Roman" w:hAnsi="Times New Roman" w:cs="Times New Roman"/>
          <w:color w:val="000000" w:themeColor="text1"/>
        </w:rPr>
        <w:footnoteRef/>
      </w:r>
      <w:r w:rsidRPr="00E34076">
        <w:rPr>
          <w:rFonts w:ascii="Times New Roman" w:hAnsi="Times New Roman" w:cs="Times New Roman"/>
          <w:color w:val="000000" w:themeColor="text1"/>
        </w:rPr>
        <w:t xml:space="preserve"> </w:t>
      </w:r>
      <w:r w:rsidRPr="00E34076">
        <w:rPr>
          <w:rFonts w:ascii="Times New Roman" w:hAnsi="Times New Roman" w:cs="Times New Roman"/>
          <w:color w:val="000000" w:themeColor="text1"/>
        </w:rPr>
        <w:tab/>
      </w:r>
      <w:r w:rsidRPr="00E34076">
        <w:rPr>
          <w:rFonts w:ascii="Times New Roman" w:hAnsi="Times New Roman" w:cs="Times New Roman"/>
          <w:i/>
          <w:iCs/>
          <w:color w:val="000000" w:themeColor="text1"/>
        </w:rPr>
        <w:t>See Hoffman-Lorah v. Pa. Pub. Util. Comm’n</w:t>
      </w:r>
      <w:r w:rsidRPr="00E34076">
        <w:rPr>
          <w:rFonts w:ascii="Times New Roman" w:hAnsi="Times New Roman" w:cs="Times New Roman"/>
          <w:color w:val="000000" w:themeColor="text1"/>
        </w:rPr>
        <w:t xml:space="preserve">, 2023 Pa. </w:t>
      </w:r>
      <w:proofErr w:type="spellStart"/>
      <w:r w:rsidRPr="00E34076">
        <w:rPr>
          <w:rFonts w:ascii="Times New Roman" w:hAnsi="Times New Roman" w:cs="Times New Roman"/>
          <w:color w:val="000000" w:themeColor="text1"/>
        </w:rPr>
        <w:t>Cmwlth</w:t>
      </w:r>
      <w:proofErr w:type="spellEnd"/>
      <w:r w:rsidRPr="00E34076">
        <w:rPr>
          <w:rFonts w:ascii="Times New Roman" w:hAnsi="Times New Roman" w:cs="Times New Roman"/>
          <w:color w:val="000000" w:themeColor="text1"/>
        </w:rPr>
        <w:t xml:space="preserve">. </w:t>
      </w:r>
      <w:proofErr w:type="spellStart"/>
      <w:r w:rsidRPr="00E34076">
        <w:rPr>
          <w:rFonts w:ascii="Times New Roman" w:hAnsi="Times New Roman" w:cs="Times New Roman"/>
          <w:color w:val="000000" w:themeColor="text1"/>
        </w:rPr>
        <w:t>Unpub</w:t>
      </w:r>
      <w:proofErr w:type="spellEnd"/>
      <w:r w:rsidRPr="00E34076">
        <w:rPr>
          <w:rFonts w:ascii="Times New Roman" w:hAnsi="Times New Roman" w:cs="Times New Roman"/>
          <w:color w:val="000000" w:themeColor="text1"/>
        </w:rPr>
        <w:t xml:space="preserve">. LEXIS 325, 2023, WL 4144399; </w:t>
      </w:r>
      <w:r w:rsidRPr="00E34076">
        <w:rPr>
          <w:rFonts w:ascii="Times New Roman" w:hAnsi="Times New Roman" w:cs="Times New Roman"/>
          <w:i/>
          <w:iCs/>
          <w:color w:val="000000" w:themeColor="text1"/>
        </w:rPr>
        <w:t>Branagh v. Pa. Pub. Util. Comm’n</w:t>
      </w:r>
      <w:r w:rsidRPr="00E34076">
        <w:rPr>
          <w:rFonts w:ascii="Times New Roman" w:hAnsi="Times New Roman" w:cs="Times New Roman"/>
          <w:color w:val="000000" w:themeColor="text1"/>
        </w:rPr>
        <w:t xml:space="preserve">, 2023 Pa. </w:t>
      </w:r>
      <w:proofErr w:type="spellStart"/>
      <w:r w:rsidRPr="00E34076">
        <w:rPr>
          <w:rFonts w:ascii="Times New Roman" w:hAnsi="Times New Roman" w:cs="Times New Roman"/>
          <w:color w:val="000000" w:themeColor="text1"/>
        </w:rPr>
        <w:t>Cmwlth</w:t>
      </w:r>
      <w:proofErr w:type="spellEnd"/>
      <w:r w:rsidRPr="00E34076">
        <w:rPr>
          <w:rFonts w:ascii="Times New Roman" w:hAnsi="Times New Roman" w:cs="Times New Roman"/>
          <w:color w:val="000000" w:themeColor="text1"/>
        </w:rPr>
        <w:t xml:space="preserve">. </w:t>
      </w:r>
      <w:proofErr w:type="spellStart"/>
      <w:r w:rsidRPr="00E34076">
        <w:rPr>
          <w:rFonts w:ascii="Times New Roman" w:hAnsi="Times New Roman" w:cs="Times New Roman"/>
          <w:color w:val="000000" w:themeColor="text1"/>
        </w:rPr>
        <w:t>Unpub</w:t>
      </w:r>
      <w:proofErr w:type="spellEnd"/>
      <w:r w:rsidRPr="00E34076">
        <w:rPr>
          <w:rFonts w:ascii="Times New Roman" w:hAnsi="Times New Roman" w:cs="Times New Roman"/>
          <w:color w:val="000000" w:themeColor="text1"/>
        </w:rPr>
        <w:t xml:space="preserve">. LEXIS 352, 2023, WL 4363414; </w:t>
      </w:r>
      <w:r w:rsidRPr="00E34076">
        <w:rPr>
          <w:rFonts w:ascii="Times New Roman" w:hAnsi="Times New Roman" w:cs="Times New Roman"/>
          <w:i/>
          <w:iCs/>
          <w:color w:val="000000" w:themeColor="text1"/>
        </w:rPr>
        <w:t>Hess v. Pa. Pub. Util. Comm’n</w:t>
      </w:r>
      <w:r w:rsidRPr="00E34076">
        <w:rPr>
          <w:rFonts w:ascii="Times New Roman" w:hAnsi="Times New Roman" w:cs="Times New Roman"/>
          <w:color w:val="000000" w:themeColor="text1"/>
        </w:rPr>
        <w:t xml:space="preserve">, 2023 Pa. </w:t>
      </w:r>
      <w:proofErr w:type="spellStart"/>
      <w:r w:rsidRPr="00E34076">
        <w:rPr>
          <w:rFonts w:ascii="Times New Roman" w:hAnsi="Times New Roman" w:cs="Times New Roman"/>
          <w:color w:val="000000" w:themeColor="text1"/>
        </w:rPr>
        <w:t>Cmwlth</w:t>
      </w:r>
      <w:proofErr w:type="spellEnd"/>
      <w:r w:rsidRPr="00E34076">
        <w:rPr>
          <w:rFonts w:ascii="Times New Roman" w:hAnsi="Times New Roman" w:cs="Times New Roman"/>
          <w:color w:val="000000" w:themeColor="text1"/>
        </w:rPr>
        <w:t xml:space="preserve">. </w:t>
      </w:r>
      <w:proofErr w:type="spellStart"/>
      <w:r w:rsidRPr="00E34076">
        <w:rPr>
          <w:rFonts w:ascii="Times New Roman" w:hAnsi="Times New Roman" w:cs="Times New Roman"/>
          <w:color w:val="000000" w:themeColor="text1"/>
        </w:rPr>
        <w:t>Unpub</w:t>
      </w:r>
      <w:proofErr w:type="spellEnd"/>
      <w:r w:rsidRPr="00E34076">
        <w:rPr>
          <w:rFonts w:ascii="Times New Roman" w:hAnsi="Times New Roman" w:cs="Times New Roman"/>
          <w:color w:val="000000" w:themeColor="text1"/>
        </w:rPr>
        <w:t xml:space="preserve">. LEXIS 371, 2023, WL 4540460; </w:t>
      </w:r>
      <w:r w:rsidRPr="00E34076">
        <w:rPr>
          <w:rFonts w:ascii="Times New Roman" w:hAnsi="Times New Roman" w:cs="Times New Roman"/>
          <w:i/>
          <w:iCs/>
          <w:color w:val="000000" w:themeColor="text1"/>
        </w:rPr>
        <w:t>Mary Paul v. Pa. Pub. Util. Comm’n,</w:t>
      </w:r>
      <w:r w:rsidRPr="00E34076">
        <w:rPr>
          <w:rFonts w:ascii="Times New Roman" w:hAnsi="Times New Roman" w:cs="Times New Roman"/>
          <w:color w:val="000000" w:themeColor="text1"/>
        </w:rPr>
        <w:t xml:space="preserve"> No. 460 C.D. 2019, 2023 Pa. </w:t>
      </w:r>
      <w:proofErr w:type="spellStart"/>
      <w:r w:rsidRPr="00E34076">
        <w:rPr>
          <w:rFonts w:ascii="Times New Roman" w:hAnsi="Times New Roman" w:cs="Times New Roman"/>
          <w:color w:val="000000" w:themeColor="text1"/>
        </w:rPr>
        <w:t>Cmwlth</w:t>
      </w:r>
      <w:proofErr w:type="spellEnd"/>
      <w:r w:rsidRPr="00E34076">
        <w:rPr>
          <w:rFonts w:ascii="Times New Roman" w:hAnsi="Times New Roman" w:cs="Times New Roman"/>
          <w:color w:val="000000" w:themeColor="text1"/>
        </w:rPr>
        <w:t xml:space="preserve">. LEXIS 113; </w:t>
      </w:r>
      <w:r w:rsidRPr="00E34076">
        <w:rPr>
          <w:rFonts w:ascii="Times New Roman" w:hAnsi="Times New Roman" w:cs="Times New Roman"/>
          <w:i/>
          <w:iCs/>
          <w:color w:val="000000" w:themeColor="text1"/>
        </w:rPr>
        <w:t>Schmukler v. Pa. Pub. Util. Comm’n</w:t>
      </w:r>
      <w:r w:rsidRPr="00E34076">
        <w:rPr>
          <w:rFonts w:ascii="Times New Roman" w:hAnsi="Times New Roman" w:cs="Times New Roman"/>
          <w:color w:val="000000" w:themeColor="text1"/>
        </w:rPr>
        <w:t xml:space="preserve">, No. 1102 C.D. 2019, 2023 Pa. </w:t>
      </w:r>
      <w:proofErr w:type="spellStart"/>
      <w:r w:rsidRPr="00E34076">
        <w:rPr>
          <w:rFonts w:ascii="Times New Roman" w:hAnsi="Times New Roman" w:cs="Times New Roman"/>
          <w:color w:val="000000" w:themeColor="text1"/>
        </w:rPr>
        <w:t>Commw</w:t>
      </w:r>
      <w:proofErr w:type="spellEnd"/>
      <w:r w:rsidRPr="00E34076">
        <w:rPr>
          <w:rFonts w:ascii="Times New Roman" w:hAnsi="Times New Roman" w:cs="Times New Roman"/>
          <w:color w:val="000000" w:themeColor="text1"/>
        </w:rPr>
        <w:t xml:space="preserve">. LEXIS 136. The following smart meter appeals were dismissed by the Commonwealth Court on procedural grounds: </w:t>
      </w:r>
      <w:r w:rsidRPr="00E34076">
        <w:rPr>
          <w:rFonts w:ascii="Times New Roman" w:hAnsi="Times New Roman" w:cs="Times New Roman"/>
          <w:i/>
          <w:iCs/>
          <w:color w:val="000000" w:themeColor="text1"/>
        </w:rPr>
        <w:t>Sunstein v. Pa. Pub. Util. Comm’n</w:t>
      </w:r>
      <w:r w:rsidRPr="00E34076">
        <w:rPr>
          <w:rFonts w:ascii="Times New Roman" w:hAnsi="Times New Roman" w:cs="Times New Roman"/>
          <w:color w:val="000000" w:themeColor="text1"/>
        </w:rPr>
        <w:t xml:space="preserve">, No. 1581 C.D. 2019; </w:t>
      </w:r>
      <w:r w:rsidRPr="00E34076">
        <w:rPr>
          <w:rFonts w:ascii="Times New Roman" w:hAnsi="Times New Roman" w:cs="Times New Roman"/>
          <w:i/>
          <w:iCs/>
          <w:color w:val="000000" w:themeColor="text1"/>
        </w:rPr>
        <w:t>Ulmer v. Pa. Pub. Util. Comm’n</w:t>
      </w:r>
      <w:r w:rsidRPr="00E34076">
        <w:rPr>
          <w:rFonts w:ascii="Times New Roman" w:hAnsi="Times New Roman" w:cs="Times New Roman"/>
          <w:color w:val="000000" w:themeColor="text1"/>
        </w:rPr>
        <w:t xml:space="preserve">, No. 967 C.D. 2020; and </w:t>
      </w:r>
      <w:r w:rsidRPr="00E34076">
        <w:rPr>
          <w:rFonts w:ascii="Times New Roman" w:hAnsi="Times New Roman" w:cs="Times New Roman"/>
          <w:i/>
          <w:iCs/>
          <w:color w:val="000000" w:themeColor="text1"/>
        </w:rPr>
        <w:t>Lucey v. Pa. Pub. Util. Comm’n</w:t>
      </w:r>
      <w:r w:rsidRPr="00E34076">
        <w:rPr>
          <w:rFonts w:ascii="Times New Roman" w:hAnsi="Times New Roman" w:cs="Times New Roman"/>
          <w:color w:val="000000" w:themeColor="text1"/>
        </w:rPr>
        <w:t>, No. 1212 C.D.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26D1272"/>
    <w:multiLevelType w:val="hybridMultilevel"/>
    <w:tmpl w:val="C6821E4A"/>
    <w:lvl w:ilvl="0" w:tplc="0409001B">
      <w:start w:val="1"/>
      <w:numFmt w:val="lowerRoman"/>
      <w:lvlText w:val="%1."/>
      <w:lvlJc w:val="right"/>
      <w:pPr>
        <w:ind w:left="2880" w:hanging="72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34D92C67"/>
    <w:multiLevelType w:val="hybridMultilevel"/>
    <w:tmpl w:val="28BE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40ABA"/>
    <w:multiLevelType w:val="hybridMultilevel"/>
    <w:tmpl w:val="28E8B4EA"/>
    <w:lvl w:ilvl="0" w:tplc="840E8D38">
      <w:start w:val="1"/>
      <w:numFmt w:val="decimal"/>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255F9F"/>
    <w:multiLevelType w:val="hybridMultilevel"/>
    <w:tmpl w:val="BE60DBC2"/>
    <w:lvl w:ilvl="0" w:tplc="753E5AE0">
      <w:start w:val="3"/>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83610D3"/>
    <w:multiLevelType w:val="hybridMultilevel"/>
    <w:tmpl w:val="98986B24"/>
    <w:lvl w:ilvl="0" w:tplc="C19AE116">
      <w:start w:val="5"/>
      <w:numFmt w:val="decimal"/>
      <w:lvlText w:val="%1"/>
      <w:lvlJc w:val="left"/>
      <w:pPr>
        <w:ind w:left="1800" w:hanging="360"/>
      </w:pPr>
      <w:rPr>
        <w:rFonts w:hint="default"/>
        <w:b/>
        <w:i/>
        <w:color w:val="00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7514418">
    <w:abstractNumId w:val="5"/>
  </w:num>
  <w:num w:numId="2" w16cid:durableId="1715151845">
    <w:abstractNumId w:val="4"/>
  </w:num>
  <w:num w:numId="3" w16cid:durableId="495608367">
    <w:abstractNumId w:val="6"/>
  </w:num>
  <w:num w:numId="4" w16cid:durableId="1238511927">
    <w:abstractNumId w:val="3"/>
  </w:num>
  <w:num w:numId="5" w16cid:durableId="1859463878">
    <w:abstractNumId w:val="2"/>
  </w:num>
  <w:num w:numId="6" w16cid:durableId="1484077138">
    <w:abstractNumId w:val="1"/>
  </w:num>
  <w:num w:numId="7" w16cid:durableId="115259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20A25"/>
    <w:rsid w:val="00045B43"/>
    <w:rsid w:val="00045F72"/>
    <w:rsid w:val="000460E0"/>
    <w:rsid w:val="000532E3"/>
    <w:rsid w:val="0005540C"/>
    <w:rsid w:val="0005648F"/>
    <w:rsid w:val="00060871"/>
    <w:rsid w:val="00060991"/>
    <w:rsid w:val="00062345"/>
    <w:rsid w:val="00065986"/>
    <w:rsid w:val="000864A0"/>
    <w:rsid w:val="000A1A67"/>
    <w:rsid w:val="000A5B7E"/>
    <w:rsid w:val="000B3D4E"/>
    <w:rsid w:val="000B539D"/>
    <w:rsid w:val="000E2075"/>
    <w:rsid w:val="000E4900"/>
    <w:rsid w:val="000E5693"/>
    <w:rsid w:val="001003C3"/>
    <w:rsid w:val="001061A1"/>
    <w:rsid w:val="00107CF8"/>
    <w:rsid w:val="001C409E"/>
    <w:rsid w:val="001E47A8"/>
    <w:rsid w:val="001F099A"/>
    <w:rsid w:val="00200FEF"/>
    <w:rsid w:val="002048AD"/>
    <w:rsid w:val="00226D94"/>
    <w:rsid w:val="002431D5"/>
    <w:rsid w:val="0024494A"/>
    <w:rsid w:val="00250120"/>
    <w:rsid w:val="002703B1"/>
    <w:rsid w:val="002733FC"/>
    <w:rsid w:val="00277B79"/>
    <w:rsid w:val="00287519"/>
    <w:rsid w:val="002A04D0"/>
    <w:rsid w:val="002B493D"/>
    <w:rsid w:val="002B6040"/>
    <w:rsid w:val="002C1C9D"/>
    <w:rsid w:val="002C7125"/>
    <w:rsid w:val="002D2009"/>
    <w:rsid w:val="002E42CE"/>
    <w:rsid w:val="002F1EC4"/>
    <w:rsid w:val="002F4EBB"/>
    <w:rsid w:val="0031523F"/>
    <w:rsid w:val="00334FEA"/>
    <w:rsid w:val="00340D95"/>
    <w:rsid w:val="003427A9"/>
    <w:rsid w:val="00354080"/>
    <w:rsid w:val="00356124"/>
    <w:rsid w:val="00356726"/>
    <w:rsid w:val="003964B5"/>
    <w:rsid w:val="003D7F5D"/>
    <w:rsid w:val="003F1F8D"/>
    <w:rsid w:val="00405C29"/>
    <w:rsid w:val="00443A0A"/>
    <w:rsid w:val="00457B8F"/>
    <w:rsid w:val="004676A8"/>
    <w:rsid w:val="004678A5"/>
    <w:rsid w:val="00485DC5"/>
    <w:rsid w:val="004A1045"/>
    <w:rsid w:val="004A5C85"/>
    <w:rsid w:val="004A7EEA"/>
    <w:rsid w:val="004C6075"/>
    <w:rsid w:val="004F4EE2"/>
    <w:rsid w:val="004F75D4"/>
    <w:rsid w:val="005234C8"/>
    <w:rsid w:val="00533342"/>
    <w:rsid w:val="00536B60"/>
    <w:rsid w:val="0054063C"/>
    <w:rsid w:val="005455F5"/>
    <w:rsid w:val="0058795B"/>
    <w:rsid w:val="005902C2"/>
    <w:rsid w:val="005A1C5A"/>
    <w:rsid w:val="005A1E20"/>
    <w:rsid w:val="005B220E"/>
    <w:rsid w:val="005E24D5"/>
    <w:rsid w:val="005F0579"/>
    <w:rsid w:val="0061300A"/>
    <w:rsid w:val="00630170"/>
    <w:rsid w:val="00632A3E"/>
    <w:rsid w:val="00644B33"/>
    <w:rsid w:val="00672D39"/>
    <w:rsid w:val="00672D7B"/>
    <w:rsid w:val="00687033"/>
    <w:rsid w:val="006914D8"/>
    <w:rsid w:val="006E0D53"/>
    <w:rsid w:val="006F003E"/>
    <w:rsid w:val="006F2AC0"/>
    <w:rsid w:val="006F2CE2"/>
    <w:rsid w:val="0070633B"/>
    <w:rsid w:val="00711E74"/>
    <w:rsid w:val="00724146"/>
    <w:rsid w:val="00747D2D"/>
    <w:rsid w:val="00747D73"/>
    <w:rsid w:val="0075370D"/>
    <w:rsid w:val="00784817"/>
    <w:rsid w:val="007A0999"/>
    <w:rsid w:val="007B1B31"/>
    <w:rsid w:val="007B5C79"/>
    <w:rsid w:val="007C1C10"/>
    <w:rsid w:val="007E2006"/>
    <w:rsid w:val="007E46D6"/>
    <w:rsid w:val="00812BC6"/>
    <w:rsid w:val="00822F25"/>
    <w:rsid w:val="0082409C"/>
    <w:rsid w:val="008477CB"/>
    <w:rsid w:val="00864E9A"/>
    <w:rsid w:val="00872CC1"/>
    <w:rsid w:val="00872DEE"/>
    <w:rsid w:val="00875468"/>
    <w:rsid w:val="00880453"/>
    <w:rsid w:val="008B25A5"/>
    <w:rsid w:val="008B432E"/>
    <w:rsid w:val="008C2288"/>
    <w:rsid w:val="008C2432"/>
    <w:rsid w:val="008E09F5"/>
    <w:rsid w:val="008F213E"/>
    <w:rsid w:val="00913839"/>
    <w:rsid w:val="00915777"/>
    <w:rsid w:val="009545B2"/>
    <w:rsid w:val="009627C9"/>
    <w:rsid w:val="00986A44"/>
    <w:rsid w:val="009A4E22"/>
    <w:rsid w:val="009B01C3"/>
    <w:rsid w:val="009C0092"/>
    <w:rsid w:val="009C4445"/>
    <w:rsid w:val="009C55F5"/>
    <w:rsid w:val="009E011E"/>
    <w:rsid w:val="009E5BFC"/>
    <w:rsid w:val="009E5C16"/>
    <w:rsid w:val="009F0467"/>
    <w:rsid w:val="009F7579"/>
    <w:rsid w:val="009F762C"/>
    <w:rsid w:val="00A05554"/>
    <w:rsid w:val="00A14E26"/>
    <w:rsid w:val="00A4553E"/>
    <w:rsid w:val="00A6076F"/>
    <w:rsid w:val="00A66F7E"/>
    <w:rsid w:val="00A840C3"/>
    <w:rsid w:val="00A91597"/>
    <w:rsid w:val="00AA54DA"/>
    <w:rsid w:val="00AB3416"/>
    <w:rsid w:val="00AF0311"/>
    <w:rsid w:val="00B05446"/>
    <w:rsid w:val="00B07DDD"/>
    <w:rsid w:val="00B335EE"/>
    <w:rsid w:val="00B34CD8"/>
    <w:rsid w:val="00B359A2"/>
    <w:rsid w:val="00B40DF4"/>
    <w:rsid w:val="00B57454"/>
    <w:rsid w:val="00B73457"/>
    <w:rsid w:val="00B73AFA"/>
    <w:rsid w:val="00B878AA"/>
    <w:rsid w:val="00B94872"/>
    <w:rsid w:val="00BC09FC"/>
    <w:rsid w:val="00BC2CFC"/>
    <w:rsid w:val="00BC4FBE"/>
    <w:rsid w:val="00BC5DBB"/>
    <w:rsid w:val="00BD3343"/>
    <w:rsid w:val="00BD763C"/>
    <w:rsid w:val="00BE66D7"/>
    <w:rsid w:val="00BE6D6F"/>
    <w:rsid w:val="00C06BA6"/>
    <w:rsid w:val="00C427F9"/>
    <w:rsid w:val="00C47322"/>
    <w:rsid w:val="00C65624"/>
    <w:rsid w:val="00C66476"/>
    <w:rsid w:val="00C77197"/>
    <w:rsid w:val="00C813A8"/>
    <w:rsid w:val="00CA25F0"/>
    <w:rsid w:val="00CB69F2"/>
    <w:rsid w:val="00CD77F0"/>
    <w:rsid w:val="00CE1993"/>
    <w:rsid w:val="00CF0350"/>
    <w:rsid w:val="00D02EE1"/>
    <w:rsid w:val="00D0618A"/>
    <w:rsid w:val="00D2549B"/>
    <w:rsid w:val="00D50864"/>
    <w:rsid w:val="00D550B3"/>
    <w:rsid w:val="00D67119"/>
    <w:rsid w:val="00DA07F0"/>
    <w:rsid w:val="00DB07C6"/>
    <w:rsid w:val="00DB3813"/>
    <w:rsid w:val="00DC0EE5"/>
    <w:rsid w:val="00DC3EA0"/>
    <w:rsid w:val="00DC6465"/>
    <w:rsid w:val="00DD1991"/>
    <w:rsid w:val="00E00A1B"/>
    <w:rsid w:val="00E03441"/>
    <w:rsid w:val="00E04149"/>
    <w:rsid w:val="00E04C8D"/>
    <w:rsid w:val="00E12B84"/>
    <w:rsid w:val="00E15590"/>
    <w:rsid w:val="00E23398"/>
    <w:rsid w:val="00E27BE5"/>
    <w:rsid w:val="00E34076"/>
    <w:rsid w:val="00E66814"/>
    <w:rsid w:val="00E81551"/>
    <w:rsid w:val="00EA0B47"/>
    <w:rsid w:val="00EB3FAB"/>
    <w:rsid w:val="00EC1A68"/>
    <w:rsid w:val="00ED4299"/>
    <w:rsid w:val="00EE1D8F"/>
    <w:rsid w:val="00F04A4A"/>
    <w:rsid w:val="00F16A54"/>
    <w:rsid w:val="00F21AFB"/>
    <w:rsid w:val="00F2272D"/>
    <w:rsid w:val="00F267AB"/>
    <w:rsid w:val="00F359DC"/>
    <w:rsid w:val="00F83E9E"/>
    <w:rsid w:val="00F84AA5"/>
    <w:rsid w:val="00F86A87"/>
    <w:rsid w:val="00F923A1"/>
    <w:rsid w:val="00FA1C2D"/>
    <w:rsid w:val="00FB49AE"/>
    <w:rsid w:val="00FD0F13"/>
    <w:rsid w:val="00FD1195"/>
    <w:rsid w:val="00FD165E"/>
    <w:rsid w:val="00FD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aliases w:val="o,fr"/>
    <w:basedOn w:val="DefaultParagraphFont"/>
    <w:uiPriority w:val="99"/>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paragraph" w:styleId="ListNumber">
    <w:name w:val="List Number"/>
    <w:basedOn w:val="Normal"/>
    <w:uiPriority w:val="99"/>
    <w:unhideWhenUsed/>
    <w:rsid w:val="00F267AB"/>
    <w:pPr>
      <w:numPr>
        <w:numId w:val="7"/>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6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lepkoski@firstenergycorp.com" TargetMode="External"/><Relationship Id="rId4" Type="http://schemas.openxmlformats.org/officeDocument/2006/relationships/settings" Target="settings.xml"/><Relationship Id="rId9"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2474</Words>
  <Characters>14104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2023-12-12T18:48:00Z</cp:lastPrinted>
  <dcterms:created xsi:type="dcterms:W3CDTF">2023-12-15T14:52:00Z</dcterms:created>
  <dcterms:modified xsi:type="dcterms:W3CDTF">2023-12-15T14:52:00Z</dcterms:modified>
</cp:coreProperties>
</file>