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1DCE" w14:textId="77777777" w:rsidR="00FE4DAB" w:rsidRPr="00FE4DAB" w:rsidRDefault="00FE4DAB" w:rsidP="00FE4DAB">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6A7E5601" w14:textId="77777777" w:rsidR="00EF0975" w:rsidRPr="00EF0975" w:rsidRDefault="00EF0975" w:rsidP="00EF0975">
      <w:pPr>
        <w:tabs>
          <w:tab w:val="clear" w:pos="1440"/>
          <w:tab w:val="left" w:pos="-720"/>
        </w:tabs>
        <w:suppressAutoHyphens/>
        <w:autoSpaceDE w:val="0"/>
        <w:autoSpaceDN w:val="0"/>
        <w:spacing w:after="0" w:line="240" w:lineRule="auto"/>
        <w:jc w:val="center"/>
        <w:rPr>
          <w:rFonts w:eastAsia="Times New Roman"/>
          <w:b/>
          <w:bCs/>
          <w:spacing w:val="-3"/>
          <w:kern w:val="0"/>
          <w14:ligatures w14:val="none"/>
        </w:rPr>
      </w:pPr>
      <w:r w:rsidRPr="00EF0975">
        <w:rPr>
          <w:rFonts w:eastAsia="Times New Roman"/>
          <w:b/>
          <w:bCs/>
          <w:spacing w:val="-3"/>
          <w:kern w:val="0"/>
          <w14:ligatures w14:val="none"/>
        </w:rPr>
        <w:t>BEFORE THE</w:t>
      </w:r>
    </w:p>
    <w:p w14:paraId="1BC0B507" w14:textId="77777777" w:rsidR="00EF0975" w:rsidRPr="00EF0975" w:rsidRDefault="00EF0975" w:rsidP="00EF0975">
      <w:pPr>
        <w:tabs>
          <w:tab w:val="clear" w:pos="1440"/>
          <w:tab w:val="left" w:pos="-720"/>
        </w:tabs>
        <w:suppressAutoHyphens/>
        <w:autoSpaceDE w:val="0"/>
        <w:autoSpaceDN w:val="0"/>
        <w:spacing w:after="0" w:line="240" w:lineRule="auto"/>
        <w:jc w:val="center"/>
        <w:rPr>
          <w:rFonts w:eastAsia="Times New Roman"/>
          <w:b/>
          <w:bCs/>
          <w:spacing w:val="-3"/>
          <w:kern w:val="0"/>
          <w14:ligatures w14:val="none"/>
        </w:rPr>
      </w:pPr>
      <w:r w:rsidRPr="00EF0975">
        <w:rPr>
          <w:rFonts w:eastAsia="Times New Roman"/>
          <w:b/>
          <w:bCs/>
          <w:spacing w:val="-3"/>
          <w:kern w:val="0"/>
          <w14:ligatures w14:val="none"/>
        </w:rPr>
        <w:t>PENNSYLVANIA PUBLIC UTILITY COMMISSION</w:t>
      </w:r>
    </w:p>
    <w:p w14:paraId="14F4290F" w14:textId="77777777" w:rsidR="00EF0975" w:rsidRDefault="00EF0975" w:rsidP="00EF0975">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7740D136" w14:textId="77777777" w:rsidR="00EF0975" w:rsidRDefault="00EF0975" w:rsidP="00EF0975">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5A4470E1" w14:textId="75D7EA34" w:rsidR="00FE4DAB" w:rsidRPr="00FE4DAB" w:rsidRDefault="00FE4DAB" w:rsidP="00EF0975">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 xml:space="preserve">Keisha Truax </w:t>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fldChar w:fldCharType="begin"/>
      </w:r>
      <w:r w:rsidRPr="00FE4DAB">
        <w:rPr>
          <w:rFonts w:eastAsia="Times New Roman"/>
          <w:spacing w:val="-3"/>
          <w:kern w:val="0"/>
          <w14:ligatures w14:val="none"/>
        </w:rPr>
        <w:instrText>fillin "Complainant's name" \d ""</w:instrText>
      </w:r>
      <w:r w:rsidRPr="00FE4DAB">
        <w:rPr>
          <w:rFonts w:eastAsia="Times New Roman"/>
          <w:spacing w:val="-3"/>
          <w:kern w:val="0"/>
          <w14:ligatures w14:val="none"/>
        </w:rPr>
        <w:fldChar w:fldCharType="end"/>
      </w:r>
      <w:r w:rsidRPr="00FE4DAB">
        <w:rPr>
          <w:rFonts w:eastAsia="Times New Roman"/>
          <w:spacing w:val="-3"/>
          <w:kern w:val="0"/>
          <w14:ligatures w14:val="none"/>
        </w:rPr>
        <w:t>:</w:t>
      </w:r>
    </w:p>
    <w:p w14:paraId="0EAB4A1F" w14:textId="77777777" w:rsidR="00FE4DAB" w:rsidRPr="00FE4DAB" w:rsidRDefault="00FE4DAB" w:rsidP="00FE4DAB">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t>:</w:t>
      </w:r>
      <w:r w:rsidRPr="00FE4DAB">
        <w:rPr>
          <w:rFonts w:eastAsia="Times New Roman"/>
          <w:spacing w:val="-3"/>
          <w:kern w:val="0"/>
          <w14:ligatures w14:val="none"/>
        </w:rPr>
        <w:tab/>
      </w:r>
      <w:r w:rsidRPr="00FE4DAB">
        <w:rPr>
          <w:rFonts w:eastAsia="Times New Roman"/>
          <w:spacing w:val="-3"/>
          <w:kern w:val="0"/>
          <w14:ligatures w14:val="none"/>
        </w:rPr>
        <w:tab/>
      </w:r>
    </w:p>
    <w:p w14:paraId="5C474DB1" w14:textId="77777777" w:rsidR="00FE4DAB" w:rsidRPr="00FE4DAB" w:rsidRDefault="00FE4DAB" w:rsidP="00FE4DAB">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ab/>
        <w:t>v.</w:t>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t>:</w:t>
      </w:r>
      <w:r w:rsidRPr="00FE4DAB">
        <w:rPr>
          <w:rFonts w:eastAsia="Times New Roman"/>
          <w:spacing w:val="-3"/>
          <w:kern w:val="0"/>
          <w14:ligatures w14:val="none"/>
        </w:rPr>
        <w:tab/>
      </w:r>
      <w:r w:rsidRPr="00FE4DAB">
        <w:rPr>
          <w:rFonts w:eastAsia="Times New Roman"/>
          <w:spacing w:val="-3"/>
          <w:kern w:val="0"/>
          <w14:ligatures w14:val="none"/>
        </w:rPr>
        <w:tab/>
        <w:t>C-2020-3023039</w:t>
      </w:r>
      <w:r w:rsidRPr="00FE4DAB">
        <w:rPr>
          <w:rFonts w:eastAsia="Times New Roman"/>
          <w:spacing w:val="-3"/>
          <w:kern w:val="0"/>
          <w14:ligatures w14:val="none"/>
        </w:rPr>
        <w:fldChar w:fldCharType="begin"/>
      </w:r>
      <w:r w:rsidRPr="00FE4DAB">
        <w:rPr>
          <w:rFonts w:eastAsia="Times New Roman"/>
          <w:spacing w:val="-3"/>
          <w:kern w:val="0"/>
          <w14:ligatures w14:val="none"/>
        </w:rPr>
        <w:instrText>fillin "Docket No." \d ""</w:instrText>
      </w:r>
      <w:r w:rsidRPr="00FE4DAB">
        <w:rPr>
          <w:rFonts w:eastAsia="Times New Roman"/>
          <w:spacing w:val="-3"/>
          <w:kern w:val="0"/>
          <w14:ligatures w14:val="none"/>
        </w:rPr>
        <w:fldChar w:fldCharType="end"/>
      </w:r>
    </w:p>
    <w:p w14:paraId="367C759D" w14:textId="77777777" w:rsidR="00FE4DAB" w:rsidRPr="00FE4DAB" w:rsidRDefault="00FE4DAB" w:rsidP="00FE4DAB">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t>:</w:t>
      </w:r>
    </w:p>
    <w:p w14:paraId="5FB8DA9B" w14:textId="77777777" w:rsidR="00FE4DAB" w:rsidRPr="00FE4DAB" w:rsidRDefault="00FE4DAB" w:rsidP="00FE4DAB">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West Penn Power Company</w:t>
      </w:r>
      <w:r w:rsidRPr="00FE4DAB">
        <w:rPr>
          <w:rFonts w:eastAsia="Times New Roman"/>
          <w:spacing w:val="-3"/>
          <w:kern w:val="0"/>
          <w14:ligatures w14:val="none"/>
        </w:rPr>
        <w:tab/>
        <w:t>:</w:t>
      </w:r>
    </w:p>
    <w:p w14:paraId="51A74C97" w14:textId="77777777" w:rsidR="00FE4DAB" w:rsidRPr="00FE4DAB" w:rsidRDefault="00FE4DAB" w:rsidP="00FE4DAB">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1A32265B" w14:textId="77777777" w:rsidR="00FE4DAB" w:rsidRPr="00FE4DAB" w:rsidRDefault="00FE4DAB" w:rsidP="00FE4DAB">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78DD2A9E" w14:textId="18EE27CC" w:rsidR="00675F5B" w:rsidRPr="00FE7D1C" w:rsidRDefault="00675F5B" w:rsidP="00FE7D1C">
      <w:pPr>
        <w:spacing w:after="0" w:line="240" w:lineRule="auto"/>
        <w:jc w:val="center"/>
        <w:rPr>
          <w:b/>
          <w:bCs/>
        </w:rPr>
      </w:pPr>
      <w:r w:rsidRPr="00FE7D1C">
        <w:rPr>
          <w:b/>
          <w:bCs/>
        </w:rPr>
        <w:t>INTERIM ORDER</w:t>
      </w:r>
    </w:p>
    <w:p w14:paraId="66E38503" w14:textId="0D1C3FBB" w:rsidR="00675F5B" w:rsidRDefault="00977F3B" w:rsidP="00977F3B">
      <w:pPr>
        <w:spacing w:after="0" w:line="240" w:lineRule="auto"/>
        <w:jc w:val="center"/>
        <w:rPr>
          <w:b/>
          <w:bCs/>
          <w:u w:val="single"/>
        </w:rPr>
      </w:pPr>
      <w:r>
        <w:rPr>
          <w:b/>
          <w:bCs/>
          <w:u w:val="single"/>
        </w:rPr>
        <w:t>ON PRELIMINARY OBJECTION</w:t>
      </w:r>
      <w:r w:rsidR="00675F5B" w:rsidRPr="00FE7D1C">
        <w:rPr>
          <w:b/>
          <w:bCs/>
          <w:u w:val="single"/>
        </w:rPr>
        <w:t>S</w:t>
      </w:r>
      <w:r w:rsidR="00FE7D1C">
        <w:br/>
      </w:r>
    </w:p>
    <w:p w14:paraId="72BEDD7B" w14:textId="77777777" w:rsidR="002D332C" w:rsidRPr="00977F3B" w:rsidRDefault="002D332C" w:rsidP="00977F3B">
      <w:pPr>
        <w:spacing w:after="0" w:line="240" w:lineRule="auto"/>
        <w:jc w:val="center"/>
        <w:rPr>
          <w:b/>
          <w:bCs/>
          <w:u w:val="single"/>
        </w:rPr>
      </w:pPr>
    </w:p>
    <w:p w14:paraId="50091B17" w14:textId="45869B28" w:rsidR="00675F5B" w:rsidRDefault="00675F5B" w:rsidP="002D332C">
      <w:pPr>
        <w:spacing w:after="0"/>
      </w:pPr>
      <w:r>
        <w:tab/>
        <w:t xml:space="preserve">On November 27, 2020, the Complainant filed a formal complaint against West Penn Power Company (West Penn Power) alleging that the smart meter installed at her service address needs to be removed, citing </w:t>
      </w:r>
      <w:proofErr w:type="gramStart"/>
      <w:r>
        <w:t>a number of</w:t>
      </w:r>
      <w:proofErr w:type="gramEnd"/>
      <w:r>
        <w:t xml:space="preserve"> health conditions including EMF </w:t>
      </w:r>
      <w:r w:rsidR="00073530">
        <w:t>sensitivity</w:t>
      </w:r>
      <w:r>
        <w:t xml:space="preserve">, which are exacerbated by </w:t>
      </w:r>
      <w:proofErr w:type="spellStart"/>
      <w:r>
        <w:t>Wifi</w:t>
      </w:r>
      <w:proofErr w:type="spellEnd"/>
      <w:r>
        <w:t xml:space="preserve"> and cellular radiation.</w:t>
      </w:r>
    </w:p>
    <w:p w14:paraId="24AFDF5B" w14:textId="77777777" w:rsidR="002D332C" w:rsidRDefault="002D332C" w:rsidP="002D332C">
      <w:pPr>
        <w:spacing w:after="0"/>
      </w:pPr>
    </w:p>
    <w:p w14:paraId="35381DC7" w14:textId="0CEC1DF9" w:rsidR="00675F5B" w:rsidRDefault="00675F5B" w:rsidP="002D332C">
      <w:pPr>
        <w:spacing w:after="0"/>
      </w:pPr>
      <w:r>
        <w:tab/>
      </w:r>
      <w:r w:rsidRPr="00675F5B">
        <w:t xml:space="preserve">On November 4, 2020, in view of the appellate court litigation surrounding smart meters, the Commission issued a general stay of all smart meter proceedings pending before it.  By letter dated </w:t>
      </w:r>
      <w:r>
        <w:t>December 21, 2020</w:t>
      </w:r>
      <w:r w:rsidRPr="00675F5B">
        <w:t xml:space="preserve">, </w:t>
      </w:r>
      <w:r>
        <w:t>West Penn Power</w:t>
      </w:r>
      <w:r w:rsidRPr="00675F5B">
        <w:t xml:space="preserve"> noted that the Commission stay was in place and that it would file an answer to the complaint when the stay was lifted by the Commission.</w:t>
      </w:r>
      <w:r>
        <w:rPr>
          <w:rStyle w:val="FootnoteReference"/>
        </w:rPr>
        <w:footnoteReference w:id="1"/>
      </w:r>
    </w:p>
    <w:p w14:paraId="1CEA9E2D" w14:textId="77777777" w:rsidR="002D332C" w:rsidRPr="00675F5B" w:rsidRDefault="002D332C" w:rsidP="002D332C">
      <w:pPr>
        <w:spacing w:after="0"/>
      </w:pPr>
    </w:p>
    <w:p w14:paraId="44DB3C53" w14:textId="77777777" w:rsidR="00675F5B" w:rsidRDefault="00675F5B" w:rsidP="002D332C">
      <w:pPr>
        <w:spacing w:after="0"/>
      </w:pPr>
      <w:r w:rsidRPr="00675F5B">
        <w:tab/>
        <w:t xml:space="preserve">On August 16, 2022, the Pennsylvania issued a decision in </w:t>
      </w:r>
      <w:proofErr w:type="spellStart"/>
      <w:r w:rsidRPr="00675F5B">
        <w:rPr>
          <w:i/>
          <w:iCs/>
        </w:rPr>
        <w:t>Povacz</w:t>
      </w:r>
      <w:proofErr w:type="spellEnd"/>
      <w:r w:rsidRPr="00675F5B">
        <w:rPr>
          <w:i/>
          <w:iCs/>
        </w:rPr>
        <w:t>. v. Pa. Public Utility Commission</w:t>
      </w:r>
      <w:r w:rsidRPr="00675F5B">
        <w:t>.</w:t>
      </w:r>
      <w:r w:rsidRPr="00675F5B">
        <w:rPr>
          <w:vertAlign w:val="superscript"/>
        </w:rPr>
        <w:footnoteReference w:id="2"/>
      </w:r>
      <w:r w:rsidRPr="00675F5B">
        <w:rPr>
          <w:i/>
          <w:iCs/>
        </w:rPr>
        <w:t xml:space="preserve"> </w:t>
      </w:r>
      <w:r w:rsidRPr="00675F5B">
        <w:t xml:space="preserve"> In </w:t>
      </w:r>
      <w:proofErr w:type="spellStart"/>
      <w:r w:rsidRPr="00675F5B">
        <w:rPr>
          <w:i/>
          <w:iCs/>
        </w:rPr>
        <w:t>Povacz</w:t>
      </w:r>
      <w:proofErr w:type="spellEnd"/>
      <w:r w:rsidRPr="00675F5B">
        <w:rPr>
          <w:i/>
          <w:iCs/>
        </w:rPr>
        <w:t xml:space="preserve"> II</w:t>
      </w:r>
      <w:r w:rsidRPr="00675F5B">
        <w:t>, the Pennsylvania Supreme Court resolved many of the outstanding legal issues in many smart meter cases.  The court held, among other things, that under Act 129, customers have no right to refuse smart meter installation.</w:t>
      </w:r>
      <w:r w:rsidRPr="00675F5B">
        <w:rPr>
          <w:vertAlign w:val="superscript"/>
        </w:rPr>
        <w:footnoteReference w:id="3"/>
      </w:r>
      <w:r w:rsidRPr="00675F5B">
        <w:t xml:space="preserve">  The court further clarified the burden of proof required to support a claim that the installation of a smart meter </w:t>
      </w:r>
      <w:r w:rsidRPr="00675F5B">
        <w:lastRenderedPageBreak/>
        <w:t>violates the safe and reasonable service requirement of Section 1501 of the Public Utility Code.</w:t>
      </w:r>
      <w:r w:rsidRPr="00675F5B">
        <w:rPr>
          <w:vertAlign w:val="superscript"/>
        </w:rPr>
        <w:footnoteReference w:id="4"/>
      </w:r>
      <w:r w:rsidRPr="00675F5B">
        <w:t xml:space="preserve">  Specifically, the court held that to prove that a smart meter is unsafe service under Section 1501, a complainant must support that allegation with medical or expert testimony.</w:t>
      </w:r>
    </w:p>
    <w:p w14:paraId="1D204B4C" w14:textId="77777777" w:rsidR="002D332C" w:rsidRDefault="002D332C" w:rsidP="002D332C">
      <w:pPr>
        <w:spacing w:after="0"/>
      </w:pPr>
    </w:p>
    <w:p w14:paraId="463F2D54" w14:textId="77777777" w:rsidR="00675F5B" w:rsidRDefault="00675F5B" w:rsidP="002D332C">
      <w:pPr>
        <w:spacing w:after="0"/>
      </w:pPr>
      <w:r>
        <w:tab/>
        <w:t>By order entered November 14, 2023, the Commission lifted the general stay of smart meter proceedings and directed the Office of Administrative Law Judge to proceed with pending formal complaint proceedings as directed by the presiding administrative law judge.</w:t>
      </w:r>
    </w:p>
    <w:p w14:paraId="08EE00CF" w14:textId="77777777" w:rsidR="002D332C" w:rsidRDefault="002D332C" w:rsidP="002D332C">
      <w:pPr>
        <w:spacing w:after="0"/>
      </w:pPr>
    </w:p>
    <w:p w14:paraId="46733C9E" w14:textId="5DCA4462" w:rsidR="00675F5B" w:rsidRDefault="00675F5B" w:rsidP="002D332C">
      <w:pPr>
        <w:spacing w:after="0"/>
      </w:pPr>
      <w:r>
        <w:tab/>
        <w:t xml:space="preserve">West Penn Power filed an </w:t>
      </w:r>
      <w:r w:rsidR="00994B3A">
        <w:t>Answer and New Matter</w:t>
      </w:r>
      <w:r w:rsidR="001D500B">
        <w:t xml:space="preserve"> </w:t>
      </w:r>
      <w:r>
        <w:t>on December 4, 2023.  Penelec admitted that a smart meter was installed at the Complainant’s service address</w:t>
      </w:r>
      <w:r w:rsidR="001D500B">
        <w:t>, but denied the allegation that the installation of the smart meter violated any law or that it was permitted or required to remove the smart meter.</w:t>
      </w:r>
    </w:p>
    <w:p w14:paraId="24BFD2D8" w14:textId="77777777" w:rsidR="002D332C" w:rsidRDefault="002D332C" w:rsidP="002D332C">
      <w:pPr>
        <w:spacing w:after="0"/>
      </w:pPr>
    </w:p>
    <w:p w14:paraId="3F01E384" w14:textId="6786C267" w:rsidR="001D500B" w:rsidRDefault="001D500B" w:rsidP="004A1D95">
      <w:pPr>
        <w:spacing w:after="0"/>
      </w:pPr>
      <w:r>
        <w:tab/>
        <w:t xml:space="preserve">West Penn Power also filed Preliminary Objections. </w:t>
      </w:r>
      <w:r w:rsidR="0029557C">
        <w:t xml:space="preserve">West Penn Power’s preliminary objection is based on </w:t>
      </w:r>
      <w:r w:rsidR="00827333">
        <w:t>the allegation that the Complainant no longer lives at the service address.</w:t>
      </w:r>
      <w:r w:rsidR="00331717">
        <w:t xml:space="preserve">  West Penn Power also </w:t>
      </w:r>
      <w:r w:rsidR="005346DF">
        <w:t xml:space="preserve">alleges that the Complaint is legally insufficient because the relief requested by the Complainant </w:t>
      </w:r>
      <w:proofErr w:type="spellStart"/>
      <w:r w:rsidR="005346DF">
        <w:t>can not</w:t>
      </w:r>
      <w:proofErr w:type="spellEnd"/>
      <w:r w:rsidR="005346DF">
        <w:t xml:space="preserve"> be granted.</w:t>
      </w:r>
    </w:p>
    <w:p w14:paraId="373D4A3F" w14:textId="77777777" w:rsidR="004A1D95" w:rsidRDefault="004A1D95" w:rsidP="004A1D95">
      <w:pPr>
        <w:spacing w:after="0"/>
      </w:pPr>
    </w:p>
    <w:p w14:paraId="47A46DD0" w14:textId="262E0359" w:rsidR="00827333" w:rsidRDefault="00827333" w:rsidP="004A1D95">
      <w:pPr>
        <w:spacing w:after="0"/>
      </w:pPr>
      <w:r>
        <w:tab/>
        <w:t xml:space="preserve">The standard for consideration of preliminary objections has been repeated many times.  </w:t>
      </w:r>
      <w:r w:rsidR="009D6114">
        <w:t>Unlike a motion for summary judgement or a motion to dismiss, o</w:t>
      </w:r>
      <w:r>
        <w:t>nly the facts alleged in the Complaint are considered in resolving preliminary objections</w:t>
      </w:r>
      <w:r w:rsidR="009D6114">
        <w:t>.</w:t>
      </w:r>
      <w:r w:rsidR="00D16327">
        <w:rPr>
          <w:rStyle w:val="FootnoteReference"/>
        </w:rPr>
        <w:footnoteReference w:id="5"/>
      </w:r>
      <w:r>
        <w:t xml:space="preserve">  Additional facts</w:t>
      </w:r>
      <w:r w:rsidR="00170D5E">
        <w:t xml:space="preserve"> added by the proponent of the preliminary objection may not be considered.  Therefore, West Penn Power’s preliminary objections will be dismissed.  This dismissal is without prejudice to</w:t>
      </w:r>
      <w:r w:rsidR="005C50F3">
        <w:t xml:space="preserve"> file an appropriate motion</w:t>
      </w:r>
      <w:r w:rsidR="00882E15">
        <w:t>.</w:t>
      </w:r>
    </w:p>
    <w:p w14:paraId="2D92B82D" w14:textId="77777777" w:rsidR="004A1D95" w:rsidRDefault="004A1D95" w:rsidP="004A1D95">
      <w:pPr>
        <w:spacing w:after="0"/>
      </w:pPr>
    </w:p>
    <w:p w14:paraId="3F41FFDE" w14:textId="53C070D0" w:rsidR="00675F5B" w:rsidRDefault="008B3F8A" w:rsidP="007851F3">
      <w:pPr>
        <w:spacing w:after="0"/>
      </w:pPr>
      <w:r>
        <w:tab/>
      </w:r>
      <w:r w:rsidR="00DC546D" w:rsidRPr="00DC546D">
        <w:t xml:space="preserve">The Complainant is currently self-represented.  A ruling on </w:t>
      </w:r>
      <w:r w:rsidR="00DC546D">
        <w:t>West Penn Power’s</w:t>
      </w:r>
      <w:r w:rsidR="00DC546D" w:rsidRPr="00DC546D">
        <w:t xml:space="preserve"> preliminary objection</w:t>
      </w:r>
      <w:r w:rsidR="00DC546D">
        <w:t xml:space="preserve"> regarding the</w:t>
      </w:r>
      <w:r w:rsidR="00F51D77">
        <w:t xml:space="preserve"> legal insufficiency of the relief requested by the </w:t>
      </w:r>
      <w:r w:rsidR="004A1D95">
        <w:t xml:space="preserve">Complaint </w:t>
      </w:r>
      <w:r w:rsidR="004A1D95" w:rsidRPr="00DC546D">
        <w:t>will</w:t>
      </w:r>
      <w:r w:rsidR="00DC546D" w:rsidRPr="00DC546D">
        <w:t xml:space="preserve"> be held in abeyance pending a hearing on the complaint.  In </w:t>
      </w:r>
      <w:r w:rsidR="00DC546D" w:rsidRPr="00DC546D">
        <w:rPr>
          <w:i/>
        </w:rPr>
        <w:t>Carlock v. The United Telephone Company of Pennsylvania</w:t>
      </w:r>
      <w:r w:rsidR="00DC546D" w:rsidRPr="00DC546D">
        <w:t>, Docket No. F</w:t>
      </w:r>
      <w:r w:rsidR="00DC546D" w:rsidRPr="00DC546D">
        <w:noBreakHyphen/>
        <w:t xml:space="preserve">00163617 (Order entered July 14, 1993), the </w:t>
      </w:r>
      <w:r w:rsidR="00DC546D" w:rsidRPr="00DC546D">
        <w:lastRenderedPageBreak/>
        <w:t>Commission held that, in the normal course, the Commission would not dismiss a complaint of a self-represented person without first providing a hearing during which self-represented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sidR="00DC546D" w:rsidRPr="00DC546D">
        <w:rPr>
          <w:vertAlign w:val="superscript"/>
        </w:rPr>
        <w:footnoteReference w:id="6"/>
      </w:r>
      <w:r w:rsidR="00DC546D" w:rsidRPr="00DC546D">
        <w:t xml:space="preserve"> </w:t>
      </w:r>
    </w:p>
    <w:p w14:paraId="4E1EF24C" w14:textId="77777777" w:rsidR="007851F3" w:rsidRDefault="007851F3" w:rsidP="007851F3">
      <w:pPr>
        <w:spacing w:after="0"/>
      </w:pPr>
    </w:p>
    <w:p w14:paraId="2D869D5E" w14:textId="146F16AE" w:rsidR="00977F3B" w:rsidRDefault="00977F3B" w:rsidP="007851F3">
      <w:pPr>
        <w:spacing w:after="0"/>
      </w:pPr>
      <w:r>
        <w:tab/>
        <w:t>THEREFORE,</w:t>
      </w:r>
    </w:p>
    <w:p w14:paraId="73CD839C" w14:textId="77777777" w:rsidR="007851F3" w:rsidRDefault="007851F3" w:rsidP="007851F3">
      <w:pPr>
        <w:spacing w:after="0"/>
      </w:pPr>
    </w:p>
    <w:p w14:paraId="3405CF5E" w14:textId="61F62584" w:rsidR="00977F3B" w:rsidRDefault="00977F3B" w:rsidP="007851F3">
      <w:pPr>
        <w:spacing w:after="0"/>
      </w:pPr>
      <w:r>
        <w:tab/>
        <w:t>IT IS ORDERED THAT:</w:t>
      </w:r>
    </w:p>
    <w:p w14:paraId="51839030" w14:textId="77777777" w:rsidR="007851F3" w:rsidRDefault="007851F3" w:rsidP="007851F3">
      <w:pPr>
        <w:spacing w:after="0"/>
      </w:pPr>
    </w:p>
    <w:p w14:paraId="0DEFB6DE" w14:textId="33700844" w:rsidR="00977F3B" w:rsidRDefault="00977F3B" w:rsidP="007851F3">
      <w:pPr>
        <w:pStyle w:val="ListParagraph"/>
        <w:numPr>
          <w:ilvl w:val="0"/>
          <w:numId w:val="43"/>
        </w:numPr>
        <w:spacing w:after="0"/>
      </w:pPr>
      <w:r>
        <w:t>That West Penn Power’s Preliminary Objection on standing is dismissed.</w:t>
      </w:r>
    </w:p>
    <w:p w14:paraId="1ACC8752" w14:textId="77777777" w:rsidR="007851F3" w:rsidRDefault="007851F3" w:rsidP="007851F3">
      <w:pPr>
        <w:spacing w:after="0"/>
      </w:pPr>
    </w:p>
    <w:p w14:paraId="15958389" w14:textId="040E9957" w:rsidR="00977F3B" w:rsidRDefault="00977F3B" w:rsidP="00DE2B63">
      <w:pPr>
        <w:pStyle w:val="ListParagraph"/>
        <w:numPr>
          <w:ilvl w:val="0"/>
          <w:numId w:val="43"/>
        </w:numPr>
        <w:spacing w:after="0"/>
      </w:pPr>
      <w:r>
        <w:t>That West Penn Power’s Preliminary Objection based on insufficiency of the pleading will be held in abeyance.</w:t>
      </w:r>
    </w:p>
    <w:p w14:paraId="53BFE705" w14:textId="77777777" w:rsidR="00DE2B63" w:rsidRDefault="00DE2B63" w:rsidP="00DE2B63">
      <w:pPr>
        <w:spacing w:after="0"/>
      </w:pPr>
    </w:p>
    <w:p w14:paraId="15CCDEA9" w14:textId="711ABEC1" w:rsidR="00997CAE" w:rsidRDefault="00997CAE" w:rsidP="00DE2B63">
      <w:pPr>
        <w:spacing w:after="0"/>
      </w:pPr>
      <w:r>
        <w:tab/>
        <w:t>3.</w:t>
      </w:r>
      <w:r>
        <w:tab/>
        <w:t>That a further order</w:t>
      </w:r>
      <w:r w:rsidR="00FE71E7">
        <w:t xml:space="preserve"> </w:t>
      </w:r>
      <w:r w:rsidR="00FE5A64">
        <w:t>establishing a litigation schedule shall be forthcoming.</w:t>
      </w:r>
    </w:p>
    <w:p w14:paraId="4959900F" w14:textId="77777777" w:rsidR="0064197B" w:rsidRDefault="0064197B"/>
    <w:p w14:paraId="528D5D55" w14:textId="77777777" w:rsidR="0064197B" w:rsidRDefault="0064197B"/>
    <w:p w14:paraId="51E8E14F" w14:textId="29DF51FC" w:rsidR="0064197B" w:rsidRDefault="0064197B" w:rsidP="0064197B">
      <w:pPr>
        <w:spacing w:after="0" w:line="240" w:lineRule="auto"/>
      </w:pPr>
      <w:r>
        <w:t>Date:</w:t>
      </w:r>
      <w:r>
        <w:rPr>
          <w:u w:val="single"/>
        </w:rPr>
        <w:t xml:space="preserve"> December 18, 2023</w:t>
      </w:r>
      <w:r>
        <w:tab/>
      </w:r>
      <w:r>
        <w:tab/>
      </w:r>
      <w:r>
        <w:tab/>
      </w:r>
      <w:r>
        <w:tab/>
      </w:r>
      <w:r w:rsidRPr="0064197B">
        <w:rPr>
          <w:u w:val="single"/>
        </w:rPr>
        <w:t>____/s/___________________________</w:t>
      </w:r>
    </w:p>
    <w:p w14:paraId="60EE9267" w14:textId="7E1C0CFC" w:rsidR="0064197B" w:rsidRDefault="0064197B" w:rsidP="0064197B">
      <w:pPr>
        <w:spacing w:after="0" w:line="240" w:lineRule="auto"/>
      </w:pPr>
      <w:r>
        <w:tab/>
      </w:r>
      <w:r>
        <w:tab/>
      </w:r>
      <w:r>
        <w:tab/>
      </w:r>
      <w:r>
        <w:tab/>
      </w:r>
      <w:r>
        <w:tab/>
      </w:r>
      <w:r>
        <w:tab/>
        <w:t>Mary D. Long</w:t>
      </w:r>
    </w:p>
    <w:p w14:paraId="346D837A" w14:textId="128A3CED" w:rsidR="0064197B" w:rsidRDefault="0064197B" w:rsidP="0064197B">
      <w:pPr>
        <w:spacing w:after="0" w:line="240" w:lineRule="auto"/>
      </w:pPr>
      <w:r>
        <w:tab/>
      </w:r>
      <w:r>
        <w:tab/>
      </w:r>
      <w:r>
        <w:tab/>
      </w:r>
      <w:r>
        <w:tab/>
      </w:r>
      <w:r>
        <w:tab/>
      </w:r>
      <w:r>
        <w:tab/>
        <w:t>Administrative Law Judge</w:t>
      </w:r>
    </w:p>
    <w:p w14:paraId="2AB74EC1" w14:textId="77777777" w:rsidR="0064197B" w:rsidRDefault="0064197B" w:rsidP="0064197B">
      <w:pPr>
        <w:spacing w:after="0" w:line="240" w:lineRule="auto"/>
        <w:rPr>
          <w:u w:val="single"/>
        </w:rPr>
      </w:pPr>
    </w:p>
    <w:p w14:paraId="2C555B06" w14:textId="77777777" w:rsidR="0064197B" w:rsidRDefault="0064197B" w:rsidP="0064197B">
      <w:pPr>
        <w:spacing w:after="0" w:line="240" w:lineRule="auto"/>
        <w:rPr>
          <w:rFonts w:ascii="Microsoft Sans Serif" w:eastAsia="Microsoft Sans Serif" w:hAnsi="Microsoft Sans Serif" w:cs="Microsoft Sans Serif"/>
          <w:b/>
          <w:u w:val="single"/>
        </w:rPr>
        <w:sectPr w:rsidR="0064197B" w:rsidSect="009B50B0">
          <w:footerReference w:type="default" r:id="rId7"/>
          <w:pgSz w:w="12240" w:h="15840"/>
          <w:pgMar w:top="1440" w:right="1440" w:bottom="1440" w:left="1440" w:header="720" w:footer="720" w:gutter="0"/>
          <w:cols w:space="720"/>
          <w:titlePg/>
          <w:docGrid w:linePitch="360"/>
        </w:sectPr>
      </w:pPr>
    </w:p>
    <w:p w14:paraId="78D02B95" w14:textId="77777777" w:rsidR="0064197B" w:rsidRDefault="0064197B" w:rsidP="0064197B">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C-2020-3023039 - KEISHA TRUAX v. WEST PENN POWER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KEISHA TRUAX</w:t>
      </w:r>
      <w:r>
        <w:rPr>
          <w:rFonts w:ascii="Microsoft Sans Serif" w:eastAsia="Microsoft Sans Serif" w:hAnsi="Microsoft Sans Serif" w:cs="Microsoft Sans Serif"/>
        </w:rPr>
        <w:cr/>
        <w:t>WEST PENN POWER</w:t>
      </w:r>
      <w:r>
        <w:rPr>
          <w:rFonts w:ascii="Microsoft Sans Serif" w:eastAsia="Microsoft Sans Serif" w:hAnsi="Microsoft Sans Serif" w:cs="Microsoft Sans Serif"/>
        </w:rPr>
        <w:cr/>
        <w:t>106A FRONT STREET</w:t>
      </w:r>
      <w:r>
        <w:rPr>
          <w:rFonts w:ascii="Microsoft Sans Serif" w:eastAsia="Microsoft Sans Serif" w:hAnsi="Microsoft Sans Serif" w:cs="Microsoft Sans Serif"/>
        </w:rPr>
        <w:cr/>
        <w:t>CHICORA PA  16025</w:t>
      </w:r>
      <w:r>
        <w:rPr>
          <w:rFonts w:ascii="Microsoft Sans Serif" w:eastAsia="Microsoft Sans Serif" w:hAnsi="Microsoft Sans Serif" w:cs="Microsoft Sans Serif"/>
        </w:rPr>
        <w:cr/>
      </w:r>
      <w:r w:rsidRPr="00325279">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607</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1077</w:t>
      </w:r>
      <w:r>
        <w:rPr>
          <w:rFonts w:ascii="Microsoft Sans Serif" w:eastAsia="Microsoft Sans Serif" w:hAnsi="Microsoft Sans Serif" w:cs="Microsoft Sans Serif"/>
        </w:rPr>
        <w:cr/>
      </w:r>
      <w:r w:rsidRPr="00316BFC">
        <w:rPr>
          <w:rFonts w:ascii="Microsoft Sans Serif" w:eastAsia="Microsoft Sans Serif" w:hAnsi="Microsoft Sans Serif" w:cs="Microsoft Sans Serif"/>
        </w:rPr>
        <w:t>keisha.l.truax@gmail.com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TORI L GIESLER ESQUIRE</w:t>
      </w:r>
    </w:p>
    <w:p w14:paraId="6524FAAC" w14:textId="77777777" w:rsidR="0064197B" w:rsidRDefault="0064197B" w:rsidP="0064197B">
      <w:pPr>
        <w:spacing w:after="0" w:line="240" w:lineRule="auto"/>
        <w:rPr>
          <w:rFonts w:ascii="Microsoft Sans Serif" w:eastAsia="Microsoft Sans Serif" w:hAnsi="Microsoft Sans Serif" w:cs="Microsoft Sans Serif"/>
        </w:rPr>
      </w:pPr>
      <w:r w:rsidRPr="00316BFC">
        <w:rPr>
          <w:rFonts w:ascii="Microsoft Sans Serif" w:eastAsia="Microsoft Sans Serif" w:hAnsi="Microsoft Sans Serif" w:cs="Microsoft Sans Serif"/>
        </w:rPr>
        <w:t>LAUREN M LEPKOSKI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325279">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921</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6658</w:t>
      </w:r>
      <w:r w:rsidRPr="00325279">
        <w:rPr>
          <w:rFonts w:ascii="Microsoft Sans Serif" w:eastAsia="Microsoft Sans Serif" w:hAnsi="Microsoft Sans Serif" w:cs="Microsoft Sans Serif"/>
          <w:b/>
          <w:bCs/>
        </w:rPr>
        <w:cr/>
      </w:r>
      <w:r w:rsidRPr="00316BFC">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316BFC">
        <w:rPr>
          <w:rFonts w:ascii="Microsoft Sans Serif" w:eastAsia="Microsoft Sans Serif" w:hAnsi="Microsoft Sans Serif" w:cs="Microsoft Sans Serif"/>
          <w:b/>
        </w:rPr>
        <w:t>921</w:t>
      </w:r>
      <w:r>
        <w:rPr>
          <w:rFonts w:ascii="Microsoft Sans Serif" w:eastAsia="Microsoft Sans Serif" w:hAnsi="Microsoft Sans Serif" w:cs="Microsoft Sans Serif"/>
          <w:b/>
        </w:rPr>
        <w:t>-</w:t>
      </w:r>
      <w:r w:rsidRPr="00316BFC">
        <w:rPr>
          <w:rFonts w:ascii="Microsoft Sans Serif" w:eastAsia="Microsoft Sans Serif" w:hAnsi="Microsoft Sans Serif" w:cs="Microsoft Sans Serif"/>
          <w:b/>
        </w:rPr>
        <w:t>6203</w:t>
      </w:r>
      <w:r w:rsidRPr="00316BFC">
        <w:rPr>
          <w:rFonts w:ascii="Microsoft Sans Serif" w:eastAsia="Microsoft Sans Serif" w:hAnsi="Microsoft Sans Serif" w:cs="Microsoft Sans Serif"/>
          <w:b/>
        </w:rPr>
        <w:br/>
      </w:r>
      <w:r w:rsidRPr="00316BFC">
        <w:rPr>
          <w:rFonts w:ascii="Microsoft Sans Serif" w:eastAsia="Microsoft Sans Serif" w:hAnsi="Microsoft Sans Serif" w:cs="Microsoft Sans Serif"/>
        </w:rPr>
        <w:t>tgiesler@firstenergycorp.com</w:t>
      </w:r>
      <w:r>
        <w:rPr>
          <w:rFonts w:ascii="Microsoft Sans Serif" w:eastAsia="Microsoft Sans Serif" w:hAnsi="Microsoft Sans Serif" w:cs="Microsoft Sans Serif"/>
        </w:rPr>
        <w:cr/>
      </w:r>
      <w:r w:rsidRPr="00316BFC">
        <w:rPr>
          <w:rFonts w:ascii="Microsoft Sans Serif" w:eastAsia="Microsoft Sans Serif" w:hAnsi="Microsoft Sans Serif" w:cs="Microsoft Sans Serif"/>
        </w:rPr>
        <w:t>llepkoski@firstenergycorp.com</w:t>
      </w:r>
    </w:p>
    <w:p w14:paraId="56B188F3" w14:textId="77777777" w:rsidR="0064197B" w:rsidRDefault="0064197B" w:rsidP="0064197B">
      <w:pPr>
        <w:spacing w:after="0" w:line="240" w:lineRule="auto"/>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73DFC4C4" w14:textId="77777777" w:rsidR="0064197B" w:rsidRDefault="0064197B" w:rsidP="0064197B">
      <w:pPr>
        <w:spacing w:after="0" w:line="240" w:lineRule="auto"/>
      </w:pPr>
    </w:p>
    <w:p w14:paraId="06FA485C" w14:textId="77777777" w:rsidR="0064197B" w:rsidRPr="0064197B" w:rsidRDefault="0064197B" w:rsidP="0064197B">
      <w:pPr>
        <w:spacing w:after="0" w:line="240" w:lineRule="auto"/>
        <w:rPr>
          <w:u w:val="single"/>
        </w:rPr>
      </w:pPr>
    </w:p>
    <w:sectPr w:rsidR="0064197B" w:rsidRPr="0064197B" w:rsidSect="009B50B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6B70" w14:textId="77777777" w:rsidR="00A55110" w:rsidRDefault="00A55110" w:rsidP="00675F5B">
      <w:pPr>
        <w:spacing w:after="0" w:line="240" w:lineRule="auto"/>
      </w:pPr>
      <w:r>
        <w:separator/>
      </w:r>
    </w:p>
  </w:endnote>
  <w:endnote w:type="continuationSeparator" w:id="0">
    <w:p w14:paraId="7072E9EB" w14:textId="77777777" w:rsidR="00A55110" w:rsidRDefault="00A55110" w:rsidP="0067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867355"/>
      <w:docPartObj>
        <w:docPartGallery w:val="Page Numbers (Bottom of Page)"/>
        <w:docPartUnique/>
      </w:docPartObj>
    </w:sdtPr>
    <w:sdtEndPr>
      <w:rPr>
        <w:noProof/>
      </w:rPr>
    </w:sdtEndPr>
    <w:sdtContent>
      <w:p w14:paraId="378C6AFB" w14:textId="4176307E" w:rsidR="009B50B0" w:rsidRDefault="009B5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3C045" w14:textId="77777777" w:rsidR="009B50B0" w:rsidRDefault="009B5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F8CD" w14:textId="77777777" w:rsidR="00A55110" w:rsidRDefault="00A55110" w:rsidP="00675F5B">
      <w:pPr>
        <w:spacing w:after="0" w:line="240" w:lineRule="auto"/>
      </w:pPr>
      <w:r>
        <w:separator/>
      </w:r>
    </w:p>
  </w:footnote>
  <w:footnote w:type="continuationSeparator" w:id="0">
    <w:p w14:paraId="6ECC24CB" w14:textId="77777777" w:rsidR="00A55110" w:rsidRDefault="00A55110" w:rsidP="00675F5B">
      <w:pPr>
        <w:spacing w:after="0" w:line="240" w:lineRule="auto"/>
      </w:pPr>
      <w:r>
        <w:continuationSeparator/>
      </w:r>
    </w:p>
  </w:footnote>
  <w:footnote w:id="1">
    <w:p w14:paraId="594689A2" w14:textId="1BDEE2FB" w:rsidR="00675F5B" w:rsidRDefault="00675F5B" w:rsidP="009B50B0">
      <w:pPr>
        <w:pStyle w:val="FootnoteText"/>
      </w:pPr>
      <w:r>
        <w:tab/>
      </w:r>
      <w:r>
        <w:rPr>
          <w:rStyle w:val="FootnoteReference"/>
        </w:rPr>
        <w:footnoteRef/>
      </w:r>
      <w:r>
        <w:t xml:space="preserve"> </w:t>
      </w:r>
      <w:r>
        <w:tab/>
        <w:t>The Office of Administrative Law Judge served a notice on January 28, 2021, assigning</w:t>
      </w:r>
      <w:r w:rsidR="0009641D">
        <w:t xml:space="preserve"> the complaint to me.</w:t>
      </w:r>
      <w:r w:rsidR="00296FE1">
        <w:br/>
      </w:r>
    </w:p>
  </w:footnote>
  <w:footnote w:id="2">
    <w:p w14:paraId="64F11412" w14:textId="50B6767F" w:rsidR="00675F5B" w:rsidRPr="00BD7681" w:rsidRDefault="00675F5B" w:rsidP="009B50B0">
      <w:pPr>
        <w:pStyle w:val="FootnoteText"/>
      </w:pPr>
      <w:r>
        <w:tab/>
      </w:r>
      <w:r w:rsidRPr="00BD7681">
        <w:rPr>
          <w:rStyle w:val="FootnoteReference"/>
        </w:rPr>
        <w:footnoteRef/>
      </w:r>
      <w:r w:rsidRPr="00BD7681">
        <w:t xml:space="preserve"> </w:t>
      </w:r>
      <w:r w:rsidRPr="00BD7681">
        <w:tab/>
      </w:r>
      <w:proofErr w:type="spellStart"/>
      <w:r w:rsidRPr="0009641D">
        <w:rPr>
          <w:i/>
          <w:iCs/>
        </w:rPr>
        <w:t>Povacz</w:t>
      </w:r>
      <w:proofErr w:type="spellEnd"/>
      <w:r w:rsidRPr="0009641D">
        <w:rPr>
          <w:i/>
          <w:iCs/>
        </w:rPr>
        <w:t>, v. Pa. Public Utility Commission</w:t>
      </w:r>
      <w:r w:rsidRPr="00BD7681">
        <w:t xml:space="preserve">, 280 A.3d 975 (Pa. </w:t>
      </w:r>
      <w:proofErr w:type="gramStart"/>
      <w:r w:rsidRPr="00BD7681">
        <w:t>2022)</w:t>
      </w:r>
      <w:r>
        <w:t>(</w:t>
      </w:r>
      <w:proofErr w:type="spellStart"/>
      <w:proofErr w:type="gramEnd"/>
      <w:r w:rsidRPr="0009641D">
        <w:rPr>
          <w:i/>
          <w:iCs/>
        </w:rPr>
        <w:t>Povacz</w:t>
      </w:r>
      <w:proofErr w:type="spellEnd"/>
      <w:r w:rsidRPr="0009641D">
        <w:rPr>
          <w:i/>
          <w:iCs/>
        </w:rPr>
        <w:t xml:space="preserve"> II</w:t>
      </w:r>
      <w:r>
        <w:t>).</w:t>
      </w:r>
      <w:r w:rsidR="0009641D">
        <w:br/>
      </w:r>
    </w:p>
  </w:footnote>
  <w:footnote w:id="3">
    <w:p w14:paraId="0F9BE8BC" w14:textId="02ECD2A3" w:rsidR="00675F5B" w:rsidRPr="00BD7681" w:rsidRDefault="00675F5B" w:rsidP="009B50B0">
      <w:pPr>
        <w:pStyle w:val="FootnoteText"/>
      </w:pPr>
      <w:r>
        <w:tab/>
      </w:r>
      <w:r w:rsidRPr="00BD7681">
        <w:rPr>
          <w:rStyle w:val="FootnoteReference"/>
        </w:rPr>
        <w:footnoteRef/>
      </w:r>
      <w:r w:rsidRPr="00BD7681">
        <w:t xml:space="preserve"> </w:t>
      </w:r>
      <w:r w:rsidRPr="00BD7681">
        <w:tab/>
      </w:r>
      <w:r w:rsidRPr="00BD7681">
        <w:rPr>
          <w:i/>
          <w:iCs/>
        </w:rPr>
        <w:t xml:space="preserve">Id. </w:t>
      </w:r>
      <w:r w:rsidRPr="00BD7681">
        <w:t xml:space="preserve">at 997.  </w:t>
      </w:r>
      <w:r w:rsidR="0009641D">
        <w:br/>
      </w:r>
    </w:p>
  </w:footnote>
  <w:footnote w:id="4">
    <w:p w14:paraId="6B3C20E0" w14:textId="77777777" w:rsidR="00675F5B" w:rsidRDefault="00675F5B" w:rsidP="009B50B0">
      <w:pPr>
        <w:pStyle w:val="FootnoteText"/>
      </w:pPr>
      <w:r>
        <w:tab/>
      </w:r>
      <w:r>
        <w:rPr>
          <w:rStyle w:val="FootnoteReference"/>
        </w:rPr>
        <w:footnoteRef/>
      </w:r>
      <w:r>
        <w:t xml:space="preserve"> </w:t>
      </w:r>
      <w:r>
        <w:tab/>
        <w:t>66 Pa. C.S. § 1501.</w:t>
      </w:r>
    </w:p>
  </w:footnote>
  <w:footnote w:id="5">
    <w:p w14:paraId="5EDCA935" w14:textId="31EA5846" w:rsidR="00D16327" w:rsidRDefault="00D16327" w:rsidP="009B50B0">
      <w:pPr>
        <w:pStyle w:val="FootnoteText"/>
      </w:pPr>
      <w:r>
        <w:rPr>
          <w:rStyle w:val="FootnoteReference"/>
        </w:rPr>
        <w:footnoteRef/>
      </w:r>
      <w:r w:rsidR="00381000">
        <w:t xml:space="preserve"> </w:t>
      </w:r>
      <w:r w:rsidR="00381000">
        <w:tab/>
      </w:r>
      <w:r w:rsidR="001F2109" w:rsidRPr="00381000">
        <w:rPr>
          <w:i/>
          <w:iCs/>
        </w:rPr>
        <w:t>E.g.</w:t>
      </w:r>
      <w:proofErr w:type="gramStart"/>
      <w:r w:rsidR="001F2109" w:rsidRPr="00381000">
        <w:rPr>
          <w:i/>
          <w:iCs/>
        </w:rPr>
        <w:t>,</w:t>
      </w:r>
      <w:r w:rsidR="001F2109">
        <w:t xml:space="preserve"> </w:t>
      </w:r>
      <w:r>
        <w:t xml:space="preserve"> </w:t>
      </w:r>
      <w:r w:rsidR="003D26AE" w:rsidRPr="001F2109">
        <w:rPr>
          <w:i/>
          <w:iCs/>
        </w:rPr>
        <w:t>Stilp</w:t>
      </w:r>
      <w:proofErr w:type="gramEnd"/>
      <w:r w:rsidR="003D26AE" w:rsidRPr="001F2109">
        <w:rPr>
          <w:i/>
          <w:iCs/>
        </w:rPr>
        <w:t xml:space="preserve"> v. Commonwealth</w:t>
      </w:r>
      <w:r w:rsidR="003D26AE" w:rsidRPr="003D26AE">
        <w:t xml:space="preserve">, 910 A.2d 775, 791 (Pa. </w:t>
      </w:r>
      <w:r w:rsidR="001F2109">
        <w:t xml:space="preserve">Cmwlth. </w:t>
      </w:r>
      <w:r w:rsidR="003D26AE" w:rsidRPr="003D26AE">
        <w:t>2006)</w:t>
      </w:r>
      <w:r w:rsidR="00312926">
        <w:t>.</w:t>
      </w:r>
    </w:p>
  </w:footnote>
  <w:footnote w:id="6">
    <w:p w14:paraId="6BF17FC5" w14:textId="77777777" w:rsidR="00DC546D" w:rsidRDefault="00DC546D" w:rsidP="009B50B0">
      <w:pPr>
        <w:pStyle w:val="FootnoteText"/>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230"/>
    <w:multiLevelType w:val="hybridMultilevel"/>
    <w:tmpl w:val="B936DB28"/>
    <w:lvl w:ilvl="0" w:tplc="5A06FD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3"/>
  </w:num>
  <w:num w:numId="2" w16cid:durableId="434331319">
    <w:abstractNumId w:val="23"/>
  </w:num>
  <w:num w:numId="3" w16cid:durableId="700204405">
    <w:abstractNumId w:val="31"/>
  </w:num>
  <w:num w:numId="4" w16cid:durableId="1443763581">
    <w:abstractNumId w:val="35"/>
  </w:num>
  <w:num w:numId="5" w16cid:durableId="1888641000">
    <w:abstractNumId w:val="13"/>
  </w:num>
  <w:num w:numId="6" w16cid:durableId="771897392">
    <w:abstractNumId w:val="9"/>
  </w:num>
  <w:num w:numId="7" w16cid:durableId="401686284">
    <w:abstractNumId w:val="7"/>
  </w:num>
  <w:num w:numId="8" w16cid:durableId="905720563">
    <w:abstractNumId w:val="34"/>
  </w:num>
  <w:num w:numId="9" w16cid:durableId="76749609">
    <w:abstractNumId w:val="4"/>
  </w:num>
  <w:num w:numId="10" w16cid:durableId="1172405981">
    <w:abstractNumId w:val="25"/>
  </w:num>
  <w:num w:numId="11" w16cid:durableId="1312253715">
    <w:abstractNumId w:val="30"/>
  </w:num>
  <w:num w:numId="12" w16cid:durableId="10184379">
    <w:abstractNumId w:val="19"/>
  </w:num>
  <w:num w:numId="13" w16cid:durableId="529227091">
    <w:abstractNumId w:val="27"/>
  </w:num>
  <w:num w:numId="14" w16cid:durableId="2083213294">
    <w:abstractNumId w:val="32"/>
  </w:num>
  <w:num w:numId="15" w16cid:durableId="103304739">
    <w:abstractNumId w:val="1"/>
  </w:num>
  <w:num w:numId="16" w16cid:durableId="1268391741">
    <w:abstractNumId w:val="24"/>
  </w:num>
  <w:num w:numId="17" w16cid:durableId="1737705955">
    <w:abstractNumId w:val="24"/>
  </w:num>
  <w:num w:numId="18" w16cid:durableId="2065447608">
    <w:abstractNumId w:val="12"/>
  </w:num>
  <w:num w:numId="19" w16cid:durableId="240335003">
    <w:abstractNumId w:val="20"/>
  </w:num>
  <w:num w:numId="20" w16cid:durableId="1699697877">
    <w:abstractNumId w:val="36"/>
  </w:num>
  <w:num w:numId="21" w16cid:durableId="1433433638">
    <w:abstractNumId w:val="17"/>
  </w:num>
  <w:num w:numId="22" w16cid:durableId="1235362085">
    <w:abstractNumId w:val="6"/>
  </w:num>
  <w:num w:numId="23" w16cid:durableId="1143349798">
    <w:abstractNumId w:val="18"/>
  </w:num>
  <w:num w:numId="24" w16cid:durableId="638923867">
    <w:abstractNumId w:val="39"/>
  </w:num>
  <w:num w:numId="25" w16cid:durableId="1407266254">
    <w:abstractNumId w:val="2"/>
  </w:num>
  <w:num w:numId="26" w16cid:durableId="1634946696">
    <w:abstractNumId w:val="8"/>
  </w:num>
  <w:num w:numId="27" w16cid:durableId="1395852139">
    <w:abstractNumId w:val="29"/>
  </w:num>
  <w:num w:numId="28" w16cid:durableId="1694070323">
    <w:abstractNumId w:val="16"/>
  </w:num>
  <w:num w:numId="29" w16cid:durableId="722409651">
    <w:abstractNumId w:val="11"/>
  </w:num>
  <w:num w:numId="30" w16cid:durableId="1882018023">
    <w:abstractNumId w:val="22"/>
  </w:num>
  <w:num w:numId="31" w16cid:durableId="1653749281">
    <w:abstractNumId w:val="37"/>
  </w:num>
  <w:num w:numId="32" w16cid:durableId="1057171494">
    <w:abstractNumId w:val="38"/>
  </w:num>
  <w:num w:numId="33" w16cid:durableId="1563904577">
    <w:abstractNumId w:val="28"/>
  </w:num>
  <w:num w:numId="34" w16cid:durableId="1325668127">
    <w:abstractNumId w:val="5"/>
  </w:num>
  <w:num w:numId="35" w16cid:durableId="1633827708">
    <w:abstractNumId w:val="21"/>
  </w:num>
  <w:num w:numId="36" w16cid:durableId="722096734">
    <w:abstractNumId w:val="3"/>
  </w:num>
  <w:num w:numId="37" w16cid:durableId="50353854">
    <w:abstractNumId w:val="14"/>
  </w:num>
  <w:num w:numId="38" w16cid:durableId="1740320400">
    <w:abstractNumId w:val="26"/>
  </w:num>
  <w:num w:numId="39" w16cid:durableId="1583250809">
    <w:abstractNumId w:val="15"/>
  </w:num>
  <w:num w:numId="40" w16cid:durableId="2027363711">
    <w:abstractNumId w:val="10"/>
  </w:num>
  <w:num w:numId="41" w16cid:durableId="203491476">
    <w:abstractNumId w:val="10"/>
  </w:num>
  <w:num w:numId="42" w16cid:durableId="2108693603">
    <w:abstractNumId w:val="10"/>
  </w:num>
  <w:num w:numId="43" w16cid:durableId="124892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5B"/>
    <w:rsid w:val="00004C37"/>
    <w:rsid w:val="000066B3"/>
    <w:rsid w:val="00066D87"/>
    <w:rsid w:val="00073530"/>
    <w:rsid w:val="00083973"/>
    <w:rsid w:val="0009641D"/>
    <w:rsid w:val="000E3EDE"/>
    <w:rsid w:val="00107E82"/>
    <w:rsid w:val="00170D5E"/>
    <w:rsid w:val="001A21B6"/>
    <w:rsid w:val="001B1CBA"/>
    <w:rsid w:val="001C33B1"/>
    <w:rsid w:val="001D2AF7"/>
    <w:rsid w:val="001D500B"/>
    <w:rsid w:val="001F2109"/>
    <w:rsid w:val="00207743"/>
    <w:rsid w:val="00213167"/>
    <w:rsid w:val="002512F9"/>
    <w:rsid w:val="00267405"/>
    <w:rsid w:val="0029557C"/>
    <w:rsid w:val="00296FE1"/>
    <w:rsid w:val="002C697B"/>
    <w:rsid w:val="002D332C"/>
    <w:rsid w:val="00312926"/>
    <w:rsid w:val="003145FA"/>
    <w:rsid w:val="00331717"/>
    <w:rsid w:val="00367A41"/>
    <w:rsid w:val="00381000"/>
    <w:rsid w:val="00393C92"/>
    <w:rsid w:val="003A1A41"/>
    <w:rsid w:val="003A3E09"/>
    <w:rsid w:val="003D26AE"/>
    <w:rsid w:val="00417566"/>
    <w:rsid w:val="004A1D95"/>
    <w:rsid w:val="004D523C"/>
    <w:rsid w:val="005346DF"/>
    <w:rsid w:val="005A1C17"/>
    <w:rsid w:val="005A20B8"/>
    <w:rsid w:val="005A2ABA"/>
    <w:rsid w:val="005C50F3"/>
    <w:rsid w:val="005D180A"/>
    <w:rsid w:val="005E7B69"/>
    <w:rsid w:val="00613EA9"/>
    <w:rsid w:val="0061775F"/>
    <w:rsid w:val="0064197B"/>
    <w:rsid w:val="00675F5B"/>
    <w:rsid w:val="00696C0D"/>
    <w:rsid w:val="006C6A0D"/>
    <w:rsid w:val="006F0329"/>
    <w:rsid w:val="00700807"/>
    <w:rsid w:val="00712E58"/>
    <w:rsid w:val="007407AC"/>
    <w:rsid w:val="00755D72"/>
    <w:rsid w:val="007851F3"/>
    <w:rsid w:val="00792796"/>
    <w:rsid w:val="00796B64"/>
    <w:rsid w:val="007E6779"/>
    <w:rsid w:val="00820B4C"/>
    <w:rsid w:val="00827333"/>
    <w:rsid w:val="0083239D"/>
    <w:rsid w:val="008529D2"/>
    <w:rsid w:val="0088105E"/>
    <w:rsid w:val="00882E15"/>
    <w:rsid w:val="008B3F8A"/>
    <w:rsid w:val="00917DCA"/>
    <w:rsid w:val="00926DE3"/>
    <w:rsid w:val="00977F3B"/>
    <w:rsid w:val="00994B3A"/>
    <w:rsid w:val="00997CAE"/>
    <w:rsid w:val="009B50B0"/>
    <w:rsid w:val="009C7C72"/>
    <w:rsid w:val="009D0BA5"/>
    <w:rsid w:val="009D6114"/>
    <w:rsid w:val="00A47096"/>
    <w:rsid w:val="00A55110"/>
    <w:rsid w:val="00A74A63"/>
    <w:rsid w:val="00A859F8"/>
    <w:rsid w:val="00AA2EC5"/>
    <w:rsid w:val="00AB4C73"/>
    <w:rsid w:val="00AD27C0"/>
    <w:rsid w:val="00AE6F47"/>
    <w:rsid w:val="00B91E47"/>
    <w:rsid w:val="00BC6B21"/>
    <w:rsid w:val="00C04D8A"/>
    <w:rsid w:val="00C65884"/>
    <w:rsid w:val="00C87E57"/>
    <w:rsid w:val="00CF6143"/>
    <w:rsid w:val="00D14843"/>
    <w:rsid w:val="00D16327"/>
    <w:rsid w:val="00DC546D"/>
    <w:rsid w:val="00DD5C37"/>
    <w:rsid w:val="00DE2B63"/>
    <w:rsid w:val="00DF35D9"/>
    <w:rsid w:val="00E4239A"/>
    <w:rsid w:val="00E445B2"/>
    <w:rsid w:val="00EB027A"/>
    <w:rsid w:val="00EC1CBA"/>
    <w:rsid w:val="00EE7801"/>
    <w:rsid w:val="00EF0975"/>
    <w:rsid w:val="00F11A19"/>
    <w:rsid w:val="00F16554"/>
    <w:rsid w:val="00F51D77"/>
    <w:rsid w:val="00F544E1"/>
    <w:rsid w:val="00FD5C10"/>
    <w:rsid w:val="00FE0F59"/>
    <w:rsid w:val="00FE4DAB"/>
    <w:rsid w:val="00FE5A64"/>
    <w:rsid w:val="00FE71E7"/>
    <w:rsid w:val="00FE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94A9"/>
  <w15:chartTrackingRefBased/>
  <w15:docId w15:val="{D6BF713C-C8AB-47C7-9A7D-A3029CA8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A74A63"/>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9B50B0"/>
    <w:pPr>
      <w:spacing w:after="0" w:line="240" w:lineRule="auto"/>
    </w:pPr>
    <w:rPr>
      <w:rFonts w:eastAsia="Times New Roman"/>
      <w:sz w:val="20"/>
    </w:rPr>
  </w:style>
  <w:style w:type="character" w:customStyle="1" w:styleId="FootnoteTextChar">
    <w:name w:val="Footnote Text Char"/>
    <w:basedOn w:val="DefaultParagraphFont"/>
    <w:link w:val="FootnoteText"/>
    <w:uiPriority w:val="99"/>
    <w:rsid w:val="009B50B0"/>
    <w:rPr>
      <w:rFonts w:eastAsia="Times New Roman"/>
      <w:sz w:val="20"/>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character" w:styleId="FootnoteReference">
    <w:name w:val="footnote reference"/>
    <w:aliases w:val="o,fr"/>
    <w:uiPriority w:val="99"/>
    <w:unhideWhenUsed/>
    <w:rsid w:val="00675F5B"/>
    <w:rPr>
      <w:vertAlign w:val="superscript"/>
    </w:rPr>
  </w:style>
  <w:style w:type="paragraph" w:styleId="Header">
    <w:name w:val="header"/>
    <w:basedOn w:val="Normal"/>
    <w:link w:val="HeaderChar"/>
    <w:uiPriority w:val="99"/>
    <w:unhideWhenUsed/>
    <w:rsid w:val="009B50B0"/>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9B50B0"/>
  </w:style>
  <w:style w:type="paragraph" w:styleId="Footer">
    <w:name w:val="footer"/>
    <w:basedOn w:val="Normal"/>
    <w:link w:val="FooterChar"/>
    <w:uiPriority w:val="99"/>
    <w:unhideWhenUsed/>
    <w:rsid w:val="009B50B0"/>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B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Foster, Laythan</cp:lastModifiedBy>
  <cp:revision>2</cp:revision>
  <dcterms:created xsi:type="dcterms:W3CDTF">2023-12-18T17:17:00Z</dcterms:created>
  <dcterms:modified xsi:type="dcterms:W3CDTF">2023-12-18T17:17:00Z</dcterms:modified>
</cp:coreProperties>
</file>