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80D1" w14:textId="28F6C244" w:rsidR="00B64335" w:rsidRPr="007E43C7" w:rsidRDefault="00B64335" w:rsidP="00B6433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7139E0F" w14:textId="77777777" w:rsidR="00B64335" w:rsidRPr="007E43C7" w:rsidRDefault="00B64335" w:rsidP="00B6433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A3478B" w14:textId="77777777" w:rsidR="00B64335" w:rsidRPr="007E43C7" w:rsidRDefault="00B64335" w:rsidP="00B64335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43C7">
        <w:rPr>
          <w:rFonts w:ascii="Times New Roman" w:eastAsia="Calibri" w:hAnsi="Times New Roman" w:cs="Times New Roman"/>
          <w:b/>
          <w:sz w:val="24"/>
          <w:szCs w:val="24"/>
        </w:rPr>
        <w:t>BEFORE THE</w:t>
      </w:r>
    </w:p>
    <w:p w14:paraId="10FC6BC7" w14:textId="77777777" w:rsidR="00B64335" w:rsidRPr="007E43C7" w:rsidRDefault="00B64335" w:rsidP="00B6433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  <w:r w:rsidRPr="007E43C7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3EBF6153" w14:textId="77777777" w:rsidR="00B64335" w:rsidRPr="007E43C7" w:rsidRDefault="00B64335" w:rsidP="00B643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4F057130" w14:textId="77777777" w:rsidR="00B64335" w:rsidRPr="007E43C7" w:rsidRDefault="00B64335" w:rsidP="00B643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1ED41595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4CB21F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3C7">
        <w:rPr>
          <w:rFonts w:ascii="Times New Roman" w:eastAsia="Calibri" w:hAnsi="Times New Roman" w:cs="Times New Roman"/>
          <w:sz w:val="24"/>
          <w:szCs w:val="24"/>
        </w:rPr>
        <w:t>Miranda Edwards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</w:p>
    <w:p w14:paraId="1E5A238F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</w:p>
    <w:p w14:paraId="0312E5B1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3C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C-2018-3002741</w:t>
      </w:r>
    </w:p>
    <w:p w14:paraId="07026862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026B2A1C" w14:textId="77777777" w:rsidR="00B64335" w:rsidRPr="007E43C7" w:rsidRDefault="00B64335" w:rsidP="00B643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3C7">
        <w:rPr>
          <w:rFonts w:ascii="Times New Roman" w:eastAsia="Calibri" w:hAnsi="Times New Roman" w:cs="Times New Roman"/>
          <w:sz w:val="24"/>
          <w:szCs w:val="24"/>
        </w:rPr>
        <w:t>Duquesne Light Company</w:t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</w:r>
      <w:r w:rsidRPr="007E43C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43B289C" w14:textId="77777777" w:rsidR="00B64335" w:rsidRPr="007E43C7" w:rsidRDefault="00B64335" w:rsidP="00B64335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4C91DF50" w14:textId="77777777" w:rsidR="00B64335" w:rsidRPr="007E43C7" w:rsidRDefault="00B64335" w:rsidP="00B6433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1330E691" w14:textId="77777777" w:rsidR="00B64335" w:rsidRPr="007E43C7" w:rsidRDefault="00B64335" w:rsidP="00B6433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14:paraId="560A0EBC" w14:textId="77777777" w:rsidR="00B64335" w:rsidRPr="007E43C7" w:rsidRDefault="00B64335" w:rsidP="00B64335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7E43C7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7B23E760" w14:textId="0CA393A3" w:rsidR="00B64335" w:rsidRPr="00B64335" w:rsidRDefault="00B64335" w:rsidP="00B64335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 w:rsidRPr="00B64335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RE-OPENING EVIDENTIARY RECORD</w:t>
      </w:r>
    </w:p>
    <w:p w14:paraId="2B7052A6" w14:textId="77777777" w:rsidR="00B64335" w:rsidRPr="007E43C7" w:rsidRDefault="00B64335" w:rsidP="00B64335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0F1F7F0D" w14:textId="30948262" w:rsidR="00B64335" w:rsidRPr="007E43C7" w:rsidRDefault="00B64335" w:rsidP="00B6433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E43C7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February 27, </w:t>
      </w:r>
      <w:r w:rsidR="00A63215" w:rsidRPr="007E43C7">
        <w:rPr>
          <w:rFonts w:ascii="Times New Roman" w:eastAsia="Times New Roman" w:hAnsi="Times New Roman" w:cs="Times New Roman"/>
          <w:sz w:val="24"/>
          <w:szCs w:val="24"/>
        </w:rPr>
        <w:t>2020,</w:t>
      </w:r>
      <w:r w:rsidRPr="007E43C7">
        <w:rPr>
          <w:rFonts w:ascii="Times New Roman" w:eastAsia="Times New Roman" w:hAnsi="Times New Roman" w:cs="Times New Roman"/>
          <w:sz w:val="24"/>
          <w:szCs w:val="24"/>
        </w:rPr>
        <w:t xml:space="preserve"> and was concluded on that date.  </w:t>
      </w:r>
    </w:p>
    <w:p w14:paraId="4659D9E8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00097E5D" w14:textId="77777777" w:rsidR="00B64335" w:rsidRPr="007E43C7" w:rsidRDefault="00B64335" w:rsidP="00B6433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E43C7">
        <w:rPr>
          <w:rFonts w:ascii="Times New Roman" w:eastAsia="Times New Roman" w:hAnsi="Times New Roman" w:cs="Times New Roman"/>
          <w:sz w:val="24"/>
          <w:szCs w:val="24"/>
        </w:rPr>
        <w:t>On June 2, 2020, an Interim Order was issued permitting the parties to file briefs in this proceeding by July 3, 2020.</w:t>
      </w:r>
    </w:p>
    <w:p w14:paraId="07416A8A" w14:textId="77777777" w:rsidR="00B64335" w:rsidRPr="007E43C7" w:rsidRDefault="00B64335" w:rsidP="00B64335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3A0DED0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>Respondent filed a brief on July 2, 2020.  Complainant did not file a brief.</w:t>
      </w:r>
    </w:p>
    <w:p w14:paraId="7D90BF46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3506D5D8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>On July 8, 2020, the undersigned presiding officer was provided with a copy of an email from Complainant acknowledging that she received a brief from Respondent but indicating that she did not receive the order setting the briefing schedule.</w:t>
      </w:r>
    </w:p>
    <w:p w14:paraId="62468B38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4757D5AF" w14:textId="36564610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 xml:space="preserve">On July 9, 2020, an Interim Order Extending the Briefing Schedule was issued allowing Complainant to file her brief on or before August 6, </w:t>
      </w:r>
      <w:r w:rsidR="00A63215" w:rsidRPr="007E43C7">
        <w:rPr>
          <w:rFonts w:ascii="Times New Roman" w:hAnsi="Times New Roman" w:cs="Times New Roman"/>
          <w:sz w:val="24"/>
          <w:szCs w:val="24"/>
        </w:rPr>
        <w:t>2020,</w:t>
      </w:r>
      <w:r w:rsidRPr="007E43C7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Pr="007E43C7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Pr="007E43C7">
        <w:rPr>
          <w:rFonts w:ascii="Times New Roman" w:hAnsi="Times New Roman" w:cs="Times New Roman"/>
          <w:sz w:val="24"/>
          <w:szCs w:val="24"/>
        </w:rPr>
        <w:t xml:space="preserve"> briefs on or before September 11, 2020.</w:t>
      </w:r>
    </w:p>
    <w:p w14:paraId="0FAD7B76" w14:textId="77777777" w:rsidR="00B64335" w:rsidRPr="007E43C7" w:rsidRDefault="00B64335" w:rsidP="00B64335">
      <w:pPr>
        <w:tabs>
          <w:tab w:val="left" w:pos="1584"/>
        </w:tabs>
        <w:spacing w:after="0" w:line="360" w:lineRule="auto"/>
        <w:ind w:right="72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43C7">
        <w:rPr>
          <w:rFonts w:ascii="Times New Roman" w:hAnsi="Times New Roman" w:cs="Times New Roman"/>
          <w:sz w:val="24"/>
          <w:szCs w:val="24"/>
        </w:rPr>
        <w:t xml:space="preserve">Complainant filed Complainant’s Post-Hearing Brief on August 6, 2020.   </w:t>
      </w:r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At page 5 of Complainant's Post-Hearing </w:t>
      </w:r>
      <w:proofErr w:type="gramStart"/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>Brief</w:t>
      </w:r>
      <w:proofErr w:type="gramEnd"/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she disclosed settlement discussions between </w:t>
      </w:r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herself and Respondent’s counsel</w:t>
      </w:r>
      <w:r>
        <w:rPr>
          <w:rStyle w:val="FootnoteReference"/>
          <w:rFonts w:ascii="Times New Roman" w:eastAsia="Arial" w:hAnsi="Times New Roman" w:cs="Times New Roman"/>
          <w:color w:val="000000"/>
          <w:sz w:val="24"/>
          <w:szCs w:val="24"/>
        </w:rPr>
        <w:footnoteReference w:id="1"/>
      </w:r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, which Complainant averred occurred on February 22, 2020, during a telephone conversation between counsel for Respondent and </w:t>
      </w:r>
      <w:r w:rsidRPr="006C4801">
        <w:rPr>
          <w:rFonts w:ascii="Times New Roman" w:eastAsia="Arial" w:hAnsi="Times New Roman" w:cs="Times New Roman"/>
          <w:color w:val="000000"/>
          <w:sz w:val="24"/>
          <w:szCs w:val="24"/>
        </w:rPr>
        <w:t>Complainant.</w:t>
      </w:r>
      <w:r>
        <w:rPr>
          <w:rStyle w:val="FootnoteReference"/>
          <w:rFonts w:ascii="Times New Roman" w:eastAsia="Arial" w:hAnsi="Times New Roman" w:cs="Times New Roman"/>
          <w:color w:val="000000"/>
          <w:sz w:val="24"/>
          <w:szCs w:val="24"/>
        </w:rPr>
        <w:footnoteReference w:id="2"/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>Complainant also attached and relied upon exhibits to her Post-Hearing Brief that she offered at the hearing, seven of which were ruled as inadmissible at the hearing.</w:t>
      </w:r>
    </w:p>
    <w:p w14:paraId="0D660C07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EE817D3" w14:textId="77777777" w:rsidR="00B64335" w:rsidRPr="007E43C7" w:rsidRDefault="00B64335" w:rsidP="00B64335">
      <w:pPr>
        <w:spacing w:after="0" w:line="360" w:lineRule="auto"/>
        <w:ind w:right="72" w:firstLine="1440"/>
        <w:textAlignment w:val="baseline"/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 xml:space="preserve">Both parties filed </w:t>
      </w:r>
      <w:proofErr w:type="gramStart"/>
      <w:r w:rsidRPr="007E43C7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Pr="007E43C7">
        <w:rPr>
          <w:rFonts w:ascii="Times New Roman" w:hAnsi="Times New Roman" w:cs="Times New Roman"/>
          <w:sz w:val="24"/>
          <w:szCs w:val="24"/>
        </w:rPr>
        <w:t xml:space="preserve"> briefs on September 11,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43C7">
        <w:rPr>
          <w:rFonts w:ascii="Times New Roman" w:hAnsi="Times New Roman" w:cs="Times New Roman"/>
          <w:sz w:val="24"/>
          <w:szCs w:val="24"/>
        </w:rPr>
        <w:t xml:space="preserve"> In her reply brief, </w:t>
      </w:r>
      <w:r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Complainant referred to several articles and documents that she did not offer into evidence at the hearing</w:t>
      </w:r>
      <w:r w:rsidRPr="006C4801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.</w:t>
      </w:r>
      <w:r>
        <w:rPr>
          <w:rStyle w:val="FootnoteReference"/>
          <w:rFonts w:ascii="Times New Roman" w:eastAsia="Arial" w:hAnsi="Times New Roman" w:cs="Times New Roman"/>
          <w:color w:val="000000"/>
          <w:spacing w:val="4"/>
          <w:sz w:val="24"/>
          <w:szCs w:val="24"/>
        </w:rPr>
        <w:footnoteReference w:id="3"/>
      </w:r>
      <w:r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48E6C4BB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581613EC" w14:textId="77777777" w:rsidR="00B64335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 xml:space="preserve">On September 22, 2020, Respondent filed a Motion to Strike Improper and Inadmissible Material in Complainant's Post-Hearing Brief and Reply Brief averring that Complainant made </w:t>
      </w:r>
      <w:proofErr w:type="gramStart"/>
      <w:r w:rsidRPr="007E43C7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7E43C7">
        <w:rPr>
          <w:rFonts w:ascii="Times New Roman" w:hAnsi="Times New Roman" w:cs="Times New Roman"/>
          <w:sz w:val="24"/>
          <w:szCs w:val="24"/>
        </w:rPr>
        <w:t xml:space="preserve"> improper disclosures and repeatedly referred to evidence that is not in the record.</w:t>
      </w:r>
    </w:p>
    <w:p w14:paraId="62072457" w14:textId="77777777" w:rsidR="00B64335" w:rsidRPr="007E43C7" w:rsidRDefault="00B64335" w:rsidP="00B6433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470A151E" w14:textId="77777777" w:rsidR="00B64335" w:rsidRPr="007E43C7" w:rsidRDefault="00B64335" w:rsidP="00B64335">
      <w:pPr>
        <w:spacing w:after="0" w:line="360" w:lineRule="auto"/>
        <w:ind w:firstLine="1440"/>
        <w:jc w:val="both"/>
        <w:textAlignment w:val="baseline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E43C7">
        <w:rPr>
          <w:rFonts w:ascii="Times New Roman" w:hAnsi="Times New Roman" w:cs="Times New Roman"/>
          <w:sz w:val="24"/>
          <w:szCs w:val="24"/>
        </w:rPr>
        <w:t xml:space="preserve">On October 2, 2020, Complainant filed </w:t>
      </w:r>
      <w:r w:rsidRPr="007E43C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Complainant’s Objections to Duquesne Light Company’s Motion to Strike, requesting that Respondent’s Motion to Strike be denied.</w:t>
      </w:r>
    </w:p>
    <w:p w14:paraId="68D8EEDF" w14:textId="77777777" w:rsidR="00B64335" w:rsidRPr="007E43C7" w:rsidRDefault="00B64335" w:rsidP="00B64335">
      <w:pPr>
        <w:spacing w:after="0" w:line="360" w:lineRule="auto"/>
        <w:textAlignment w:val="baseline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14:paraId="374AD1F1" w14:textId="6B11FA27" w:rsidR="00B64335" w:rsidRPr="007E43C7" w:rsidRDefault="00211A2C" w:rsidP="00211A2C">
      <w:pPr>
        <w:spacing w:after="0" w:line="360" w:lineRule="auto"/>
        <w:ind w:firstLine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</w:t>
      </w:r>
      <w:r w:rsidR="00B64335" w:rsidRPr="00211A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On October 16, 2020, an interim order was entered </w:t>
      </w:r>
      <w:r w:rsidRPr="00211A2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granting </w:t>
      </w:r>
      <w:r w:rsidR="00B64335" w:rsidRPr="00211A2C">
        <w:rPr>
          <w:rFonts w:ascii="Times New Roman" w:hAnsi="Times New Roman" w:cs="Times New Roman"/>
          <w:sz w:val="24"/>
          <w:szCs w:val="24"/>
        </w:rPr>
        <w:t xml:space="preserve">the Motion to Strike Improper and Inadmissible Material in Complainant's Post-Hearing Brief and Reply Brief filed by Respondent on September 22, </w:t>
      </w:r>
      <w:proofErr w:type="gramStart"/>
      <w:r w:rsidR="00B64335" w:rsidRPr="00211A2C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Pr="00211A2C">
        <w:rPr>
          <w:rFonts w:ascii="Times New Roman" w:hAnsi="Times New Roman" w:cs="Times New Roman"/>
          <w:sz w:val="24"/>
          <w:szCs w:val="24"/>
        </w:rPr>
        <w:t xml:space="preserve"> and denying </w:t>
      </w:r>
      <w:r w:rsidR="00B64335" w:rsidRPr="00211A2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Complainant’s Objections to Duquesne Light Company’s Motion to Strike, filed by Complainant on October 2, 2020.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 All </w:t>
      </w:r>
      <w:r w:rsidR="00B64335" w:rsidRPr="007E43C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references to settlement discussions between Complainant and counsel for Respondent as identified by Respondent in its Motion to Strike and the </w:t>
      </w:r>
      <w:r w:rsidR="00B64335"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Exhibit C attached to Complainant’s Post-Hearing Brief,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were </w:t>
      </w:r>
      <w:r w:rsidR="00B64335" w:rsidRPr="007E43C7">
        <w:rPr>
          <w:rFonts w:ascii="Times New Roman" w:eastAsia="Arial" w:hAnsi="Times New Roman" w:cs="Times New Roman"/>
          <w:color w:val="000000"/>
          <w:sz w:val="24"/>
          <w:szCs w:val="24"/>
        </w:rPr>
        <w:t>stricken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and </w:t>
      </w:r>
      <w:r w:rsidR="00B64335"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Exhibits D, E, F, G, H, and </w:t>
      </w:r>
      <w:r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I, attached</w:t>
      </w:r>
      <w:r w:rsidR="00B64335"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to Complainant's Post-Hearing Brief, </w:t>
      </w:r>
      <w:r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were </w:t>
      </w:r>
      <w:r w:rsidR="00B64335"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stricken.</w:t>
      </w:r>
      <w:r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 In addition, </w:t>
      </w:r>
      <w:proofErr w:type="gramStart"/>
      <w:r w:rsidR="00B64335"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>the  references</w:t>
      </w:r>
      <w:proofErr w:type="gramEnd"/>
      <w:r w:rsidR="00B64335" w:rsidRPr="007E43C7">
        <w:rPr>
          <w:rFonts w:ascii="Times New Roman" w:eastAsia="Arial" w:hAnsi="Times New Roman" w:cs="Times New Roman"/>
          <w:color w:val="000000"/>
          <w:spacing w:val="4"/>
          <w:sz w:val="24"/>
          <w:szCs w:val="24"/>
        </w:rPr>
        <w:t xml:space="preserve"> </w:t>
      </w:r>
      <w:r w:rsidR="00B64335" w:rsidRPr="007E43C7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to the documents and articles not offered by </w:t>
      </w:r>
      <w:r w:rsidR="00B64335" w:rsidRPr="007E43C7">
        <w:rPr>
          <w:rFonts w:ascii="Times New Roman" w:eastAsia="Arial" w:hAnsi="Times New Roman" w:cs="Times New Roman"/>
          <w:iCs/>
          <w:color w:val="000000"/>
          <w:sz w:val="24"/>
          <w:szCs w:val="24"/>
        </w:rPr>
        <w:lastRenderedPageBreak/>
        <w:t xml:space="preserve">Complainant  and 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not </w:t>
      </w:r>
      <w:r w:rsidR="00B64335" w:rsidRPr="007E43C7"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admitted into evidence at the hearing, 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as more fully identified in the interim </w:t>
      </w:r>
      <w:proofErr w:type="gramStart"/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>order</w:t>
      </w:r>
      <w:proofErr w:type="gramEnd"/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 were </w:t>
      </w:r>
      <w:r w:rsidR="00B64335" w:rsidRPr="007E43C7">
        <w:rPr>
          <w:rFonts w:ascii="Times New Roman" w:eastAsia="Arial" w:hAnsi="Times New Roman" w:cs="Times New Roman"/>
          <w:iCs/>
          <w:color w:val="000000"/>
          <w:sz w:val="24"/>
          <w:szCs w:val="24"/>
        </w:rPr>
        <w:t>stricken</w:t>
      </w:r>
      <w:r>
        <w:rPr>
          <w:rFonts w:ascii="Times New Roman" w:eastAsia="Arial" w:hAnsi="Times New Roman" w:cs="Times New Roman"/>
          <w:iCs/>
          <w:color w:val="000000"/>
          <w:sz w:val="24"/>
          <w:szCs w:val="24"/>
        </w:rPr>
        <w:t xml:space="preserve">.  Finally, the </w:t>
      </w:r>
      <w:r w:rsidR="00B64335" w:rsidRPr="007E43C7">
        <w:rPr>
          <w:rFonts w:ascii="Times New Roman" w:hAnsi="Times New Roman" w:cs="Times New Roman"/>
          <w:sz w:val="24"/>
          <w:szCs w:val="24"/>
        </w:rPr>
        <w:t xml:space="preserve">hearing record in the case of Miranda Edwards v. Duquesne Light Company filed at Docket No. C-2018-3002741 </w:t>
      </w: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="00B64335" w:rsidRPr="007E43C7">
        <w:rPr>
          <w:rFonts w:ascii="Times New Roman" w:hAnsi="Times New Roman" w:cs="Times New Roman"/>
          <w:sz w:val="24"/>
          <w:szCs w:val="24"/>
        </w:rPr>
        <w:t>closed.</w:t>
      </w:r>
      <w:r w:rsidR="00B64335" w:rsidRPr="007E43C7">
        <w:rPr>
          <w:rFonts w:ascii="Times New Roman" w:hAnsi="Times New Roman" w:cs="Times New Roman"/>
          <w:sz w:val="24"/>
          <w:szCs w:val="24"/>
        </w:rPr>
        <w:br/>
      </w:r>
    </w:p>
    <w:p w14:paraId="544B0471" w14:textId="77777777" w:rsidR="00211A2C" w:rsidRPr="007C079D" w:rsidRDefault="00211A2C" w:rsidP="00211A2C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  <w:u w:val="single"/>
        </w:rPr>
      </w:pPr>
      <w:r>
        <w:rPr>
          <w:rFonts w:eastAsia="Arial"/>
          <w:color w:val="000000"/>
          <w:szCs w:val="24"/>
        </w:rPr>
        <w:tab/>
      </w:r>
      <w:r>
        <w:rPr>
          <w:szCs w:val="24"/>
        </w:rPr>
        <w:t xml:space="preserve">   </w:t>
      </w:r>
      <w:r w:rsidRPr="00DC6465">
        <w:rPr>
          <w:szCs w:val="24"/>
        </w:rPr>
        <w:t xml:space="preserve">  </w:t>
      </w:r>
      <w:proofErr w:type="spellStart"/>
      <w:r w:rsidRPr="007C079D">
        <w:rPr>
          <w:rFonts w:eastAsia="Calibri"/>
          <w:i/>
          <w:iCs/>
          <w:szCs w:val="24"/>
          <w:u w:val="single"/>
        </w:rPr>
        <w:t>Povacz</w:t>
      </w:r>
      <w:proofErr w:type="spellEnd"/>
      <w:r>
        <w:rPr>
          <w:rFonts w:eastAsia="Calibri"/>
          <w:i/>
          <w:iCs/>
          <w:szCs w:val="24"/>
          <w:u w:val="single"/>
        </w:rPr>
        <w:t xml:space="preserve"> I, </w:t>
      </w:r>
      <w:proofErr w:type="spellStart"/>
      <w:r>
        <w:rPr>
          <w:rFonts w:eastAsia="Calibri"/>
          <w:i/>
          <w:iCs/>
          <w:szCs w:val="24"/>
          <w:u w:val="single"/>
        </w:rPr>
        <w:t>Povacz</w:t>
      </w:r>
      <w:proofErr w:type="spellEnd"/>
      <w:r>
        <w:rPr>
          <w:rFonts w:eastAsia="Calibri"/>
          <w:i/>
          <w:iCs/>
          <w:szCs w:val="24"/>
          <w:u w:val="single"/>
        </w:rPr>
        <w:t xml:space="preserve"> II,</w:t>
      </w:r>
      <w:r w:rsidRPr="007C079D">
        <w:rPr>
          <w:rFonts w:eastAsia="Calibri"/>
          <w:szCs w:val="24"/>
          <w:u w:val="single"/>
        </w:rPr>
        <w:t xml:space="preserve"> and The Commission’s Stay Order</w:t>
      </w:r>
    </w:p>
    <w:p w14:paraId="5CF649A0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</w:p>
    <w:p w14:paraId="6F737283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</w:pPr>
      <w:r>
        <w:t xml:space="preserve">On October 8, 2020, the Commonwealth Court of Pennsylvania (Commonwealth </w:t>
      </w:r>
      <w:r w:rsidRPr="00B07415">
        <w:t xml:space="preserve">Court) issued an Opinion in </w:t>
      </w:r>
      <w:proofErr w:type="spellStart"/>
      <w:r w:rsidRPr="00B07415">
        <w:rPr>
          <w:i/>
          <w:iCs/>
        </w:rPr>
        <w:t>Povacz</w:t>
      </w:r>
      <w:proofErr w:type="spellEnd"/>
      <w:r w:rsidRPr="00B07415">
        <w:rPr>
          <w:i/>
          <w:iCs/>
        </w:rPr>
        <w:t>, et al. v. Pa. Public Utility Commission</w:t>
      </w:r>
      <w:r w:rsidRPr="00B07415">
        <w:t>,</w:t>
      </w:r>
      <w:r>
        <w:t xml:space="preserve"> </w:t>
      </w:r>
      <w:r>
        <w:rPr>
          <w:rStyle w:val="FootnoteReference"/>
        </w:rPr>
        <w:footnoteReference w:id="4"/>
      </w:r>
      <w:r w:rsidRPr="00B07415">
        <w:t xml:space="preserve"> </w:t>
      </w:r>
      <w:r w:rsidRPr="00C7398B">
        <w:t xml:space="preserve"> (</w:t>
      </w:r>
      <w:proofErr w:type="spellStart"/>
      <w:r w:rsidRPr="00C7398B">
        <w:rPr>
          <w:i/>
          <w:iCs/>
        </w:rPr>
        <w:t>Povacz</w:t>
      </w:r>
      <w:proofErr w:type="spellEnd"/>
      <w:r w:rsidRPr="00C7398B">
        <w:rPr>
          <w:i/>
          <w:iCs/>
        </w:rPr>
        <w:t xml:space="preserve"> I</w:t>
      </w:r>
      <w:r w:rsidRPr="00C7398B">
        <w:t>), the first of several appeals involving PECO Energy C</w:t>
      </w:r>
      <w:r>
        <w:t xml:space="preserve">ompany’s (PECO) deployment of smart meter technology pursuant to Act 129 of 2008 (Act 129), codified at 66 Pa. C.S. § 2807(f). In the </w:t>
      </w:r>
      <w:proofErr w:type="spellStart"/>
      <w:r w:rsidRPr="00EC7ED5">
        <w:rPr>
          <w:i/>
          <w:iCs/>
        </w:rPr>
        <w:t>Povacz</w:t>
      </w:r>
      <w:proofErr w:type="spellEnd"/>
      <w:r w:rsidRPr="00EC7ED5">
        <w:rPr>
          <w:i/>
          <w:iCs/>
        </w:rPr>
        <w:t xml:space="preserve"> I</w:t>
      </w:r>
      <w:r>
        <w:t xml:space="preserve"> consolidated opinion, the Commonwealth Court partially affirmed, and partially reversed and remanded, the Commission’s March 28, 2019, and May 9, </w:t>
      </w:r>
      <w:proofErr w:type="gramStart"/>
      <w:r>
        <w:t>2019</w:t>
      </w:r>
      <w:proofErr w:type="gramEnd"/>
      <w:r>
        <w:t xml:space="preserve"> Orders in Maria </w:t>
      </w:r>
      <w:proofErr w:type="spellStart"/>
      <w:r>
        <w:t>Povacz</w:t>
      </w:r>
      <w:proofErr w:type="spellEnd"/>
      <w:r>
        <w:t xml:space="preserve">, Laura Sunstein Murphy, and Cynthia Randall.  </w:t>
      </w:r>
      <w:proofErr w:type="spellStart"/>
      <w:r w:rsidRPr="00F07339">
        <w:rPr>
          <w:i/>
          <w:iCs/>
        </w:rPr>
        <w:t>Povacz</w:t>
      </w:r>
      <w:proofErr w:type="spellEnd"/>
      <w:r w:rsidRPr="00F07339">
        <w:rPr>
          <w:i/>
          <w:iCs/>
        </w:rPr>
        <w:t xml:space="preserve"> I</w:t>
      </w:r>
      <w:r>
        <w:t xml:space="preserve"> at 495.  </w:t>
      </w:r>
    </w:p>
    <w:p w14:paraId="3AFD014E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</w:pPr>
    </w:p>
    <w:p w14:paraId="1727CE9A" w14:textId="77777777" w:rsidR="00211A2C" w:rsidRPr="0030330E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</w:pPr>
      <w:r>
        <w:t xml:space="preserve">In light of the Commonwealth Court’s decision in </w:t>
      </w:r>
      <w:proofErr w:type="spellStart"/>
      <w:r w:rsidRPr="00E50CEA">
        <w:rPr>
          <w:i/>
          <w:iCs/>
        </w:rPr>
        <w:t>Povacz</w:t>
      </w:r>
      <w:proofErr w:type="spellEnd"/>
      <w:r w:rsidRPr="00E50CEA">
        <w:rPr>
          <w:i/>
          <w:iCs/>
        </w:rPr>
        <w:t xml:space="preserve"> I</w:t>
      </w:r>
      <w:r>
        <w:t>, the Commission entered an Order and Notice, at Docket No. M-2009-2092655, on November 4, 2020, pursuant to 66 Pa. C.S. § 501, instituting a stay of certain formal complaint proceedings then-pending before the Commission involving challenges to EDC deployment of smart meter technology as being in violation of Section 1501 of the Code (</w:t>
      </w:r>
      <w:r w:rsidRPr="00861276">
        <w:rPr>
          <w:i/>
          <w:iCs/>
        </w:rPr>
        <w:t>November 4, 2020, Stay Order</w:t>
      </w:r>
      <w:r>
        <w:t xml:space="preserve">).  </w:t>
      </w:r>
      <w:r w:rsidRPr="000348A7">
        <w:rPr>
          <w:i/>
          <w:iCs/>
        </w:rPr>
        <w:t>The November 4, 2020, Stay Order</w:t>
      </w:r>
      <w:r>
        <w:t xml:space="preserve"> also directed that the stay would apply to any new formal complaints filed with the Commission claiming that EDC deployment of smart meter technology was a violation of Section 1501, and that the stay would remain in place until it was lifted by further Commission action.  The </w:t>
      </w:r>
      <w:r w:rsidRPr="00861276">
        <w:rPr>
          <w:i/>
          <w:iCs/>
        </w:rPr>
        <w:t>November 4, 2020, Stay Order</w:t>
      </w:r>
      <w:r>
        <w:rPr>
          <w:i/>
          <w:iCs/>
        </w:rPr>
        <w:t xml:space="preserve"> </w:t>
      </w:r>
      <w:r>
        <w:t>applied to and was docketed at the instant case.</w:t>
      </w:r>
    </w:p>
    <w:p w14:paraId="6D2DA570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</w:pPr>
    </w:p>
    <w:p w14:paraId="0B309C12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  <w:r>
        <w:t xml:space="preserve">The Commission, as well as all other parties in </w:t>
      </w:r>
      <w:proofErr w:type="spellStart"/>
      <w:r w:rsidRPr="00DF112E">
        <w:rPr>
          <w:i/>
          <w:iCs/>
        </w:rPr>
        <w:t>Povacz</w:t>
      </w:r>
      <w:proofErr w:type="spellEnd"/>
      <w:r w:rsidRPr="00DF112E">
        <w:rPr>
          <w:i/>
          <w:iCs/>
        </w:rPr>
        <w:t xml:space="preserve"> I</w:t>
      </w:r>
      <w:r>
        <w:t xml:space="preserve"> subsequently sought and were granted review of the Commonwealth Court’s </w:t>
      </w:r>
      <w:proofErr w:type="spellStart"/>
      <w:r w:rsidRPr="00DF112E">
        <w:rPr>
          <w:i/>
          <w:iCs/>
        </w:rPr>
        <w:t>Povacz</w:t>
      </w:r>
      <w:proofErr w:type="spellEnd"/>
      <w:r w:rsidRPr="00DF112E">
        <w:rPr>
          <w:i/>
          <w:iCs/>
        </w:rPr>
        <w:t xml:space="preserve"> I</w:t>
      </w:r>
      <w:r>
        <w:t xml:space="preserve"> decision by the Supreme Court of Pennsylvania.</w:t>
      </w:r>
    </w:p>
    <w:p w14:paraId="62E0250B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</w:p>
    <w:p w14:paraId="4BFA1447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  <w:r>
        <w:t xml:space="preserve">Previously, the Commonwealth Court stayed the proceedings in several other unconsolidated appeals that raised the same, or similar, smart meter issues pending its </w:t>
      </w:r>
      <w:r>
        <w:lastRenderedPageBreak/>
        <w:t xml:space="preserve">disposition of </w:t>
      </w:r>
      <w:proofErr w:type="spellStart"/>
      <w:r w:rsidRPr="00BB5DA2">
        <w:rPr>
          <w:i/>
          <w:iCs/>
        </w:rPr>
        <w:t>Povacz</w:t>
      </w:r>
      <w:proofErr w:type="spellEnd"/>
      <w:r w:rsidRPr="00BB5DA2">
        <w:rPr>
          <w:i/>
          <w:iCs/>
        </w:rPr>
        <w:t xml:space="preserve"> I</w:t>
      </w:r>
      <w:r>
        <w:t xml:space="preserve">.  Upon application by the Commission, the Commonwealth Court continued the stay of these appeals pending the Supreme Court’s disposition of </w:t>
      </w:r>
      <w:proofErr w:type="spellStart"/>
      <w:r w:rsidRPr="00BB5DA2">
        <w:rPr>
          <w:i/>
          <w:iCs/>
        </w:rPr>
        <w:t>Povacz</w:t>
      </w:r>
      <w:proofErr w:type="spellEnd"/>
      <w:r w:rsidRPr="00BB5DA2">
        <w:rPr>
          <w:i/>
          <w:iCs/>
        </w:rPr>
        <w:t xml:space="preserve"> II</w:t>
      </w:r>
      <w:r>
        <w:t xml:space="preserve">.  Since the Supreme Court’s issuance of its </w:t>
      </w:r>
      <w:proofErr w:type="spellStart"/>
      <w:r w:rsidRPr="00BB5DA2">
        <w:rPr>
          <w:i/>
          <w:iCs/>
        </w:rPr>
        <w:t>Povacz</w:t>
      </w:r>
      <w:proofErr w:type="spellEnd"/>
      <w:r w:rsidRPr="00BB5DA2">
        <w:rPr>
          <w:i/>
          <w:iCs/>
        </w:rPr>
        <w:t xml:space="preserve"> II</w:t>
      </w:r>
      <w:r>
        <w:t xml:space="preserve"> decision, the Commonwealth Court has lifted the stays on the remaining unconsolidated smart meter appeals and directed the parties to submit briefs, supplemental briefs, and other appropriate filings as warranted.  </w:t>
      </w:r>
    </w:p>
    <w:p w14:paraId="53E8B63E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</w:p>
    <w:p w14:paraId="21A4492F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i/>
          <w:iCs/>
        </w:rPr>
      </w:pPr>
      <w:r>
        <w:t xml:space="preserve">On August 16, 2022, the Supreme Court issued its Opinion in </w:t>
      </w:r>
      <w:proofErr w:type="spellStart"/>
      <w:r w:rsidRPr="0047302F">
        <w:rPr>
          <w:i/>
          <w:iCs/>
        </w:rPr>
        <w:t>Povacz</w:t>
      </w:r>
      <w:proofErr w:type="spellEnd"/>
      <w:r w:rsidRPr="0047302F">
        <w:rPr>
          <w:i/>
          <w:iCs/>
        </w:rPr>
        <w:t xml:space="preserve"> II</w:t>
      </w:r>
      <w:r>
        <w:t>, affirming the Commission’s determinations in all respects.  The Supreme Court affirmed the Commonwealth Court’s conclusion that the “Customers failed to meet their burden of proving, by a preponderance of the evidence</w:t>
      </w:r>
      <w:r w:rsidRPr="00B07415">
        <w:t>, a conclusive causal connection</w:t>
      </w:r>
      <w:r>
        <w:t xml:space="preserve"> between [radio frequency] emissions from smart meters and adverse human health effects.</w:t>
      </w:r>
      <w:r>
        <w:rPr>
          <w:rStyle w:val="FootnoteReference"/>
        </w:rPr>
        <w:footnoteReference w:id="5"/>
      </w:r>
      <w:r>
        <w:t xml:space="preserve">   The Supreme Court concluded that Act 129 mandates smart meter deployment and requires the system-wide installation of smart meter technology by EDCs.</w:t>
      </w:r>
      <w:r>
        <w:rPr>
          <w:rStyle w:val="FootnoteReference"/>
        </w:rPr>
        <w:footnoteReference w:id="6"/>
      </w:r>
      <w:r>
        <w:t xml:space="preserve">   The Supreme Court found that Section 2807(f)(1), when read in conjunction with Section 2807(f)(2), provides instructions for furnishing smart meters to all customers.</w:t>
      </w:r>
      <w:r>
        <w:rPr>
          <w:rStyle w:val="FootnoteReference"/>
        </w:rPr>
        <w:footnoteReference w:id="7"/>
      </w:r>
      <w:r>
        <w:t xml:space="preserve">   The Supreme Court reversed the Commonwealth Court, and affirmed the Commission’s interpretation in </w:t>
      </w:r>
      <w:r w:rsidRPr="00F779AF">
        <w:rPr>
          <w:i/>
          <w:iCs/>
        </w:rPr>
        <w:t xml:space="preserve">Maria </w:t>
      </w:r>
      <w:proofErr w:type="spellStart"/>
      <w:r w:rsidRPr="00F779AF">
        <w:rPr>
          <w:i/>
          <w:iCs/>
        </w:rPr>
        <w:t>Povacz</w:t>
      </w:r>
      <w:proofErr w:type="spellEnd"/>
      <w:r>
        <w:t xml:space="preserve">, </w:t>
      </w:r>
      <w:r w:rsidRPr="00F779AF">
        <w:rPr>
          <w:i/>
          <w:iCs/>
        </w:rPr>
        <w:t>Laura Sunstein Murphy</w:t>
      </w:r>
      <w:r>
        <w:t xml:space="preserve">, and </w:t>
      </w:r>
      <w:r w:rsidRPr="00F779AF">
        <w:rPr>
          <w:i/>
          <w:iCs/>
        </w:rPr>
        <w:t>Cynthia Randall</w:t>
      </w:r>
      <w:r>
        <w:t xml:space="preserve"> that Act 129 mandates universal smart meter installation.</w:t>
      </w:r>
      <w:r>
        <w:rPr>
          <w:rStyle w:val="FootnoteReference"/>
        </w:rPr>
        <w:footnoteReference w:id="8"/>
      </w:r>
      <w:r>
        <w:t xml:space="preserve">  </w:t>
      </w:r>
    </w:p>
    <w:p w14:paraId="0C35F4F2" w14:textId="77777777" w:rsidR="00211A2C" w:rsidRDefault="00211A2C" w:rsidP="00A63215">
      <w:pPr>
        <w:pStyle w:val="ListNumber"/>
        <w:numPr>
          <w:ilvl w:val="0"/>
          <w:numId w:val="0"/>
        </w:numPr>
        <w:spacing w:line="360" w:lineRule="auto"/>
        <w:jc w:val="left"/>
      </w:pPr>
    </w:p>
    <w:p w14:paraId="4A1F8DCC" w14:textId="26CA9DB2" w:rsidR="00211A2C" w:rsidRDefault="00211A2C" w:rsidP="00A63215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i/>
          <w:iCs/>
        </w:rPr>
      </w:pPr>
      <w:r>
        <w:t xml:space="preserve">Given the Supreme Court’s decision in </w:t>
      </w:r>
      <w:proofErr w:type="spellStart"/>
      <w:r w:rsidRPr="00256FD6">
        <w:rPr>
          <w:i/>
          <w:iCs/>
        </w:rPr>
        <w:t>Povacz</w:t>
      </w:r>
      <w:proofErr w:type="spellEnd"/>
      <w:r w:rsidRPr="00256FD6">
        <w:rPr>
          <w:i/>
          <w:iCs/>
        </w:rPr>
        <w:t xml:space="preserve"> II</w:t>
      </w:r>
      <w:r>
        <w:t xml:space="preserve">, the Commission lifted the stay implemented by the </w:t>
      </w:r>
      <w:r w:rsidRPr="00DC0FF2">
        <w:rPr>
          <w:i/>
          <w:iCs/>
        </w:rPr>
        <w:t>November 4, 2020</w:t>
      </w:r>
      <w:r>
        <w:rPr>
          <w:i/>
          <w:iCs/>
        </w:rPr>
        <w:t>,</w:t>
      </w:r>
      <w:r w:rsidRPr="00DC0FF2">
        <w:rPr>
          <w:i/>
          <w:iCs/>
        </w:rPr>
        <w:t xml:space="preserve"> Stay Order</w:t>
      </w:r>
      <w:r>
        <w:t xml:space="preserve"> on November 9, 2023.  The Commission entered an Order at Docket No. M-2009-2092655, explaining that cases pending before the Office of Administrative Law Judge, such as the instant case, would proceed as directed by the assigned presiding officer. </w:t>
      </w:r>
    </w:p>
    <w:p w14:paraId="7F2E1548" w14:textId="77777777" w:rsidR="00A63215" w:rsidRPr="00A63215" w:rsidRDefault="00A63215" w:rsidP="00A63215">
      <w:pPr>
        <w:pStyle w:val="ListNumber"/>
        <w:numPr>
          <w:ilvl w:val="0"/>
          <w:numId w:val="0"/>
        </w:numPr>
        <w:spacing w:line="360" w:lineRule="auto"/>
        <w:ind w:left="360" w:hanging="360"/>
        <w:jc w:val="left"/>
        <w:rPr>
          <w:i/>
          <w:iCs/>
        </w:rPr>
      </w:pPr>
    </w:p>
    <w:p w14:paraId="4A8D56A9" w14:textId="77777777" w:rsidR="00A63215" w:rsidRDefault="00A63215" w:rsidP="00211A2C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  <w:u w:val="single"/>
        </w:rPr>
        <w:sectPr w:rsidR="00A632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97997" w14:textId="7649003D" w:rsidR="00211A2C" w:rsidRPr="00605221" w:rsidRDefault="00211A2C" w:rsidP="00211A2C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lastRenderedPageBreak/>
        <w:t xml:space="preserve">The </w:t>
      </w:r>
      <w:r w:rsidRPr="00605221">
        <w:rPr>
          <w:rFonts w:eastAsia="Calibri"/>
          <w:szCs w:val="24"/>
          <w:u w:val="single"/>
        </w:rPr>
        <w:t>Instant Case</w:t>
      </w:r>
    </w:p>
    <w:p w14:paraId="417A6162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</w:rPr>
      </w:pPr>
    </w:p>
    <w:p w14:paraId="0EF6CA0A" w14:textId="0DDC1D2E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In the instant case, the evidentiary hearing was </w:t>
      </w:r>
      <w:proofErr w:type="gramStart"/>
      <w:r>
        <w:rPr>
          <w:rFonts w:eastAsia="Calibri"/>
          <w:szCs w:val="24"/>
        </w:rPr>
        <w:t>concluded</w:t>
      </w:r>
      <w:proofErr w:type="gramEnd"/>
      <w:r>
        <w:rPr>
          <w:rFonts w:eastAsia="Calibri"/>
          <w:szCs w:val="24"/>
        </w:rPr>
        <w:t xml:space="preserve"> and the evidentiary record was closed.  Subsequently </w:t>
      </w:r>
      <w:r>
        <w:t>the Commission entered an Order and Notice, at Docket No. M-2009-2092655, staying the proceeding, on November 4, 2020.  The stay was lifted by Order of the Commission on November 9, 2023.     Under the circumstances, the following Order will be entered.</w:t>
      </w:r>
      <w:r>
        <w:rPr>
          <w:rFonts w:eastAsia="Calibri"/>
          <w:szCs w:val="24"/>
        </w:rPr>
        <w:t xml:space="preserve">  </w:t>
      </w:r>
    </w:p>
    <w:p w14:paraId="2CB1A884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720"/>
        <w:jc w:val="left"/>
        <w:rPr>
          <w:rFonts w:eastAsia="Calibri"/>
          <w:szCs w:val="24"/>
        </w:rPr>
      </w:pPr>
    </w:p>
    <w:p w14:paraId="369AA359" w14:textId="77777777" w:rsidR="00211A2C" w:rsidRDefault="00211A2C" w:rsidP="00211A2C">
      <w:pPr>
        <w:pStyle w:val="ListNumber"/>
        <w:numPr>
          <w:ilvl w:val="0"/>
          <w:numId w:val="0"/>
        </w:numPr>
        <w:spacing w:line="360" w:lineRule="auto"/>
        <w:ind w:firstLine="72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ab/>
        <w:t>Under the circumstances, the following Interim Order will be entered.</w:t>
      </w:r>
    </w:p>
    <w:p w14:paraId="65796D8A" w14:textId="77777777" w:rsidR="00211A2C" w:rsidRPr="003938C4" w:rsidRDefault="00211A2C" w:rsidP="00211A2C">
      <w:pPr>
        <w:pStyle w:val="ListNumber"/>
        <w:numPr>
          <w:ilvl w:val="0"/>
          <w:numId w:val="0"/>
        </w:numPr>
        <w:spacing w:line="360" w:lineRule="auto"/>
        <w:ind w:firstLine="1440"/>
        <w:jc w:val="left"/>
        <w:rPr>
          <w:rFonts w:eastAsia="Calibri"/>
          <w:szCs w:val="24"/>
        </w:rPr>
      </w:pPr>
    </w:p>
    <w:p w14:paraId="7E6C29A9" w14:textId="77777777" w:rsidR="00211A2C" w:rsidRDefault="00211A2C" w:rsidP="00211A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THEREFORE, </w:t>
      </w:r>
    </w:p>
    <w:p w14:paraId="16873321" w14:textId="77777777" w:rsidR="00211A2C" w:rsidRDefault="00211A2C" w:rsidP="00211A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C140D8" w14:textId="77777777" w:rsidR="00211A2C" w:rsidRDefault="00211A2C" w:rsidP="00211A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14:paraId="1FE17FBA" w14:textId="77777777" w:rsidR="00211A2C" w:rsidRDefault="00211A2C" w:rsidP="00211A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325138" w14:textId="58ACB342" w:rsidR="00211A2C" w:rsidRPr="00A63215" w:rsidRDefault="00211A2C" w:rsidP="00A63215">
      <w:pPr>
        <w:pStyle w:val="ListParagraph"/>
        <w:numPr>
          <w:ilvl w:val="0"/>
          <w:numId w:val="6"/>
        </w:numPr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 evidentiary record in this proceeding filed at Docket No. C-2018-3002741 is re-opened.</w:t>
      </w:r>
      <w:r w:rsidR="00A63215">
        <w:rPr>
          <w:rFonts w:ascii="Times New Roman" w:hAnsi="Times New Roman" w:cs="Times New Roman"/>
          <w:sz w:val="24"/>
          <w:szCs w:val="24"/>
        </w:rPr>
        <w:t xml:space="preserve"> </w:t>
      </w:r>
      <w:r w:rsidRPr="00A63215">
        <w:rPr>
          <w:rFonts w:ascii="Times New Roman" w:hAnsi="Times New Roman" w:cs="Times New Roman"/>
          <w:sz w:val="24"/>
          <w:szCs w:val="24"/>
        </w:rPr>
        <w:t xml:space="preserve">That the Parties </w:t>
      </w:r>
      <w:r w:rsidR="00A63215" w:rsidRPr="00A63215">
        <w:rPr>
          <w:rFonts w:ascii="Times New Roman" w:hAnsi="Times New Roman" w:cs="Times New Roman"/>
          <w:sz w:val="24"/>
          <w:szCs w:val="24"/>
        </w:rPr>
        <w:t>may but</w:t>
      </w:r>
      <w:r w:rsidRPr="00A63215">
        <w:rPr>
          <w:rFonts w:ascii="Times New Roman" w:hAnsi="Times New Roman" w:cs="Times New Roman"/>
          <w:sz w:val="24"/>
          <w:szCs w:val="24"/>
        </w:rPr>
        <w:t xml:space="preserve"> shall not be required to file supplemental briefs and any other appropriate requests for relief, if any, on or before January 19, 2024.</w:t>
      </w:r>
      <w:r w:rsidRPr="00A63215">
        <w:rPr>
          <w:rFonts w:ascii="Times New Roman" w:hAnsi="Times New Roman" w:cs="Times New Roman"/>
          <w:sz w:val="24"/>
          <w:szCs w:val="24"/>
        </w:rPr>
        <w:br/>
      </w:r>
    </w:p>
    <w:p w14:paraId="086299BA" w14:textId="1E6F2461" w:rsidR="00211A2C" w:rsidRPr="00D012BA" w:rsidRDefault="00211A2C" w:rsidP="00A63215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012BA">
        <w:rPr>
          <w:rFonts w:ascii="Times New Roman" w:hAnsi="Times New Roman" w:cs="Times New Roman"/>
          <w:sz w:val="24"/>
          <w:szCs w:val="24"/>
        </w:rPr>
        <w:t>2.</w:t>
      </w:r>
      <w:r w:rsidRPr="00D012BA">
        <w:rPr>
          <w:rFonts w:ascii="Times New Roman" w:hAnsi="Times New Roman" w:cs="Times New Roman"/>
          <w:sz w:val="24"/>
          <w:szCs w:val="24"/>
        </w:rPr>
        <w:tab/>
        <w:t xml:space="preserve">That the Parties may, but shall not be required to, file </w:t>
      </w:r>
      <w:r>
        <w:rPr>
          <w:rFonts w:ascii="Times New Roman" w:hAnsi="Times New Roman" w:cs="Times New Roman"/>
          <w:sz w:val="24"/>
          <w:szCs w:val="24"/>
        </w:rPr>
        <w:t xml:space="preserve">supplemental </w:t>
      </w:r>
      <w:r w:rsidRPr="00D012BA">
        <w:rPr>
          <w:rFonts w:ascii="Times New Roman" w:hAnsi="Times New Roman" w:cs="Times New Roman"/>
          <w:sz w:val="24"/>
          <w:szCs w:val="24"/>
        </w:rPr>
        <w:t xml:space="preserve">briefs in this matter.  Any </w:t>
      </w:r>
      <w:r w:rsidRPr="00D012B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briefs filed shall also be provided to the undersigned Presiding Officer in written and electronic form on or before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January 19, 2024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 </w:t>
      </w:r>
      <w:r w:rsidRPr="00D012B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The electronic form of the briefs shall be submitted to the undersigned Presiding Officer in </w:t>
      </w:r>
      <w:r w:rsidRPr="00D012BA">
        <w:rPr>
          <w:rFonts w:ascii="Times New Roman" w:hAnsi="Times New Roman" w:cs="Times New Roman"/>
          <w:sz w:val="24"/>
          <w:szCs w:val="24"/>
        </w:rPr>
        <w:t xml:space="preserve">WORD format.  In addition, </w:t>
      </w:r>
      <w:r>
        <w:rPr>
          <w:rFonts w:ascii="Times New Roman" w:hAnsi="Times New Roman" w:cs="Times New Roman"/>
          <w:sz w:val="24"/>
          <w:szCs w:val="24"/>
        </w:rPr>
        <w:t xml:space="preserve">the briefs should, but will not be required to </w:t>
      </w:r>
      <w:r w:rsidRPr="00D012BA">
        <w:rPr>
          <w:rFonts w:ascii="Times New Roman" w:hAnsi="Times New Roman" w:cs="Times New Roman"/>
          <w:sz w:val="24"/>
          <w:szCs w:val="24"/>
        </w:rPr>
        <w:t>include proposed findings of fact, conclusions of law or proposed ordering paragraphs.  In addition,</w:t>
      </w:r>
      <w:r>
        <w:rPr>
          <w:rFonts w:ascii="Times New Roman" w:hAnsi="Times New Roman" w:cs="Times New Roman"/>
          <w:sz w:val="24"/>
          <w:szCs w:val="24"/>
        </w:rPr>
        <w:t xml:space="preserve"> briefs should, but will not be required to </w:t>
      </w:r>
      <w:r w:rsidRPr="00D012BA">
        <w:rPr>
          <w:rFonts w:ascii="Times New Roman" w:hAnsi="Times New Roman" w:cs="Times New Roman"/>
          <w:sz w:val="24"/>
          <w:szCs w:val="24"/>
        </w:rPr>
        <w:t>include specific references to the testimony or exhibit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012BA">
        <w:rPr>
          <w:rFonts w:ascii="Times New Roman" w:hAnsi="Times New Roman" w:cs="Times New Roman"/>
          <w:sz w:val="24"/>
          <w:szCs w:val="24"/>
        </w:rPr>
        <w:t xml:space="preserve"> from the evidentiary hearing.  The briefs may include a discussion of the legal argument of the parties as well as any legal authority and citations to support such argument or discussion.</w:t>
      </w:r>
    </w:p>
    <w:p w14:paraId="49B039E1" w14:textId="77777777" w:rsidR="00211A2C" w:rsidRPr="00A63215" w:rsidRDefault="00211A2C" w:rsidP="00A63215">
      <w:pPr>
        <w:tabs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A94741" w14:textId="77777777" w:rsidR="00211A2C" w:rsidRPr="0065274D" w:rsidRDefault="00211A2C" w:rsidP="00211A2C">
      <w:pPr>
        <w:pStyle w:val="Footer"/>
        <w:numPr>
          <w:ilvl w:val="0"/>
          <w:numId w:val="7"/>
        </w:numPr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274D">
        <w:rPr>
          <w:rFonts w:ascii="Times New Roman" w:hAnsi="Times New Roman" w:cs="Times New Roman"/>
          <w:sz w:val="24"/>
          <w:szCs w:val="24"/>
        </w:rPr>
        <w:t xml:space="preserve">That no </w:t>
      </w:r>
      <w:proofErr w:type="gramStart"/>
      <w:r w:rsidRPr="0065274D">
        <w:rPr>
          <w:rFonts w:ascii="Times New Roman" w:hAnsi="Times New Roman" w:cs="Times New Roman"/>
          <w:sz w:val="24"/>
          <w:szCs w:val="24"/>
        </w:rPr>
        <w:t>reply</w:t>
      </w:r>
      <w:proofErr w:type="gramEnd"/>
      <w:r w:rsidRPr="0065274D">
        <w:rPr>
          <w:rFonts w:ascii="Times New Roman" w:hAnsi="Times New Roman" w:cs="Times New Roman"/>
          <w:sz w:val="24"/>
          <w:szCs w:val="24"/>
        </w:rPr>
        <w:t xml:space="preserve"> briefs will be accepted in this proceeding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1F4C46" w14:textId="7F7E9706" w:rsidR="00211A2C" w:rsidRDefault="00211A2C" w:rsidP="00211A2C">
      <w:pPr>
        <w:pStyle w:val="ListParagraph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</w:rPr>
      </w:pPr>
      <w:r w:rsidRPr="00564E22">
        <w:rPr>
          <w:rFonts w:ascii="Times New Roman" w:hAnsi="Times New Roman" w:cs="Times New Roman"/>
          <w:sz w:val="24"/>
          <w:szCs w:val="24"/>
        </w:rPr>
        <w:lastRenderedPageBreak/>
        <w:t>A copy of all briefs and</w:t>
      </w:r>
      <w:r w:rsidRPr="00564E22">
        <w:rPr>
          <w:rFonts w:ascii="Times New Roman" w:hAnsi="Times New Roman" w:cs="Times New Roman"/>
        </w:rPr>
        <w:t xml:space="preserve"> documents that you file or any request for relief must be sent to my legal assistant by email  to </w:t>
      </w:r>
      <w:r>
        <w:rPr>
          <w:rFonts w:ascii="Times New Roman" w:hAnsi="Times New Roman" w:cs="Times New Roman"/>
        </w:rPr>
        <w:t>Laythan Foster</w:t>
      </w:r>
      <w:r w:rsidRPr="00564E22">
        <w:rPr>
          <w:rFonts w:ascii="Times New Roman" w:hAnsi="Times New Roman" w:cs="Times New Roman"/>
          <w:b/>
          <w:bCs/>
        </w:rPr>
        <w:t xml:space="preserve">, </w:t>
      </w:r>
      <w:r w:rsidRPr="00D012BA">
        <w:rPr>
          <w:rFonts w:ascii="Times New Roman" w:hAnsi="Times New Roman" w:cs="Times New Roman"/>
        </w:rPr>
        <w:t>Legal Assistant at</w:t>
      </w:r>
      <w:r w:rsidRPr="00564E22">
        <w:rPr>
          <w:rFonts w:ascii="Times New Roman" w:hAnsi="Times New Roman" w:cs="Times New Roman"/>
        </w:rPr>
        <w:t xml:space="preserve"> </w:t>
      </w:r>
      <w:hyperlink r:id="rId7" w:history="1">
        <w:r w:rsidRPr="005B4090">
          <w:rPr>
            <w:rStyle w:val="Hyperlink"/>
            <w:rFonts w:ascii="Times New Roman" w:hAnsi="Times New Roman" w:cs="Times New Roman"/>
          </w:rPr>
          <w:t>layfoster@pa.gov</w:t>
        </w:r>
      </w:hyperlink>
      <w:r>
        <w:rPr>
          <w:rFonts w:ascii="Times New Roman" w:hAnsi="Times New Roman" w:cs="Times New Roman"/>
        </w:rPr>
        <w:t xml:space="preserve">, </w:t>
      </w:r>
      <w:r w:rsidRPr="00564E22">
        <w:rPr>
          <w:rFonts w:ascii="Times New Roman" w:hAnsi="Times New Roman" w:cs="Times New Roman"/>
          <w:u w:val="single"/>
        </w:rPr>
        <w:t>with a copy of the email transmission and attachments copied by email</w:t>
      </w:r>
      <w:r w:rsidRPr="00564E22">
        <w:rPr>
          <w:rFonts w:ascii="Times New Roman" w:hAnsi="Times New Roman" w:cs="Times New Roman"/>
        </w:rPr>
        <w:t xml:space="preserve"> to every other party.</w:t>
      </w:r>
    </w:p>
    <w:p w14:paraId="3867FB8F" w14:textId="77777777" w:rsidR="00A63215" w:rsidRPr="00A63215" w:rsidRDefault="00A63215" w:rsidP="00A63215">
      <w:pPr>
        <w:autoSpaceDE w:val="0"/>
        <w:autoSpaceDN w:val="0"/>
        <w:spacing w:after="0" w:line="360" w:lineRule="auto"/>
        <w:ind w:left="360"/>
        <w:rPr>
          <w:rFonts w:ascii="Times New Roman" w:hAnsi="Times New Roman" w:cs="Times New Roman"/>
        </w:rPr>
      </w:pPr>
    </w:p>
    <w:p w14:paraId="08BDF419" w14:textId="33B0CE84" w:rsidR="00211A2C" w:rsidRPr="00A63215" w:rsidRDefault="00211A2C" w:rsidP="00211A2C">
      <w:pPr>
        <w:pStyle w:val="ListParagraph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7560">
        <w:rPr>
          <w:rFonts w:ascii="Times New Roman" w:hAnsi="Times New Roman" w:cs="Times New Roman"/>
          <w:sz w:val="24"/>
          <w:szCs w:val="24"/>
        </w:rPr>
        <w:t xml:space="preserve">In addition, any document that you file or any request for relief filed in this proceeding must be sent electronically to the undersigned presiding officer, directed to </w:t>
      </w:r>
      <w:r w:rsidRPr="004A7560">
        <w:rPr>
          <w:rFonts w:ascii="Times New Roman" w:hAnsi="Times New Roman" w:cs="Times New Roman"/>
          <w:b/>
          <w:bCs/>
          <w:sz w:val="24"/>
          <w:szCs w:val="24"/>
        </w:rPr>
        <w:t>Laythan Foster, Legal Assistant at</w:t>
      </w:r>
      <w:r w:rsidRPr="004A756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A756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layfoster@pa.gov</w:t>
        </w:r>
      </w:hyperlink>
      <w:r w:rsidRPr="004A7560">
        <w:rPr>
          <w:rFonts w:ascii="Times New Roman" w:hAnsi="Times New Roman" w:cs="Times New Roman"/>
          <w:sz w:val="24"/>
          <w:szCs w:val="24"/>
        </w:rPr>
        <w:t>.  All parties must be copied on any emails sent to me via Mr. Foster.</w:t>
      </w:r>
    </w:p>
    <w:p w14:paraId="1B60D49D" w14:textId="77777777" w:rsidR="00A63215" w:rsidRPr="00A63215" w:rsidRDefault="00A63215" w:rsidP="00A63215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A0E50" w14:textId="77777777" w:rsidR="00211A2C" w:rsidRPr="004A7560" w:rsidRDefault="00211A2C" w:rsidP="00211A2C">
      <w:pPr>
        <w:pStyle w:val="ListParagraph"/>
        <w:numPr>
          <w:ilvl w:val="0"/>
          <w:numId w:val="7"/>
        </w:num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further extensions to file supplemental briefs will be granted in this proceeding.</w:t>
      </w:r>
    </w:p>
    <w:p w14:paraId="06140BDA" w14:textId="77777777" w:rsidR="00211A2C" w:rsidRPr="00564E22" w:rsidRDefault="00211A2C" w:rsidP="00211A2C">
      <w:pPr>
        <w:pStyle w:val="ListParagraph"/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A17562E" w14:textId="03E04B61" w:rsidR="00211A2C" w:rsidRPr="00564E22" w:rsidRDefault="00211A2C" w:rsidP="00211A2C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22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D255D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December </w:t>
      </w:r>
      <w:r w:rsidR="00A63215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D255D6">
        <w:rPr>
          <w:rFonts w:ascii="Times New Roman" w:eastAsia="Times New Roman" w:hAnsi="Times New Roman" w:cs="Times New Roman"/>
          <w:sz w:val="24"/>
          <w:szCs w:val="24"/>
          <w:u w:val="single"/>
        </w:rPr>
        <w:t>, 2023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564E2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7C51EE16" w14:textId="77777777" w:rsidR="00211A2C" w:rsidRDefault="00211A2C" w:rsidP="00211A2C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</w:r>
      <w:r w:rsidRPr="00564E22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CE4B6B" w14:textId="77777777" w:rsidR="00A63215" w:rsidRDefault="00A63215" w:rsidP="00211A2C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EABAF" w14:textId="77777777" w:rsidR="00A63215" w:rsidRDefault="00A63215" w:rsidP="00A63215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A632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465616" w14:textId="77777777" w:rsidR="00A63215" w:rsidRDefault="00A63215" w:rsidP="00A6321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C-2018-3002741 - MIRANDA EDWARDS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MIRANDA GRACE EDWARDS</w:t>
      </w:r>
      <w:r>
        <w:rPr>
          <w:rFonts w:ascii="Microsoft Sans Serif" w:eastAsia="Microsoft Sans Serif" w:hAnsi="Microsoft Sans Serif" w:cs="Microsoft Sans Serif"/>
          <w:sz w:val="24"/>
        </w:rPr>
        <w:cr/>
        <w:t>3835 ACORN STREET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15207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10FA">
        <w:rPr>
          <w:rFonts w:ascii="Microsoft Sans Serif" w:eastAsia="Microsoft Sans Serif" w:hAnsi="Microsoft Sans Serif" w:cs="Microsoft Sans Serif"/>
          <w:b/>
          <w:sz w:val="24"/>
        </w:rPr>
        <w:t>412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D710FA">
        <w:rPr>
          <w:rFonts w:ascii="Microsoft Sans Serif" w:eastAsia="Microsoft Sans Serif" w:hAnsi="Microsoft Sans Serif" w:cs="Microsoft Sans Serif"/>
          <w:b/>
          <w:sz w:val="24"/>
        </w:rPr>
        <w:t>726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D710FA">
        <w:rPr>
          <w:rFonts w:ascii="Microsoft Sans Serif" w:eastAsia="Microsoft Sans Serif" w:hAnsi="Microsoft Sans Serif" w:cs="Microsoft Sans Serif"/>
          <w:b/>
          <w:sz w:val="24"/>
        </w:rPr>
        <w:t>8329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522926">
        <w:rPr>
          <w:rFonts w:ascii="Microsoft Sans Serif" w:eastAsia="Microsoft Sans Serif" w:hAnsi="Microsoft Sans Serif" w:cs="Microsoft Sans Serif"/>
          <w:sz w:val="24"/>
        </w:rPr>
        <w:t>msea.mdew@gmail.com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4061634F" w14:textId="77777777" w:rsidR="00A63215" w:rsidRDefault="00A63215" w:rsidP="00A63215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  <w:r>
        <w:rPr>
          <w:rFonts w:ascii="Microsoft Sans Serif" w:eastAsia="Microsoft Sans Serif" w:hAnsi="Microsoft Sans Serif" w:cs="Microsoft Sans Serif"/>
          <w:sz w:val="24"/>
        </w:rPr>
        <w:cr/>
        <w:t>JEREMY V FARRELL ESQUIRE</w:t>
      </w:r>
    </w:p>
    <w:p w14:paraId="732B94F4" w14:textId="77777777" w:rsidR="00A63215" w:rsidRPr="00782EA1" w:rsidRDefault="00A63215" w:rsidP="00A63215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TUCKER ARENSBERG PC</w:t>
      </w:r>
      <w:r>
        <w:rPr>
          <w:rFonts w:ascii="Microsoft Sans Serif" w:eastAsia="Microsoft Sans Serif" w:hAnsi="Microsoft Sans Serif" w:cs="Microsoft Sans Serif"/>
          <w:sz w:val="24"/>
        </w:rPr>
        <w:cr/>
        <w:t>1500 One PPG Place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82EA1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 w:rsidRPr="00782EA1">
        <w:rPr>
          <w:rFonts w:ascii="Microsoft Sans Serif" w:eastAsia="Microsoft Sans Serif" w:hAnsi="Microsoft Sans Serif" w:cs="Microsoft Sans Serif"/>
          <w:b/>
          <w:sz w:val="24"/>
        </w:rPr>
        <w:cr/>
        <w:t>412.594.3938</w:t>
      </w:r>
    </w:p>
    <w:p w14:paraId="69FE4AE0" w14:textId="77777777" w:rsidR="00A63215" w:rsidRPr="00D710FA" w:rsidRDefault="00A63215" w:rsidP="00A63215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5B8B657D" w14:textId="77777777" w:rsidR="00A63215" w:rsidRPr="006C4288" w:rsidRDefault="00A63215" w:rsidP="00A63215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Pr="006C4288">
          <w:rPr>
            <w:rStyle w:val="Hyperlink"/>
            <w:rFonts w:ascii="Arial" w:eastAsia="Times New Roman" w:hAnsi="Arial" w:cs="Arial"/>
          </w:rPr>
          <w:t>jfarrell@tuckerlaw.com</w:t>
        </w:r>
      </w:hyperlink>
    </w:p>
    <w:p w14:paraId="0DC15EC1" w14:textId="77777777" w:rsidR="00A63215" w:rsidRPr="00C40019" w:rsidRDefault="00A63215" w:rsidP="00A63215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Pr="00C40019">
          <w:rPr>
            <w:rFonts w:ascii="Arial" w:eastAsia="Times New Roman" w:hAnsi="Arial" w:cs="Arial"/>
            <w:color w:val="0000FF"/>
            <w:u w:val="single"/>
          </w:rPr>
          <w:t>smiller@tuckerlaw.com</w:t>
        </w:r>
      </w:hyperlink>
    </w:p>
    <w:p w14:paraId="4E5CCCA2" w14:textId="77777777" w:rsidR="00A63215" w:rsidRDefault="00A63215" w:rsidP="00A63215"/>
    <w:p w14:paraId="5923375F" w14:textId="77777777" w:rsidR="00A63215" w:rsidRDefault="00A63215" w:rsidP="00A63215"/>
    <w:p w14:paraId="08824EBB" w14:textId="77777777" w:rsidR="00A63215" w:rsidRDefault="00A63215" w:rsidP="00211A2C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3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AF927" w14:textId="77777777" w:rsidR="00B64335" w:rsidRDefault="00B64335" w:rsidP="00B64335">
      <w:pPr>
        <w:spacing w:after="0" w:line="240" w:lineRule="auto"/>
      </w:pPr>
      <w:r>
        <w:separator/>
      </w:r>
    </w:p>
  </w:endnote>
  <w:endnote w:type="continuationSeparator" w:id="0">
    <w:p w14:paraId="155FFA2E" w14:textId="77777777" w:rsidR="00B64335" w:rsidRDefault="00B64335" w:rsidP="00B6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A29C" w14:textId="77777777" w:rsidR="00B64335" w:rsidRDefault="00B64335" w:rsidP="00B64335">
      <w:pPr>
        <w:spacing w:after="0" w:line="240" w:lineRule="auto"/>
      </w:pPr>
      <w:r>
        <w:separator/>
      </w:r>
    </w:p>
  </w:footnote>
  <w:footnote w:type="continuationSeparator" w:id="0">
    <w:p w14:paraId="651B69F9" w14:textId="77777777" w:rsidR="00B64335" w:rsidRDefault="00B64335" w:rsidP="00B64335">
      <w:pPr>
        <w:spacing w:after="0" w:line="240" w:lineRule="auto"/>
      </w:pPr>
      <w:r>
        <w:continuationSeparator/>
      </w:r>
    </w:p>
  </w:footnote>
  <w:footnote w:id="1">
    <w:p w14:paraId="0F6F4AE5" w14:textId="77777777" w:rsidR="00B64335" w:rsidRPr="006C4801" w:rsidRDefault="00B64335" w:rsidP="00A63215">
      <w:pPr>
        <w:pStyle w:val="FootnoteText"/>
        <w:ind w:firstLine="720"/>
        <w:rPr>
          <w:rFonts w:ascii="Times New Roman" w:hAnsi="Times New Roman" w:cs="Times New Roman"/>
        </w:rPr>
      </w:pPr>
      <w:r w:rsidRPr="006C4801">
        <w:rPr>
          <w:rStyle w:val="FootnoteReference"/>
          <w:rFonts w:ascii="Times New Roman" w:hAnsi="Times New Roman" w:cs="Times New Roman"/>
        </w:rPr>
        <w:footnoteRef/>
      </w:r>
      <w:r w:rsidRPr="006C4801">
        <w:rPr>
          <w:rFonts w:ascii="Times New Roman" w:hAnsi="Times New Roman" w:cs="Times New Roman"/>
        </w:rPr>
        <w:t xml:space="preserve"> </w:t>
      </w:r>
      <w:r w:rsidRPr="006C4801">
        <w:rPr>
          <w:rFonts w:ascii="Times New Roman" w:hAnsi="Times New Roman" w:cs="Times New Roman"/>
        </w:rPr>
        <w:tab/>
        <w:t>The communication is not set forth in this order to avoid the possibility of disclosing confidential information.</w:t>
      </w:r>
    </w:p>
    <w:p w14:paraId="3B98E7B7" w14:textId="77777777" w:rsidR="00B64335" w:rsidRPr="006C4801" w:rsidRDefault="00B64335" w:rsidP="00B64335">
      <w:pPr>
        <w:pStyle w:val="FootnoteText"/>
        <w:rPr>
          <w:rFonts w:ascii="Times New Roman" w:hAnsi="Times New Roman" w:cs="Times New Roman"/>
        </w:rPr>
      </w:pPr>
    </w:p>
  </w:footnote>
  <w:footnote w:id="2">
    <w:p w14:paraId="73FE3DFB" w14:textId="77777777" w:rsidR="00B64335" w:rsidRPr="006C4801" w:rsidRDefault="00B64335" w:rsidP="00A63215">
      <w:pPr>
        <w:pStyle w:val="FootnoteText"/>
        <w:ind w:firstLine="720"/>
        <w:rPr>
          <w:rFonts w:ascii="Times New Roman" w:hAnsi="Times New Roman" w:cs="Times New Roman"/>
        </w:rPr>
      </w:pPr>
      <w:r w:rsidRPr="006C4801">
        <w:rPr>
          <w:rStyle w:val="FootnoteReference"/>
          <w:rFonts w:ascii="Times New Roman" w:hAnsi="Times New Roman" w:cs="Times New Roman"/>
        </w:rPr>
        <w:footnoteRef/>
      </w:r>
      <w:r w:rsidRPr="006C4801">
        <w:rPr>
          <w:rFonts w:ascii="Times New Roman" w:hAnsi="Times New Roman" w:cs="Times New Roman"/>
        </w:rPr>
        <w:t xml:space="preserve"> </w:t>
      </w:r>
      <w:r w:rsidRPr="006C4801">
        <w:rPr>
          <w:rFonts w:ascii="Times New Roman" w:hAnsi="Times New Roman" w:cs="Times New Roman"/>
        </w:rPr>
        <w:tab/>
        <w:t>Complainant did not include page numbers in her Post-Hearing Brief, so page 1 of Complainant's Post-Hearing Brief will be designated as the page that begins with the heading "INTRODUCTION."</w:t>
      </w:r>
    </w:p>
    <w:p w14:paraId="7B9CB29A" w14:textId="77777777" w:rsidR="00B64335" w:rsidRPr="006C4801" w:rsidRDefault="00B64335" w:rsidP="00B64335">
      <w:pPr>
        <w:pStyle w:val="FootnoteText"/>
        <w:rPr>
          <w:rFonts w:ascii="Times New Roman" w:hAnsi="Times New Roman" w:cs="Times New Roman"/>
        </w:rPr>
      </w:pPr>
    </w:p>
  </w:footnote>
  <w:footnote w:id="3">
    <w:p w14:paraId="457CB7DB" w14:textId="77777777" w:rsidR="00B64335" w:rsidRDefault="00B64335" w:rsidP="00A63215">
      <w:pPr>
        <w:pStyle w:val="FootnoteText"/>
        <w:ind w:firstLine="720"/>
      </w:pPr>
      <w:r w:rsidRPr="006C4801">
        <w:rPr>
          <w:rStyle w:val="FootnoteReference"/>
          <w:rFonts w:ascii="Times New Roman" w:hAnsi="Times New Roman" w:cs="Times New Roman"/>
        </w:rPr>
        <w:footnoteRef/>
      </w:r>
      <w:r w:rsidRPr="006C4801">
        <w:rPr>
          <w:rFonts w:ascii="Times New Roman" w:hAnsi="Times New Roman" w:cs="Times New Roman"/>
        </w:rPr>
        <w:t xml:space="preserve"> </w:t>
      </w:r>
      <w:r w:rsidRPr="006C4801">
        <w:rPr>
          <w:rFonts w:ascii="Times New Roman" w:hAnsi="Times New Roman" w:cs="Times New Roman"/>
        </w:rPr>
        <w:tab/>
        <w:t>Complainant's reply brief is titled "Response to Duquesne Light Company's Post-Hearing Brief and Proposed Findings of Fact, Conclusions of Law, and Order and will be referred to as "Complainant's Reply Brief."</w:t>
      </w:r>
    </w:p>
  </w:footnote>
  <w:footnote w:id="4">
    <w:p w14:paraId="04C51BC3" w14:textId="77777777" w:rsidR="00211A2C" w:rsidRDefault="00211A2C" w:rsidP="00A63215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spellStart"/>
      <w:r w:rsidRPr="00B07415">
        <w:rPr>
          <w:i/>
          <w:iCs/>
        </w:rPr>
        <w:t>Povacz</w:t>
      </w:r>
      <w:proofErr w:type="spellEnd"/>
      <w:r w:rsidRPr="00B07415">
        <w:rPr>
          <w:i/>
          <w:iCs/>
        </w:rPr>
        <w:t>, et al. v. Pa. Public Utility Commission</w:t>
      </w:r>
      <w:r w:rsidRPr="00B07415">
        <w:t>, 241 A.3d 481 (Pa.</w:t>
      </w:r>
      <w:r w:rsidRPr="00C7398B">
        <w:t xml:space="preserve"> </w:t>
      </w:r>
      <w:proofErr w:type="spellStart"/>
      <w:r w:rsidRPr="00C7398B">
        <w:t>Cmwlth</w:t>
      </w:r>
      <w:proofErr w:type="spellEnd"/>
      <w:r w:rsidRPr="00C7398B">
        <w:t>. 2020)</w:t>
      </w:r>
      <w:r>
        <w:t>.</w:t>
      </w:r>
    </w:p>
  </w:footnote>
  <w:footnote w:id="5">
    <w:p w14:paraId="18C6BB2B" w14:textId="4FF49169" w:rsidR="00211A2C" w:rsidRPr="00A63215" w:rsidRDefault="00211A2C" w:rsidP="00A63215">
      <w:pPr>
        <w:pStyle w:val="FootnoteText"/>
        <w:ind w:firstLine="720"/>
        <w:rPr>
          <w:rFonts w:ascii="Times New Roman" w:hAnsi="Times New Roman" w:cs="Times New Roman"/>
        </w:rPr>
      </w:pPr>
      <w:r w:rsidRPr="00A63215">
        <w:rPr>
          <w:rStyle w:val="FootnoteReference"/>
          <w:rFonts w:ascii="Times New Roman" w:hAnsi="Times New Roman" w:cs="Times New Roman"/>
        </w:rPr>
        <w:footnoteRef/>
      </w:r>
      <w:r w:rsidRPr="00A63215">
        <w:rPr>
          <w:rFonts w:ascii="Times New Roman" w:hAnsi="Times New Roman" w:cs="Times New Roman"/>
        </w:rPr>
        <w:t xml:space="preserve"> </w:t>
      </w:r>
      <w:r w:rsidRPr="00A63215">
        <w:rPr>
          <w:rFonts w:ascii="Times New Roman" w:hAnsi="Times New Roman" w:cs="Times New Roman"/>
        </w:rPr>
        <w:tab/>
      </w:r>
      <w:r w:rsidRPr="00A63215">
        <w:rPr>
          <w:rFonts w:ascii="Times New Roman" w:hAnsi="Times New Roman" w:cs="Times New Roman"/>
          <w:i/>
          <w:iCs/>
        </w:rPr>
        <w:t xml:space="preserve">Id. </w:t>
      </w:r>
      <w:r w:rsidRPr="00A63215">
        <w:rPr>
          <w:rFonts w:ascii="Times New Roman" w:hAnsi="Times New Roman" w:cs="Times New Roman"/>
        </w:rPr>
        <w:t>at 1014.</w:t>
      </w:r>
    </w:p>
    <w:p w14:paraId="35E864B0" w14:textId="77777777" w:rsidR="00A63215" w:rsidRPr="00A63215" w:rsidRDefault="00A63215" w:rsidP="00A63215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6">
    <w:p w14:paraId="1B07245C" w14:textId="4B2268DD" w:rsidR="00211A2C" w:rsidRPr="00A63215" w:rsidRDefault="00211A2C" w:rsidP="00A63215">
      <w:pPr>
        <w:pStyle w:val="FootnoteText"/>
        <w:ind w:firstLine="720"/>
        <w:rPr>
          <w:rFonts w:ascii="Times New Roman" w:hAnsi="Times New Roman" w:cs="Times New Roman"/>
        </w:rPr>
      </w:pPr>
      <w:r w:rsidRPr="00A63215">
        <w:rPr>
          <w:rStyle w:val="FootnoteReference"/>
          <w:rFonts w:ascii="Times New Roman" w:hAnsi="Times New Roman" w:cs="Times New Roman"/>
        </w:rPr>
        <w:footnoteRef/>
      </w:r>
      <w:r w:rsidRPr="00A63215">
        <w:rPr>
          <w:rFonts w:ascii="Times New Roman" w:hAnsi="Times New Roman" w:cs="Times New Roman"/>
        </w:rPr>
        <w:t xml:space="preserve"> </w:t>
      </w:r>
      <w:r w:rsidRPr="00A63215">
        <w:rPr>
          <w:rFonts w:ascii="Times New Roman" w:hAnsi="Times New Roman" w:cs="Times New Roman"/>
        </w:rPr>
        <w:tab/>
      </w:r>
      <w:proofErr w:type="spellStart"/>
      <w:r w:rsidRPr="00A63215">
        <w:rPr>
          <w:rFonts w:ascii="Times New Roman" w:hAnsi="Times New Roman" w:cs="Times New Roman"/>
          <w:i/>
          <w:iCs/>
        </w:rPr>
        <w:t>Povacz</w:t>
      </w:r>
      <w:proofErr w:type="spellEnd"/>
      <w:r w:rsidRPr="00A63215">
        <w:rPr>
          <w:rFonts w:ascii="Times New Roman" w:hAnsi="Times New Roman" w:cs="Times New Roman"/>
          <w:i/>
          <w:iCs/>
        </w:rPr>
        <w:t xml:space="preserve"> II at 992</w:t>
      </w:r>
      <w:r w:rsidRPr="00A63215">
        <w:rPr>
          <w:rFonts w:ascii="Times New Roman" w:hAnsi="Times New Roman" w:cs="Times New Roman"/>
        </w:rPr>
        <w:t>.</w:t>
      </w:r>
    </w:p>
    <w:p w14:paraId="49A2A5D5" w14:textId="77777777" w:rsidR="00A63215" w:rsidRPr="00A63215" w:rsidRDefault="00A63215" w:rsidP="00A63215">
      <w:pPr>
        <w:pStyle w:val="FootnoteText"/>
        <w:ind w:firstLine="720"/>
        <w:rPr>
          <w:rFonts w:ascii="Times New Roman" w:hAnsi="Times New Roman" w:cs="Times New Roman"/>
        </w:rPr>
      </w:pPr>
    </w:p>
  </w:footnote>
  <w:footnote w:id="7">
    <w:p w14:paraId="7C0A98B0" w14:textId="1F8E65D9" w:rsidR="00211A2C" w:rsidRDefault="00211A2C" w:rsidP="00A63215">
      <w:pPr>
        <w:pStyle w:val="FootnoteText"/>
        <w:ind w:firstLine="720"/>
      </w:pPr>
      <w:r w:rsidRPr="00A63215">
        <w:rPr>
          <w:rStyle w:val="FootnoteReference"/>
          <w:rFonts w:ascii="Times New Roman" w:hAnsi="Times New Roman" w:cs="Times New Roman"/>
        </w:rPr>
        <w:footnoteRef/>
      </w:r>
      <w:r w:rsidRPr="00A63215">
        <w:rPr>
          <w:rFonts w:ascii="Times New Roman" w:hAnsi="Times New Roman" w:cs="Times New Roman"/>
        </w:rPr>
        <w:t xml:space="preserve"> </w:t>
      </w:r>
      <w:r w:rsidRPr="00A63215">
        <w:rPr>
          <w:rFonts w:ascii="Times New Roman" w:hAnsi="Times New Roman" w:cs="Times New Roman"/>
        </w:rPr>
        <w:tab/>
      </w:r>
      <w:r w:rsidRPr="00A63215">
        <w:rPr>
          <w:rFonts w:ascii="Times New Roman" w:hAnsi="Times New Roman" w:cs="Times New Roman"/>
          <w:i/>
          <w:iCs/>
        </w:rPr>
        <w:t>Id.</w:t>
      </w:r>
      <w:r w:rsidRPr="00A63215">
        <w:rPr>
          <w:rFonts w:ascii="Times New Roman" w:hAnsi="Times New Roman" w:cs="Times New Roman"/>
        </w:rPr>
        <w:t xml:space="preserve"> at 28</w:t>
      </w:r>
      <w:r>
        <w:t>.</w:t>
      </w:r>
    </w:p>
    <w:p w14:paraId="75D4EF1B" w14:textId="77777777" w:rsidR="00A63215" w:rsidRDefault="00A63215" w:rsidP="00A63215">
      <w:pPr>
        <w:pStyle w:val="FootnoteText"/>
        <w:ind w:firstLine="720"/>
      </w:pPr>
    </w:p>
  </w:footnote>
  <w:footnote w:id="8">
    <w:p w14:paraId="3D908BC7" w14:textId="25F35CAD" w:rsidR="00211A2C" w:rsidRPr="00A63215" w:rsidRDefault="00211A2C" w:rsidP="00A63215">
      <w:pPr>
        <w:pStyle w:val="ListNumber"/>
        <w:numPr>
          <w:ilvl w:val="0"/>
          <w:numId w:val="0"/>
        </w:numPr>
        <w:spacing w:line="360" w:lineRule="auto"/>
        <w:ind w:left="360" w:firstLine="360"/>
        <w:jc w:val="left"/>
        <w:rPr>
          <w:i/>
          <w:iCs/>
          <w:sz w:val="20"/>
        </w:rPr>
      </w:pPr>
      <w:r w:rsidRPr="00A63215">
        <w:rPr>
          <w:rStyle w:val="FootnoteReference"/>
          <w:sz w:val="20"/>
        </w:rPr>
        <w:footnoteRef/>
      </w:r>
      <w:r w:rsidRPr="00A63215">
        <w:rPr>
          <w:sz w:val="20"/>
        </w:rPr>
        <w:t xml:space="preserve"> </w:t>
      </w:r>
      <w:r w:rsidRPr="00A63215">
        <w:rPr>
          <w:sz w:val="20"/>
        </w:rPr>
        <w:tab/>
      </w:r>
      <w:r w:rsidRPr="00A63215">
        <w:rPr>
          <w:i/>
          <w:iCs/>
          <w:sz w:val="20"/>
        </w:rPr>
        <w:t>Id.</w:t>
      </w:r>
    </w:p>
    <w:p w14:paraId="6D4F243C" w14:textId="77777777" w:rsidR="00211A2C" w:rsidRDefault="00211A2C" w:rsidP="00211A2C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9460406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10360FC4"/>
    <w:multiLevelType w:val="multilevel"/>
    <w:tmpl w:val="2F28903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471F8"/>
    <w:multiLevelType w:val="hybridMultilevel"/>
    <w:tmpl w:val="DA0225E8"/>
    <w:lvl w:ilvl="0" w:tplc="46A44D2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9655044"/>
    <w:multiLevelType w:val="hybridMultilevel"/>
    <w:tmpl w:val="86D2CAE4"/>
    <w:lvl w:ilvl="0" w:tplc="27FEC00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83D6B"/>
    <w:multiLevelType w:val="hybridMultilevel"/>
    <w:tmpl w:val="9C90DD1A"/>
    <w:lvl w:ilvl="0" w:tplc="DC985D8E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A971070"/>
    <w:multiLevelType w:val="hybridMultilevel"/>
    <w:tmpl w:val="B5004FBE"/>
    <w:lvl w:ilvl="0" w:tplc="9A08CDA0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AD318E"/>
    <w:multiLevelType w:val="multilevel"/>
    <w:tmpl w:val="AEF2FB3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4941531">
    <w:abstractNumId w:val="6"/>
  </w:num>
  <w:num w:numId="2" w16cid:durableId="910577183">
    <w:abstractNumId w:val="1"/>
  </w:num>
  <w:num w:numId="3" w16cid:durableId="1661690207">
    <w:abstractNumId w:val="2"/>
  </w:num>
  <w:num w:numId="4" w16cid:durableId="149029814">
    <w:abstractNumId w:val="5"/>
  </w:num>
  <w:num w:numId="5" w16cid:durableId="1152597563">
    <w:abstractNumId w:val="0"/>
  </w:num>
  <w:num w:numId="6" w16cid:durableId="2058190833">
    <w:abstractNumId w:val="4"/>
  </w:num>
  <w:num w:numId="7" w16cid:durableId="1637222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4335"/>
    <w:rsid w:val="00211A2C"/>
    <w:rsid w:val="002E0CE3"/>
    <w:rsid w:val="007B5C79"/>
    <w:rsid w:val="009B01C3"/>
    <w:rsid w:val="00A63215"/>
    <w:rsid w:val="00B64335"/>
    <w:rsid w:val="00B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383D"/>
  <w15:chartTrackingRefBased/>
  <w15:docId w15:val="{9CD6F268-2B01-4791-8812-F2D9BFAB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33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43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4335"/>
    <w:rPr>
      <w:sz w:val="20"/>
      <w:szCs w:val="20"/>
    </w:rPr>
  </w:style>
  <w:style w:type="character" w:styleId="FootnoteReference">
    <w:name w:val="footnote reference"/>
    <w:aliases w:val="o,fr"/>
    <w:basedOn w:val="DefaultParagraphFont"/>
    <w:uiPriority w:val="99"/>
    <w:semiHidden/>
    <w:unhideWhenUsed/>
    <w:rsid w:val="00B6433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6433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11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A2C"/>
  </w:style>
  <w:style w:type="paragraph" w:styleId="ListNumber">
    <w:name w:val="List Number"/>
    <w:basedOn w:val="Normal"/>
    <w:uiPriority w:val="99"/>
    <w:unhideWhenUsed/>
    <w:rsid w:val="00211A2C"/>
    <w:pPr>
      <w:numPr>
        <w:numId w:val="5"/>
      </w:numPr>
      <w:spacing w:after="0" w:line="48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yfoster@p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yfoster@p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miller@tuckerlaw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farrell@tucker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1428</Words>
  <Characters>8140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Foster, Laythan</cp:lastModifiedBy>
  <cp:revision>2</cp:revision>
  <dcterms:created xsi:type="dcterms:W3CDTF">2023-12-20T18:19:00Z</dcterms:created>
  <dcterms:modified xsi:type="dcterms:W3CDTF">2023-12-20T18:19:00Z</dcterms:modified>
</cp:coreProperties>
</file>