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5408" w14:textId="77777777" w:rsidR="00462B10" w:rsidRDefault="00462B10" w:rsidP="00462B10">
      <w:pPr>
        <w:tabs>
          <w:tab w:val="center" w:pos="4680"/>
        </w:tabs>
        <w:contextualSpacing/>
        <w:jc w:val="center"/>
        <w:rPr>
          <w:b/>
          <w:sz w:val="24"/>
          <w:szCs w:val="24"/>
        </w:rPr>
      </w:pPr>
      <w:r>
        <w:rPr>
          <w:b/>
          <w:sz w:val="24"/>
          <w:szCs w:val="24"/>
        </w:rPr>
        <w:t>BEFORE THE</w:t>
      </w:r>
    </w:p>
    <w:p w14:paraId="3817637D" w14:textId="77777777" w:rsidR="00462B10" w:rsidRDefault="00462B10" w:rsidP="00462B10">
      <w:pPr>
        <w:tabs>
          <w:tab w:val="center" w:pos="4680"/>
        </w:tabs>
        <w:contextualSpacing/>
        <w:jc w:val="center"/>
        <w:rPr>
          <w:b/>
          <w:sz w:val="24"/>
          <w:szCs w:val="24"/>
        </w:rPr>
      </w:pPr>
      <w:r>
        <w:rPr>
          <w:b/>
          <w:sz w:val="24"/>
          <w:szCs w:val="24"/>
        </w:rPr>
        <w:t>PENNSYLVANIA PUBLIC UTILITY COMMISSION</w:t>
      </w:r>
    </w:p>
    <w:p w14:paraId="74508F2B" w14:textId="77777777" w:rsidR="00462B10" w:rsidRDefault="00462B10" w:rsidP="00462B10">
      <w:pPr>
        <w:tabs>
          <w:tab w:val="center" w:pos="4680"/>
        </w:tabs>
        <w:contextualSpacing/>
        <w:jc w:val="both"/>
        <w:rPr>
          <w:sz w:val="24"/>
          <w:szCs w:val="24"/>
        </w:rPr>
      </w:pPr>
    </w:p>
    <w:p w14:paraId="51915FE1" w14:textId="77777777" w:rsidR="00462B10" w:rsidRDefault="00462B10" w:rsidP="00462B10">
      <w:pPr>
        <w:contextualSpacing/>
        <w:jc w:val="both"/>
        <w:rPr>
          <w:sz w:val="24"/>
          <w:szCs w:val="24"/>
        </w:rPr>
      </w:pPr>
    </w:p>
    <w:p w14:paraId="51180CEF" w14:textId="225A5FEB" w:rsidR="00462B10" w:rsidRDefault="00462B10" w:rsidP="00767F34">
      <w:pPr>
        <w:contextualSpacing/>
        <w:jc w:val="both"/>
        <w:rPr>
          <w:sz w:val="24"/>
          <w:szCs w:val="24"/>
        </w:rPr>
      </w:pPr>
    </w:p>
    <w:p w14:paraId="05147931" w14:textId="2A1485A1" w:rsidR="00462B10" w:rsidRDefault="00462B10" w:rsidP="00462B10">
      <w:pPr>
        <w:tabs>
          <w:tab w:val="center" w:pos="4320"/>
        </w:tabs>
        <w:contextualSpacing/>
        <w:rPr>
          <w:sz w:val="24"/>
          <w:szCs w:val="24"/>
        </w:rPr>
      </w:pPr>
      <w:r>
        <w:rPr>
          <w:sz w:val="24"/>
          <w:szCs w:val="24"/>
        </w:rPr>
        <w:t>Bhavin Patel</w:t>
      </w:r>
      <w:r>
        <w:rPr>
          <w:sz w:val="24"/>
          <w:szCs w:val="24"/>
        </w:rPr>
        <w:tab/>
      </w:r>
      <w:r>
        <w:rPr>
          <w:sz w:val="24"/>
          <w:szCs w:val="24"/>
        </w:rPr>
        <w:tab/>
        <w:t>:</w:t>
      </w:r>
    </w:p>
    <w:p w14:paraId="0DBE8B85" w14:textId="56BAF8FA" w:rsidR="00767F34" w:rsidRDefault="00767F34" w:rsidP="00767F34">
      <w:pPr>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7D79FACE" w14:textId="36750FD3" w:rsidR="00462B10" w:rsidRDefault="00767F34" w:rsidP="00767F34">
      <w:pPr>
        <w:contextualSpacing/>
        <w:rPr>
          <w:sz w:val="24"/>
          <w:szCs w:val="24"/>
        </w:rPr>
      </w:pPr>
      <w:r>
        <w:rPr>
          <w:sz w:val="24"/>
          <w:szCs w:val="24"/>
        </w:rPr>
        <w:tab/>
      </w:r>
      <w:r w:rsidR="00462B10">
        <w:rPr>
          <w:sz w:val="24"/>
          <w:szCs w:val="24"/>
        </w:rPr>
        <w:t>v.</w:t>
      </w:r>
      <w:r w:rsidR="00462B10">
        <w:rPr>
          <w:sz w:val="24"/>
          <w:szCs w:val="24"/>
        </w:rPr>
        <w:tab/>
      </w:r>
      <w:r w:rsidR="00462B10">
        <w:rPr>
          <w:sz w:val="24"/>
          <w:szCs w:val="24"/>
        </w:rPr>
        <w:tab/>
      </w:r>
      <w:r>
        <w:rPr>
          <w:sz w:val="24"/>
          <w:szCs w:val="24"/>
        </w:rPr>
        <w:tab/>
      </w:r>
      <w:r>
        <w:rPr>
          <w:sz w:val="24"/>
          <w:szCs w:val="24"/>
        </w:rPr>
        <w:tab/>
      </w:r>
      <w:r>
        <w:rPr>
          <w:sz w:val="24"/>
          <w:szCs w:val="24"/>
        </w:rPr>
        <w:tab/>
      </w:r>
      <w:r>
        <w:rPr>
          <w:sz w:val="24"/>
          <w:szCs w:val="24"/>
        </w:rPr>
        <w:tab/>
      </w:r>
      <w:r w:rsidR="00462B10">
        <w:rPr>
          <w:sz w:val="24"/>
          <w:szCs w:val="24"/>
        </w:rPr>
        <w:t>:</w:t>
      </w:r>
      <w:r w:rsidR="00462B10">
        <w:rPr>
          <w:sz w:val="24"/>
          <w:szCs w:val="24"/>
        </w:rPr>
        <w:tab/>
      </w:r>
      <w:r>
        <w:rPr>
          <w:sz w:val="24"/>
          <w:szCs w:val="24"/>
        </w:rPr>
        <w:tab/>
      </w:r>
      <w:r>
        <w:rPr>
          <w:sz w:val="24"/>
          <w:szCs w:val="24"/>
        </w:rPr>
        <w:t>C-2023-3038563</w:t>
      </w:r>
    </w:p>
    <w:p w14:paraId="4B979EE8" w14:textId="262C353B" w:rsidR="00462B10" w:rsidRDefault="00462B10" w:rsidP="00462B10">
      <w:pPr>
        <w:tabs>
          <w:tab w:val="center" w:pos="4320"/>
        </w:tabs>
        <w:contextualSpacing/>
        <w:rPr>
          <w:sz w:val="24"/>
          <w:szCs w:val="24"/>
        </w:rPr>
      </w:pPr>
      <w:r>
        <w:rPr>
          <w:sz w:val="24"/>
          <w:szCs w:val="24"/>
        </w:rPr>
        <w:tab/>
      </w:r>
      <w:r>
        <w:rPr>
          <w:sz w:val="24"/>
          <w:szCs w:val="24"/>
        </w:rPr>
        <w:tab/>
        <w:t>:</w:t>
      </w:r>
      <w:r>
        <w:rPr>
          <w:sz w:val="24"/>
          <w:szCs w:val="24"/>
        </w:rPr>
        <w:tab/>
      </w:r>
    </w:p>
    <w:p w14:paraId="34E796C5" w14:textId="7D693001" w:rsidR="00462B10" w:rsidRDefault="00462B10" w:rsidP="00767F34">
      <w:pPr>
        <w:tabs>
          <w:tab w:val="center" w:pos="4320"/>
        </w:tabs>
        <w:contextualSpacing/>
        <w:rPr>
          <w:sz w:val="24"/>
          <w:szCs w:val="24"/>
        </w:rPr>
      </w:pPr>
      <w:r>
        <w:rPr>
          <w:sz w:val="24"/>
          <w:szCs w:val="24"/>
        </w:rPr>
        <w:t>UG</w:t>
      </w:r>
      <w:r w:rsidR="00207B1D">
        <w:rPr>
          <w:sz w:val="24"/>
          <w:szCs w:val="24"/>
        </w:rPr>
        <w:t>I</w:t>
      </w:r>
      <w:r>
        <w:rPr>
          <w:sz w:val="24"/>
          <w:szCs w:val="24"/>
        </w:rPr>
        <w:t xml:space="preserve"> Utilities, Inc.—Gas Division</w:t>
      </w:r>
      <w:r>
        <w:rPr>
          <w:sz w:val="24"/>
          <w:szCs w:val="24"/>
        </w:rPr>
        <w:tab/>
      </w:r>
      <w:r>
        <w:rPr>
          <w:sz w:val="24"/>
          <w:szCs w:val="24"/>
        </w:rPr>
        <w:tab/>
        <w:t>:</w:t>
      </w:r>
    </w:p>
    <w:p w14:paraId="53156487" w14:textId="77777777" w:rsidR="00767F34" w:rsidRDefault="00767F34" w:rsidP="00767F34">
      <w:pPr>
        <w:tabs>
          <w:tab w:val="center" w:pos="4320"/>
        </w:tabs>
        <w:contextualSpacing/>
        <w:rPr>
          <w:sz w:val="24"/>
          <w:szCs w:val="24"/>
        </w:rPr>
      </w:pPr>
    </w:p>
    <w:p w14:paraId="02AD8D90" w14:textId="77777777" w:rsidR="00767F34" w:rsidRDefault="00767F34" w:rsidP="00767F34">
      <w:pPr>
        <w:tabs>
          <w:tab w:val="center" w:pos="4320"/>
        </w:tabs>
        <w:contextualSpacing/>
        <w:rPr>
          <w:sz w:val="24"/>
          <w:szCs w:val="24"/>
        </w:rPr>
      </w:pPr>
    </w:p>
    <w:p w14:paraId="338FCB46" w14:textId="77777777" w:rsidR="00462B10" w:rsidRDefault="00462B10" w:rsidP="00462B10">
      <w:pPr>
        <w:contextualSpacing/>
        <w:jc w:val="both"/>
        <w:rPr>
          <w:sz w:val="24"/>
          <w:szCs w:val="24"/>
        </w:rPr>
      </w:pPr>
    </w:p>
    <w:p w14:paraId="2E760FC0" w14:textId="77777777" w:rsidR="00462B10" w:rsidRDefault="00462B10" w:rsidP="00462B10">
      <w:pPr>
        <w:pStyle w:val="Heading1"/>
        <w:jc w:val="center"/>
        <w:rPr>
          <w:b/>
          <w:szCs w:val="24"/>
        </w:rPr>
      </w:pPr>
      <w:bookmarkStart w:id="0" w:name="_Hlk54619669"/>
      <w:r>
        <w:rPr>
          <w:b/>
          <w:szCs w:val="24"/>
        </w:rPr>
        <w:t xml:space="preserve">INTERIM ORDER </w:t>
      </w:r>
    </w:p>
    <w:bookmarkEnd w:id="0"/>
    <w:p w14:paraId="024711FE" w14:textId="0BD88116" w:rsidR="00462B10" w:rsidRDefault="00462B10" w:rsidP="00462B10">
      <w:pPr>
        <w:pStyle w:val="Heading1"/>
        <w:jc w:val="center"/>
        <w:rPr>
          <w:b/>
          <w:szCs w:val="24"/>
          <w:u w:val="single"/>
        </w:rPr>
      </w:pPr>
      <w:r>
        <w:rPr>
          <w:b/>
          <w:szCs w:val="24"/>
          <w:u w:val="single"/>
        </w:rPr>
        <w:t xml:space="preserve">DENYING THE MOTION FOR SUMMARY JUDGMENT </w:t>
      </w:r>
    </w:p>
    <w:p w14:paraId="7B89FD8F" w14:textId="77777777" w:rsidR="00462B10" w:rsidRDefault="00462B10" w:rsidP="00462B10">
      <w:pPr>
        <w:widowControl w:val="0"/>
        <w:autoSpaceDE w:val="0"/>
        <w:autoSpaceDN w:val="0"/>
        <w:adjustRightInd w:val="0"/>
        <w:spacing w:line="360" w:lineRule="auto"/>
        <w:ind w:firstLine="720"/>
        <w:rPr>
          <w:color w:val="000000"/>
          <w:w w:val="107"/>
          <w:sz w:val="24"/>
          <w:szCs w:val="24"/>
        </w:rPr>
      </w:pPr>
    </w:p>
    <w:p w14:paraId="3846A707" w14:textId="749E76EC" w:rsidR="0043207F" w:rsidRDefault="0043207F" w:rsidP="00462B10">
      <w:pPr>
        <w:widowControl w:val="0"/>
        <w:autoSpaceDE w:val="0"/>
        <w:autoSpaceDN w:val="0"/>
        <w:adjustRightInd w:val="0"/>
        <w:spacing w:line="360" w:lineRule="auto"/>
        <w:ind w:firstLine="720"/>
        <w:rPr>
          <w:color w:val="000000"/>
          <w:w w:val="107"/>
          <w:sz w:val="24"/>
          <w:szCs w:val="24"/>
        </w:rPr>
      </w:pPr>
      <w:r>
        <w:rPr>
          <w:color w:val="000000"/>
          <w:w w:val="107"/>
          <w:sz w:val="24"/>
          <w:szCs w:val="24"/>
        </w:rPr>
        <w:tab/>
        <w:t xml:space="preserve">On August 17, 2023, the Complainant submitted a Direct Written Statement to support his Complaint in this matter.  </w:t>
      </w:r>
    </w:p>
    <w:p w14:paraId="33BC9D8C" w14:textId="77777777" w:rsidR="0043207F" w:rsidRDefault="0043207F" w:rsidP="00462B10">
      <w:pPr>
        <w:widowControl w:val="0"/>
        <w:autoSpaceDE w:val="0"/>
        <w:autoSpaceDN w:val="0"/>
        <w:adjustRightInd w:val="0"/>
        <w:spacing w:line="360" w:lineRule="auto"/>
        <w:ind w:firstLine="720"/>
        <w:rPr>
          <w:color w:val="000000"/>
          <w:w w:val="107"/>
          <w:sz w:val="24"/>
          <w:szCs w:val="24"/>
        </w:rPr>
      </w:pPr>
    </w:p>
    <w:p w14:paraId="025D9746" w14:textId="3F4E40DD" w:rsidR="00462B10" w:rsidRDefault="00462B10" w:rsidP="00462B10">
      <w:pPr>
        <w:widowControl w:val="0"/>
        <w:autoSpaceDE w:val="0"/>
        <w:autoSpaceDN w:val="0"/>
        <w:adjustRightInd w:val="0"/>
        <w:spacing w:line="360" w:lineRule="auto"/>
        <w:rPr>
          <w:color w:val="000000"/>
          <w:w w:val="107"/>
          <w:sz w:val="24"/>
          <w:szCs w:val="24"/>
        </w:rPr>
      </w:pPr>
      <w:r>
        <w:rPr>
          <w:color w:val="000000"/>
          <w:w w:val="108"/>
          <w:sz w:val="24"/>
          <w:szCs w:val="24"/>
        </w:rPr>
        <w:tab/>
      </w:r>
      <w:r>
        <w:rPr>
          <w:color w:val="000000"/>
          <w:w w:val="108"/>
          <w:sz w:val="24"/>
          <w:szCs w:val="24"/>
        </w:rPr>
        <w:tab/>
        <w:t xml:space="preserve">On August 31, 2023, the Company filed a Motion for Summary Judgment.  The Company alleged </w:t>
      </w:r>
      <w:r w:rsidR="00544D47">
        <w:rPr>
          <w:color w:val="000000"/>
          <w:w w:val="108"/>
          <w:sz w:val="24"/>
          <w:szCs w:val="24"/>
        </w:rPr>
        <w:t>that the Complainant has failed to establish that there was any factual dispute in this case</w:t>
      </w:r>
      <w:r>
        <w:rPr>
          <w:sz w:val="24"/>
          <w:szCs w:val="24"/>
        </w:rPr>
        <w:t>.</w:t>
      </w:r>
      <w:r w:rsidR="007171F3">
        <w:rPr>
          <w:sz w:val="24"/>
          <w:szCs w:val="24"/>
        </w:rPr>
        <w:t xml:space="preserve">  Further, the Complainant requested monetary damages which the Commission does not have jurisdiction to grant.  </w:t>
      </w:r>
      <w:r>
        <w:rPr>
          <w:sz w:val="24"/>
          <w:szCs w:val="24"/>
        </w:rPr>
        <w:t xml:space="preserve">  </w:t>
      </w:r>
      <w:r>
        <w:rPr>
          <w:color w:val="000000"/>
          <w:w w:val="107"/>
          <w:sz w:val="24"/>
          <w:szCs w:val="24"/>
        </w:rPr>
        <w:t xml:space="preserve"> </w:t>
      </w:r>
    </w:p>
    <w:p w14:paraId="5B80FE7E" w14:textId="77777777" w:rsidR="00462B10" w:rsidRDefault="00462B10" w:rsidP="00462B10">
      <w:pPr>
        <w:widowControl w:val="0"/>
        <w:autoSpaceDE w:val="0"/>
        <w:autoSpaceDN w:val="0"/>
        <w:adjustRightInd w:val="0"/>
        <w:spacing w:line="360" w:lineRule="auto"/>
        <w:rPr>
          <w:color w:val="000000"/>
          <w:w w:val="107"/>
          <w:sz w:val="24"/>
          <w:szCs w:val="24"/>
        </w:rPr>
      </w:pPr>
    </w:p>
    <w:p w14:paraId="564E1B35" w14:textId="78981AEB" w:rsidR="00462B10" w:rsidRDefault="00462B10" w:rsidP="00462B10">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r>
      <w:r>
        <w:rPr>
          <w:color w:val="000000"/>
          <w:w w:val="108"/>
          <w:sz w:val="24"/>
          <w:szCs w:val="24"/>
        </w:rPr>
        <w:t xml:space="preserve">The Motion for Summary Judgment contained a </w:t>
      </w:r>
      <w:r>
        <w:rPr>
          <w:color w:val="000000"/>
          <w:w w:val="107"/>
          <w:sz w:val="24"/>
          <w:szCs w:val="24"/>
        </w:rPr>
        <w:t xml:space="preserve">Notice to Plead directing the Complainants to file a response within 20 days of service.  As of the date of this order, no response was filed.  </w:t>
      </w:r>
    </w:p>
    <w:p w14:paraId="7D0F7786" w14:textId="77777777" w:rsidR="0043207F" w:rsidRDefault="0043207F" w:rsidP="00462B10">
      <w:pPr>
        <w:widowControl w:val="0"/>
        <w:autoSpaceDE w:val="0"/>
        <w:autoSpaceDN w:val="0"/>
        <w:adjustRightInd w:val="0"/>
        <w:spacing w:line="360" w:lineRule="auto"/>
        <w:rPr>
          <w:color w:val="000000"/>
          <w:w w:val="107"/>
          <w:sz w:val="24"/>
          <w:szCs w:val="24"/>
        </w:rPr>
      </w:pPr>
    </w:p>
    <w:p w14:paraId="450A98C3" w14:textId="6C8E2D12" w:rsidR="0043207F" w:rsidRDefault="0043207F" w:rsidP="00462B10">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t>On September 25, 2023, the Company filed its written Rebuttal Testimony which included the following:</w:t>
      </w:r>
    </w:p>
    <w:p w14:paraId="063AF6C8" w14:textId="77777777" w:rsidR="0043207F" w:rsidRDefault="0043207F" w:rsidP="00462B10">
      <w:pPr>
        <w:widowControl w:val="0"/>
        <w:autoSpaceDE w:val="0"/>
        <w:autoSpaceDN w:val="0"/>
        <w:adjustRightInd w:val="0"/>
        <w:spacing w:line="360" w:lineRule="auto"/>
        <w:rPr>
          <w:color w:val="000000"/>
          <w:w w:val="107"/>
          <w:sz w:val="24"/>
          <w:szCs w:val="24"/>
        </w:rPr>
      </w:pPr>
    </w:p>
    <w:p w14:paraId="12CCB169" w14:textId="77777777" w:rsidR="0043207F" w:rsidRPr="0043207F" w:rsidRDefault="0043207F" w:rsidP="0023483E">
      <w:pPr>
        <w:pStyle w:val="ListParagraph"/>
        <w:widowControl w:val="0"/>
        <w:numPr>
          <w:ilvl w:val="0"/>
          <w:numId w:val="5"/>
        </w:numPr>
        <w:autoSpaceDE w:val="0"/>
        <w:autoSpaceDN w:val="0"/>
        <w:adjustRightInd w:val="0"/>
        <w:spacing w:line="360" w:lineRule="auto"/>
        <w:ind w:left="2160" w:hanging="720"/>
        <w:rPr>
          <w:color w:val="000000"/>
          <w:w w:val="107"/>
          <w:sz w:val="24"/>
          <w:szCs w:val="24"/>
        </w:rPr>
      </w:pPr>
      <w:r w:rsidRPr="0043207F">
        <w:rPr>
          <w:sz w:val="24"/>
          <w:szCs w:val="24"/>
        </w:rPr>
        <w:t xml:space="preserve">UGI Gas Statement No. 1R – Rebuttal Testimony of John D. Taylor, with Exhibits JDT-1R and JDT-2R </w:t>
      </w:r>
    </w:p>
    <w:p w14:paraId="427149A4" w14:textId="5E96893C" w:rsidR="0043207F" w:rsidRPr="0043207F" w:rsidRDefault="0043207F" w:rsidP="0023483E">
      <w:pPr>
        <w:pStyle w:val="ListParagraph"/>
        <w:widowControl w:val="0"/>
        <w:numPr>
          <w:ilvl w:val="0"/>
          <w:numId w:val="5"/>
        </w:numPr>
        <w:autoSpaceDE w:val="0"/>
        <w:autoSpaceDN w:val="0"/>
        <w:adjustRightInd w:val="0"/>
        <w:spacing w:line="360" w:lineRule="auto"/>
        <w:ind w:left="2160" w:hanging="720"/>
        <w:rPr>
          <w:color w:val="000000"/>
          <w:w w:val="107"/>
          <w:sz w:val="24"/>
          <w:szCs w:val="24"/>
        </w:rPr>
      </w:pPr>
      <w:r w:rsidRPr="0043207F">
        <w:rPr>
          <w:sz w:val="24"/>
          <w:szCs w:val="24"/>
        </w:rPr>
        <w:t xml:space="preserve">UGI Gas Statement No. 2R – Rebuttal Testimony of Kimberly M. </w:t>
      </w:r>
      <w:proofErr w:type="spellStart"/>
      <w:r w:rsidRPr="0043207F">
        <w:rPr>
          <w:sz w:val="24"/>
          <w:szCs w:val="24"/>
        </w:rPr>
        <w:t>Bassininsky</w:t>
      </w:r>
      <w:proofErr w:type="spellEnd"/>
      <w:r w:rsidRPr="0043207F">
        <w:rPr>
          <w:sz w:val="24"/>
          <w:szCs w:val="24"/>
        </w:rPr>
        <w:t>, with Exhibits KMB-1R through KMB-5R</w:t>
      </w:r>
      <w:r>
        <w:rPr>
          <w:sz w:val="24"/>
          <w:szCs w:val="24"/>
        </w:rPr>
        <w:t>.</w:t>
      </w:r>
    </w:p>
    <w:p w14:paraId="4DEA8FAC" w14:textId="77777777" w:rsidR="0043207F" w:rsidRDefault="0043207F" w:rsidP="0043207F">
      <w:pPr>
        <w:widowControl w:val="0"/>
        <w:autoSpaceDE w:val="0"/>
        <w:autoSpaceDN w:val="0"/>
        <w:adjustRightInd w:val="0"/>
        <w:spacing w:line="360" w:lineRule="auto"/>
        <w:rPr>
          <w:color w:val="000000"/>
          <w:w w:val="107"/>
          <w:sz w:val="24"/>
          <w:szCs w:val="24"/>
        </w:rPr>
      </w:pPr>
    </w:p>
    <w:p w14:paraId="02170AAE" w14:textId="2DBFEB65" w:rsidR="0043207F" w:rsidRPr="0043207F" w:rsidRDefault="0043207F" w:rsidP="0043207F">
      <w:pPr>
        <w:widowControl w:val="0"/>
        <w:autoSpaceDE w:val="0"/>
        <w:autoSpaceDN w:val="0"/>
        <w:adjustRightInd w:val="0"/>
        <w:spacing w:line="360" w:lineRule="auto"/>
        <w:ind w:firstLine="1440"/>
        <w:rPr>
          <w:color w:val="000000"/>
          <w:w w:val="107"/>
          <w:sz w:val="24"/>
          <w:szCs w:val="24"/>
        </w:rPr>
      </w:pPr>
      <w:r>
        <w:rPr>
          <w:color w:val="000000"/>
          <w:w w:val="107"/>
          <w:sz w:val="24"/>
          <w:szCs w:val="24"/>
        </w:rPr>
        <w:lastRenderedPageBreak/>
        <w:t xml:space="preserve">On October 6, 2023, the Company filed a Motion to Stay the proceedings until a decision was made on the Motion for Summary Judgment.  The stay was granted on October 16, 2023.   </w:t>
      </w:r>
    </w:p>
    <w:p w14:paraId="0D76A45D" w14:textId="77777777" w:rsidR="00462B10" w:rsidRDefault="00462B10" w:rsidP="00462B10">
      <w:pPr>
        <w:widowControl w:val="0"/>
        <w:autoSpaceDE w:val="0"/>
        <w:autoSpaceDN w:val="0"/>
        <w:adjustRightInd w:val="0"/>
        <w:spacing w:line="360" w:lineRule="auto"/>
        <w:rPr>
          <w:color w:val="000000"/>
          <w:w w:val="107"/>
          <w:sz w:val="24"/>
          <w:szCs w:val="24"/>
        </w:rPr>
      </w:pPr>
    </w:p>
    <w:p w14:paraId="1B8C2AAD" w14:textId="1DE31067" w:rsidR="00462B10" w:rsidRDefault="00462B10" w:rsidP="00462B10">
      <w:pPr>
        <w:widowControl w:val="0"/>
        <w:autoSpaceDE w:val="0"/>
        <w:autoSpaceDN w:val="0"/>
        <w:adjustRightInd w:val="0"/>
        <w:spacing w:line="360" w:lineRule="auto"/>
        <w:rPr>
          <w:color w:val="000000"/>
          <w:w w:val="108"/>
          <w:sz w:val="24"/>
          <w:szCs w:val="24"/>
        </w:rPr>
      </w:pPr>
      <w:r>
        <w:rPr>
          <w:color w:val="000000"/>
          <w:w w:val="107"/>
          <w:sz w:val="24"/>
          <w:szCs w:val="24"/>
        </w:rPr>
        <w:tab/>
      </w:r>
      <w:r>
        <w:rPr>
          <w:color w:val="000000"/>
          <w:w w:val="107"/>
          <w:sz w:val="24"/>
          <w:szCs w:val="24"/>
        </w:rPr>
        <w:tab/>
        <w:t>This matter is now ripe for a ruling on the Motion for Summary Judgment.</w:t>
      </w:r>
    </w:p>
    <w:p w14:paraId="6B4DECBC" w14:textId="77777777" w:rsidR="00462B10" w:rsidRDefault="00462B10" w:rsidP="00462B10">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r>
    </w:p>
    <w:p w14:paraId="277FE9DA" w14:textId="77777777" w:rsidR="00462B10" w:rsidRDefault="00462B10" w:rsidP="00462B10">
      <w:pPr>
        <w:spacing w:line="360" w:lineRule="auto"/>
        <w:jc w:val="center"/>
        <w:rPr>
          <w:sz w:val="24"/>
          <w:szCs w:val="24"/>
          <w:u w:val="single"/>
        </w:rPr>
      </w:pPr>
      <w:r>
        <w:rPr>
          <w:sz w:val="24"/>
          <w:szCs w:val="24"/>
          <w:u w:val="single"/>
        </w:rPr>
        <w:t>DISCUSSION</w:t>
      </w:r>
    </w:p>
    <w:p w14:paraId="713B05EB" w14:textId="77777777" w:rsidR="00462B10" w:rsidRDefault="00462B10" w:rsidP="00462B10">
      <w:pPr>
        <w:spacing w:line="360" w:lineRule="auto"/>
        <w:rPr>
          <w:sz w:val="24"/>
          <w:szCs w:val="24"/>
        </w:rPr>
      </w:pPr>
    </w:p>
    <w:p w14:paraId="005EEB48" w14:textId="3D3BC709" w:rsidR="00462B10" w:rsidRDefault="00462B10" w:rsidP="00462B10">
      <w:pPr>
        <w:autoSpaceDE w:val="0"/>
        <w:autoSpaceDN w:val="0"/>
        <w:spacing w:line="360" w:lineRule="auto"/>
        <w:ind w:firstLine="1440"/>
        <w:rPr>
          <w:bCs/>
          <w:color w:val="000000"/>
          <w:sz w:val="24"/>
          <w:szCs w:val="24"/>
        </w:rPr>
      </w:pPr>
      <w:proofErr w:type="gramStart"/>
      <w:r>
        <w:rPr>
          <w:color w:val="000000"/>
          <w:sz w:val="24"/>
          <w:szCs w:val="24"/>
        </w:rPr>
        <w:t>With regard to</w:t>
      </w:r>
      <w:proofErr w:type="gramEnd"/>
      <w:r>
        <w:rPr>
          <w:color w:val="000000"/>
          <w:sz w:val="24"/>
          <w:szCs w:val="24"/>
        </w:rPr>
        <w:t xml:space="preserve"> PAWC’s Motion for </w:t>
      </w:r>
      <w:r w:rsidR="0043207F">
        <w:rPr>
          <w:color w:val="000000"/>
          <w:sz w:val="24"/>
          <w:szCs w:val="24"/>
        </w:rPr>
        <w:t xml:space="preserve">Summary </w:t>
      </w:r>
      <w:r>
        <w:rPr>
          <w:color w:val="000000"/>
          <w:sz w:val="24"/>
          <w:szCs w:val="24"/>
        </w:rPr>
        <w:t xml:space="preserve">Judgment, the Commission’s Rules of Administrative Practice and Procedure, 52 Pa. Code Chapters 1, 3 and 5, provide for the filing of motions for summary judgment and judgment on the pleadings.  </w:t>
      </w:r>
      <w:proofErr w:type="gramStart"/>
      <w:r>
        <w:rPr>
          <w:color w:val="000000"/>
          <w:sz w:val="24"/>
          <w:szCs w:val="24"/>
        </w:rPr>
        <w:t>In particular, Section</w:t>
      </w:r>
      <w:proofErr w:type="gramEnd"/>
      <w:r>
        <w:rPr>
          <w:color w:val="000000"/>
          <w:sz w:val="24"/>
          <w:szCs w:val="24"/>
        </w:rPr>
        <w:t xml:space="preserve"> 5.102 of t</w:t>
      </w:r>
      <w:r>
        <w:rPr>
          <w:bCs/>
          <w:color w:val="000000"/>
          <w:sz w:val="24"/>
          <w:szCs w:val="24"/>
        </w:rPr>
        <w:t>he Commission’s Rules provides in relevant part:</w:t>
      </w:r>
    </w:p>
    <w:p w14:paraId="5474D3A4" w14:textId="77777777" w:rsidR="00462B10" w:rsidRDefault="00462B10" w:rsidP="00462B10">
      <w:pPr>
        <w:rPr>
          <w:b/>
          <w:bCs/>
          <w:color w:val="000000"/>
          <w:sz w:val="24"/>
          <w:szCs w:val="24"/>
        </w:rPr>
      </w:pPr>
    </w:p>
    <w:p w14:paraId="20E8140C" w14:textId="77777777" w:rsidR="00462B10" w:rsidRDefault="00462B10" w:rsidP="00462B10">
      <w:pPr>
        <w:ind w:left="1440" w:right="1440"/>
        <w:rPr>
          <w:b/>
          <w:bCs/>
          <w:color w:val="000000"/>
          <w:sz w:val="24"/>
          <w:szCs w:val="24"/>
        </w:rPr>
      </w:pPr>
      <w:r>
        <w:rPr>
          <w:b/>
          <w:bCs/>
          <w:color w:val="000000"/>
          <w:sz w:val="24"/>
          <w:szCs w:val="24"/>
        </w:rPr>
        <w:t>§ 5.102 Motions for summary judgment and judgment on the pleadings.</w:t>
      </w:r>
    </w:p>
    <w:p w14:paraId="0255CD94" w14:textId="77777777" w:rsidR="00462B10" w:rsidRDefault="00462B10" w:rsidP="00462B10">
      <w:pPr>
        <w:autoSpaceDE w:val="0"/>
        <w:autoSpaceDN w:val="0"/>
        <w:ind w:left="1440" w:right="1440"/>
        <w:rPr>
          <w:b/>
          <w:bCs/>
          <w:color w:val="000000"/>
          <w:sz w:val="24"/>
          <w:szCs w:val="24"/>
        </w:rPr>
      </w:pPr>
    </w:p>
    <w:p w14:paraId="30BC699A" w14:textId="77777777" w:rsidR="00462B10" w:rsidRDefault="00462B10" w:rsidP="00462B10">
      <w:pPr>
        <w:numPr>
          <w:ilvl w:val="0"/>
          <w:numId w:val="1"/>
        </w:numPr>
        <w:autoSpaceDE w:val="0"/>
        <w:autoSpaceDN w:val="0"/>
        <w:ind w:left="1440" w:right="1440" w:firstLine="0"/>
        <w:rPr>
          <w:bCs/>
          <w:color w:val="000000"/>
          <w:sz w:val="24"/>
          <w:szCs w:val="24"/>
        </w:rPr>
      </w:pPr>
      <w:r>
        <w:rPr>
          <w:bCs/>
          <w:i/>
          <w:color w:val="000000"/>
          <w:sz w:val="24"/>
          <w:szCs w:val="24"/>
        </w:rPr>
        <w:t>Generally</w:t>
      </w:r>
      <w:r>
        <w:rPr>
          <w:bCs/>
          <w:color w:val="000000"/>
          <w:sz w:val="24"/>
          <w:szCs w:val="24"/>
        </w:rPr>
        <w:t>.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w:t>
      </w:r>
    </w:p>
    <w:p w14:paraId="472C13B0" w14:textId="77777777" w:rsidR="00462B10" w:rsidRDefault="00462B10" w:rsidP="00462B10">
      <w:pPr>
        <w:autoSpaceDE w:val="0"/>
        <w:autoSpaceDN w:val="0"/>
        <w:ind w:left="1440" w:right="1440"/>
        <w:rPr>
          <w:bCs/>
          <w:color w:val="000000"/>
          <w:sz w:val="24"/>
          <w:szCs w:val="24"/>
        </w:rPr>
      </w:pPr>
    </w:p>
    <w:p w14:paraId="00FC1026" w14:textId="77777777" w:rsidR="00462B10" w:rsidRDefault="00462B10" w:rsidP="00462B10">
      <w:pPr>
        <w:autoSpaceDE w:val="0"/>
        <w:autoSpaceDN w:val="0"/>
        <w:ind w:left="1440" w:right="1440"/>
        <w:jc w:val="center"/>
        <w:rPr>
          <w:bCs/>
          <w:color w:val="000000"/>
          <w:sz w:val="24"/>
          <w:szCs w:val="24"/>
        </w:rPr>
      </w:pPr>
      <w:r>
        <w:rPr>
          <w:bCs/>
          <w:color w:val="000000"/>
          <w:sz w:val="24"/>
          <w:szCs w:val="24"/>
        </w:rPr>
        <w:t>* * *</w:t>
      </w:r>
    </w:p>
    <w:p w14:paraId="610420AC" w14:textId="77777777" w:rsidR="00462B10" w:rsidRDefault="00462B10" w:rsidP="00462B10">
      <w:pPr>
        <w:autoSpaceDE w:val="0"/>
        <w:autoSpaceDN w:val="0"/>
        <w:ind w:left="1440" w:right="1440"/>
        <w:jc w:val="center"/>
        <w:rPr>
          <w:bCs/>
          <w:color w:val="000000"/>
          <w:sz w:val="24"/>
          <w:szCs w:val="24"/>
        </w:rPr>
      </w:pPr>
    </w:p>
    <w:p w14:paraId="76666064" w14:textId="77777777" w:rsidR="00462B10" w:rsidRDefault="00462B10" w:rsidP="00462B10">
      <w:pPr>
        <w:autoSpaceDE w:val="0"/>
        <w:autoSpaceDN w:val="0"/>
        <w:ind w:left="1440" w:right="1440"/>
        <w:rPr>
          <w:bCs/>
          <w:color w:val="000000"/>
          <w:sz w:val="24"/>
          <w:szCs w:val="24"/>
        </w:rPr>
      </w:pPr>
      <w:r>
        <w:rPr>
          <w:bCs/>
          <w:color w:val="000000"/>
          <w:sz w:val="24"/>
          <w:szCs w:val="24"/>
        </w:rPr>
        <w:t xml:space="preserve">(d) </w:t>
      </w:r>
      <w:r>
        <w:rPr>
          <w:bCs/>
          <w:color w:val="000000"/>
          <w:sz w:val="24"/>
          <w:szCs w:val="24"/>
        </w:rPr>
        <w:tab/>
      </w:r>
      <w:r>
        <w:rPr>
          <w:bCs/>
          <w:i/>
          <w:color w:val="000000"/>
          <w:sz w:val="24"/>
          <w:szCs w:val="24"/>
        </w:rPr>
        <w:t>Decisions on Motions</w:t>
      </w:r>
      <w:r>
        <w:rPr>
          <w:bCs/>
          <w:color w:val="000000"/>
          <w:sz w:val="24"/>
          <w:szCs w:val="24"/>
        </w:rPr>
        <w:t>.</w:t>
      </w:r>
    </w:p>
    <w:p w14:paraId="508CD5F0" w14:textId="77777777" w:rsidR="00462B10" w:rsidRDefault="00462B10" w:rsidP="00462B10">
      <w:pPr>
        <w:autoSpaceDE w:val="0"/>
        <w:autoSpaceDN w:val="0"/>
        <w:ind w:left="1440" w:right="1440"/>
        <w:rPr>
          <w:bCs/>
          <w:color w:val="000000"/>
          <w:sz w:val="24"/>
          <w:szCs w:val="24"/>
        </w:rPr>
      </w:pPr>
    </w:p>
    <w:p w14:paraId="45F82A89" w14:textId="77777777" w:rsidR="00462B10" w:rsidRDefault="00462B10" w:rsidP="00462B10">
      <w:pPr>
        <w:numPr>
          <w:ilvl w:val="0"/>
          <w:numId w:val="2"/>
        </w:numPr>
        <w:autoSpaceDE w:val="0"/>
        <w:autoSpaceDN w:val="0"/>
        <w:ind w:left="1440" w:right="1440" w:firstLine="0"/>
        <w:rPr>
          <w:bCs/>
          <w:color w:val="000000"/>
          <w:sz w:val="24"/>
          <w:szCs w:val="24"/>
        </w:rPr>
      </w:pPr>
      <w:r>
        <w:rPr>
          <w:bCs/>
          <w:i/>
          <w:color w:val="000000"/>
          <w:sz w:val="24"/>
          <w:szCs w:val="24"/>
        </w:rPr>
        <w:t>Standard for grant or denial on all counts</w:t>
      </w:r>
      <w:r>
        <w:rPr>
          <w:bCs/>
          <w:color w:val="000000"/>
          <w:sz w:val="24"/>
          <w:szCs w:val="24"/>
        </w:rPr>
        <w:t>.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14:paraId="5C849525" w14:textId="77777777" w:rsidR="00462B10" w:rsidRDefault="00462B10" w:rsidP="00462B10">
      <w:pPr>
        <w:autoSpaceDE w:val="0"/>
        <w:autoSpaceDN w:val="0"/>
        <w:ind w:left="1440" w:right="1440"/>
        <w:rPr>
          <w:bCs/>
          <w:color w:val="000000"/>
          <w:sz w:val="24"/>
          <w:szCs w:val="24"/>
        </w:rPr>
      </w:pPr>
    </w:p>
    <w:p w14:paraId="655AA24D" w14:textId="77777777" w:rsidR="00462B10" w:rsidRDefault="00462B10" w:rsidP="00462B10">
      <w:pPr>
        <w:autoSpaceDE w:val="0"/>
        <w:autoSpaceDN w:val="0"/>
        <w:ind w:left="1440" w:right="1440"/>
        <w:rPr>
          <w:bCs/>
          <w:color w:val="000000"/>
          <w:sz w:val="24"/>
          <w:szCs w:val="24"/>
        </w:rPr>
      </w:pPr>
      <w:r>
        <w:rPr>
          <w:bCs/>
          <w:color w:val="000000"/>
          <w:sz w:val="24"/>
          <w:szCs w:val="24"/>
        </w:rPr>
        <w:t xml:space="preserve">(2)  </w:t>
      </w:r>
      <w:r>
        <w:rPr>
          <w:bCs/>
          <w:color w:val="000000"/>
          <w:sz w:val="24"/>
          <w:szCs w:val="24"/>
        </w:rPr>
        <w:tab/>
      </w:r>
      <w:r>
        <w:rPr>
          <w:bCs/>
          <w:i/>
          <w:color w:val="000000"/>
          <w:sz w:val="24"/>
          <w:szCs w:val="24"/>
        </w:rPr>
        <w:t>Standard for grant or denial in part</w:t>
      </w:r>
      <w:r>
        <w:rPr>
          <w:bCs/>
          <w:color w:val="000000"/>
          <w:sz w:val="24"/>
          <w:szCs w:val="24"/>
        </w:rPr>
        <w:t>.  The presiding officer may grant a partial summary judgment if the pleadings, depositions, answers to interrogatories and admissions, together with the affidavits, if any, show that there is no genuine issue as to a material fact and that the moving party is entitled to a judgment as a matter of law on one or more but not all outstanding issues.</w:t>
      </w:r>
    </w:p>
    <w:p w14:paraId="61115975" w14:textId="77777777" w:rsidR="00462B10" w:rsidRDefault="00462B10" w:rsidP="00462B10">
      <w:pPr>
        <w:autoSpaceDE w:val="0"/>
        <w:autoSpaceDN w:val="0"/>
        <w:ind w:left="1440" w:right="1440"/>
        <w:rPr>
          <w:bCs/>
          <w:color w:val="000000"/>
          <w:sz w:val="24"/>
          <w:szCs w:val="24"/>
        </w:rPr>
      </w:pPr>
    </w:p>
    <w:p w14:paraId="71A1D683" w14:textId="77777777" w:rsidR="00462B10" w:rsidRDefault="00462B10" w:rsidP="00462B10">
      <w:pPr>
        <w:autoSpaceDE w:val="0"/>
        <w:autoSpaceDN w:val="0"/>
        <w:spacing w:line="360" w:lineRule="auto"/>
        <w:rPr>
          <w:snapToGrid w:val="0"/>
          <w:sz w:val="24"/>
          <w:szCs w:val="24"/>
        </w:rPr>
      </w:pPr>
      <w:r>
        <w:rPr>
          <w:bCs/>
          <w:color w:val="000000"/>
          <w:sz w:val="24"/>
          <w:szCs w:val="24"/>
        </w:rPr>
        <w:t xml:space="preserve">52 Pa.Code § 5.102(a), (d)(1) and (d)(2).  </w:t>
      </w:r>
      <w:r>
        <w:rPr>
          <w:snapToGrid w:val="0"/>
          <w:sz w:val="24"/>
          <w:szCs w:val="24"/>
        </w:rPr>
        <w:t xml:space="preserve">When disposing of a motion for summary judgment, the record must be examined in the light most favorable to the nonmoving party.  </w:t>
      </w:r>
      <w:r>
        <w:rPr>
          <w:i/>
          <w:iCs/>
          <w:snapToGrid w:val="0"/>
          <w:sz w:val="24"/>
          <w:szCs w:val="24"/>
        </w:rPr>
        <w:t>First Mortgage Co. of Pennsylvania v. McCall</w:t>
      </w:r>
      <w:r>
        <w:rPr>
          <w:snapToGrid w:val="0"/>
          <w:sz w:val="24"/>
          <w:szCs w:val="24"/>
        </w:rPr>
        <w:t xml:space="preserve">, 313 Pa. Superior Ct. 54, 56, 459 A.2d 406, 408 (1983).  To avoid the motion for summary judgment, the nonmoving party must set forth facts showing that there is a genuine issue for trial.  </w:t>
      </w:r>
      <w:r>
        <w:rPr>
          <w:i/>
          <w:iCs/>
          <w:snapToGrid w:val="0"/>
          <w:sz w:val="24"/>
          <w:szCs w:val="24"/>
        </w:rPr>
        <w:t>Id.</w:t>
      </w:r>
      <w:r>
        <w:rPr>
          <w:snapToGrid w:val="0"/>
          <w:sz w:val="24"/>
          <w:szCs w:val="24"/>
        </w:rPr>
        <w:t xml:space="preserve"> at 58-59.</w:t>
      </w:r>
    </w:p>
    <w:p w14:paraId="68AF46D7" w14:textId="77777777" w:rsidR="00462B10" w:rsidRDefault="00462B10" w:rsidP="00462B10">
      <w:pPr>
        <w:autoSpaceDE w:val="0"/>
        <w:autoSpaceDN w:val="0"/>
        <w:spacing w:line="360" w:lineRule="auto"/>
        <w:rPr>
          <w:snapToGrid w:val="0"/>
          <w:sz w:val="24"/>
          <w:szCs w:val="24"/>
        </w:rPr>
      </w:pPr>
    </w:p>
    <w:p w14:paraId="6868E575" w14:textId="77777777" w:rsidR="00023C1D" w:rsidRDefault="00023C1D" w:rsidP="00023C1D">
      <w:pPr>
        <w:widowControl w:val="0"/>
        <w:autoSpaceDE w:val="0"/>
        <w:autoSpaceDN w:val="0"/>
        <w:adjustRightInd w:val="0"/>
        <w:spacing w:line="360" w:lineRule="auto"/>
        <w:ind w:firstLine="1440"/>
        <w:rPr>
          <w:color w:val="000000"/>
          <w:w w:val="107"/>
          <w:sz w:val="24"/>
          <w:szCs w:val="24"/>
        </w:rPr>
      </w:pPr>
      <w:r>
        <w:rPr>
          <w:color w:val="000000"/>
          <w:w w:val="107"/>
          <w:sz w:val="24"/>
          <w:szCs w:val="24"/>
        </w:rPr>
        <w:t>The Company argues the Commission must strike Complainant’s request for monetary damages because the Commission lacks the jurisdiction to award them.</w:t>
      </w:r>
    </w:p>
    <w:p w14:paraId="1B37A568" w14:textId="77777777" w:rsidR="00023C1D" w:rsidRDefault="00023C1D" w:rsidP="00023C1D">
      <w:pPr>
        <w:spacing w:line="360" w:lineRule="auto"/>
        <w:rPr>
          <w:sz w:val="24"/>
          <w:szCs w:val="24"/>
        </w:rPr>
      </w:pPr>
    </w:p>
    <w:p w14:paraId="40D1407A" w14:textId="15DA572A" w:rsidR="00023C1D" w:rsidRPr="0023483E" w:rsidRDefault="00023C1D" w:rsidP="0023483E">
      <w:pPr>
        <w:spacing w:line="360" w:lineRule="auto"/>
        <w:rPr>
          <w:sz w:val="24"/>
          <w:szCs w:val="24"/>
        </w:rPr>
      </w:pPr>
      <w:r>
        <w:rPr>
          <w:sz w:val="24"/>
          <w:szCs w:val="24"/>
        </w:rPr>
        <w:tab/>
      </w:r>
      <w:r>
        <w:rPr>
          <w:sz w:val="24"/>
          <w:szCs w:val="24"/>
        </w:rPr>
        <w:tab/>
        <w:t>Subject matter jurisdiction is a prerequisite to the exercise of the power to decide a controversy.</w:t>
      </w:r>
      <w:r>
        <w:rPr>
          <w:rStyle w:val="FootnoteReference"/>
          <w:szCs w:val="24"/>
          <w:vertAlign w:val="superscript"/>
        </w:rPr>
        <w:footnoteReference w:id="1"/>
      </w:r>
      <w:r>
        <w:rPr>
          <w:sz w:val="24"/>
          <w:szCs w:val="24"/>
          <w:vertAlign w:val="superscript"/>
        </w:rPr>
        <w:t xml:space="preserve"> </w:t>
      </w:r>
      <w:r w:rsidRPr="0023483E">
        <w:rPr>
          <w:sz w:val="24"/>
          <w:szCs w:val="24"/>
        </w:rPr>
        <w:t xml:space="preserve"> </w:t>
      </w:r>
      <w:r w:rsidR="0023483E" w:rsidRPr="0023483E">
        <w:rPr>
          <w:sz w:val="24"/>
          <w:szCs w:val="24"/>
        </w:rPr>
        <w:t xml:space="preserve"> </w:t>
      </w:r>
      <w:r>
        <w:rPr>
          <w:sz w:val="24"/>
          <w:szCs w:val="24"/>
        </w:rPr>
        <w:t>The Commission cannot exceed its jurisdiction and must act within it.</w:t>
      </w:r>
      <w:r>
        <w:rPr>
          <w:rStyle w:val="FootnoteReference"/>
          <w:szCs w:val="24"/>
          <w:vertAlign w:val="superscript"/>
        </w:rPr>
        <w:footnoteReference w:id="2"/>
      </w:r>
      <w:r>
        <w:rPr>
          <w:sz w:val="24"/>
          <w:szCs w:val="24"/>
          <w:vertAlign w:val="superscript"/>
        </w:rPr>
        <w:t xml:space="preserve"> </w:t>
      </w:r>
      <w:r>
        <w:rPr>
          <w:sz w:val="24"/>
          <w:szCs w:val="24"/>
        </w:rPr>
        <w:t xml:space="preserve">  Jurisdiction may not be conferred by the parties where none exists.</w:t>
      </w:r>
      <w:r>
        <w:rPr>
          <w:rStyle w:val="FootnoteReference"/>
          <w:szCs w:val="24"/>
          <w:vertAlign w:val="superscript"/>
        </w:rPr>
        <w:footnoteReference w:id="3"/>
      </w:r>
      <w:r>
        <w:rPr>
          <w:sz w:val="24"/>
          <w:szCs w:val="24"/>
          <w:vertAlign w:val="superscript"/>
        </w:rPr>
        <w:t xml:space="preserve">   </w:t>
      </w:r>
    </w:p>
    <w:p w14:paraId="36A35CEA" w14:textId="77777777" w:rsidR="00023C1D" w:rsidRPr="0023483E" w:rsidRDefault="00023C1D" w:rsidP="0023483E">
      <w:pPr>
        <w:spacing w:line="360" w:lineRule="auto"/>
        <w:rPr>
          <w:sz w:val="24"/>
          <w:szCs w:val="24"/>
        </w:rPr>
      </w:pPr>
      <w:r w:rsidRPr="0023483E">
        <w:rPr>
          <w:sz w:val="24"/>
          <w:szCs w:val="24"/>
        </w:rPr>
        <w:tab/>
      </w:r>
      <w:r w:rsidRPr="0023483E">
        <w:rPr>
          <w:sz w:val="24"/>
          <w:szCs w:val="24"/>
        </w:rPr>
        <w:tab/>
      </w:r>
    </w:p>
    <w:p w14:paraId="3430599F" w14:textId="744EA857" w:rsidR="00023C1D" w:rsidRDefault="00023C1D" w:rsidP="00023C1D">
      <w:pPr>
        <w:spacing w:line="360" w:lineRule="auto"/>
        <w:rPr>
          <w:sz w:val="24"/>
          <w:szCs w:val="24"/>
        </w:rPr>
      </w:pPr>
      <w:r>
        <w:rPr>
          <w:sz w:val="24"/>
          <w:szCs w:val="24"/>
        </w:rPr>
        <w:tab/>
      </w:r>
      <w:r>
        <w:rPr>
          <w:sz w:val="24"/>
          <w:szCs w:val="24"/>
        </w:rPr>
        <w:tab/>
        <w:t>The courts of Pennsylvania have long recognized that the reasonableness, adequacy, and sufficiency of public utility service are within the exclusive original jurisdiction of the Commission.</w:t>
      </w:r>
      <w:r>
        <w:rPr>
          <w:rStyle w:val="FootnoteReference"/>
          <w:szCs w:val="24"/>
          <w:vertAlign w:val="superscript"/>
        </w:rPr>
        <w:footnoteReference w:id="4"/>
      </w:r>
      <w:r>
        <w:rPr>
          <w:sz w:val="24"/>
          <w:szCs w:val="24"/>
        </w:rPr>
        <w:t xml:space="preserve">  However, Pennsylvania courts have also held that the enforcement powers of the Commission do not include the power to award monetary damages.</w:t>
      </w:r>
      <w:r w:rsidR="009674E3" w:rsidRPr="009674E3">
        <w:rPr>
          <w:rStyle w:val="FootnoteReference"/>
          <w:sz w:val="24"/>
          <w:szCs w:val="24"/>
          <w:vertAlign w:val="superscript"/>
        </w:rPr>
        <w:footnoteReference w:id="5"/>
      </w:r>
      <w:r w:rsidRPr="009674E3">
        <w:rPr>
          <w:sz w:val="24"/>
          <w:szCs w:val="24"/>
          <w:vertAlign w:val="superscript"/>
        </w:rPr>
        <w:t xml:space="preserve"> </w:t>
      </w:r>
      <w:r>
        <w:rPr>
          <w:sz w:val="24"/>
          <w:szCs w:val="24"/>
        </w:rPr>
        <w:t xml:space="preserve">  The Court of Common Pleas retains original jurisdiction over suits for monetary damages.</w:t>
      </w:r>
      <w:r w:rsidR="009674E3" w:rsidRPr="009674E3">
        <w:rPr>
          <w:rStyle w:val="FootnoteReference"/>
          <w:sz w:val="24"/>
          <w:szCs w:val="24"/>
          <w:vertAlign w:val="superscript"/>
        </w:rPr>
        <w:footnoteReference w:id="6"/>
      </w:r>
      <w:r w:rsidRPr="009674E3">
        <w:rPr>
          <w:sz w:val="24"/>
          <w:szCs w:val="24"/>
          <w:vertAlign w:val="superscript"/>
        </w:rPr>
        <w:t xml:space="preserve"> </w:t>
      </w:r>
      <w:r>
        <w:rPr>
          <w:sz w:val="24"/>
          <w:szCs w:val="24"/>
        </w:rPr>
        <w:t xml:space="preserve">   </w:t>
      </w:r>
    </w:p>
    <w:p w14:paraId="213F08AD" w14:textId="77777777" w:rsidR="00023C1D" w:rsidRDefault="00023C1D" w:rsidP="00023C1D">
      <w:pPr>
        <w:spacing w:line="360" w:lineRule="auto"/>
        <w:rPr>
          <w:sz w:val="24"/>
          <w:szCs w:val="24"/>
        </w:rPr>
      </w:pPr>
    </w:p>
    <w:p w14:paraId="51F2CB0B" w14:textId="69D9BF9D" w:rsidR="00023C1D" w:rsidRDefault="00023C1D" w:rsidP="00023C1D">
      <w:pPr>
        <w:spacing w:line="360" w:lineRule="auto"/>
        <w:rPr>
          <w:sz w:val="24"/>
          <w:szCs w:val="24"/>
        </w:rPr>
      </w:pPr>
      <w:r>
        <w:rPr>
          <w:sz w:val="24"/>
          <w:szCs w:val="24"/>
        </w:rPr>
        <w:tab/>
      </w:r>
      <w:r>
        <w:rPr>
          <w:sz w:val="24"/>
          <w:szCs w:val="24"/>
        </w:rPr>
        <w:tab/>
        <w:t>In this proceeding, Complainant explicitly requests</w:t>
      </w:r>
      <w:r>
        <w:rPr>
          <w:color w:val="000000"/>
          <w:w w:val="108"/>
          <w:sz w:val="24"/>
          <w:szCs w:val="24"/>
        </w:rPr>
        <w:t xml:space="preserve"> the Commission order the Company reimburse him for additional damages </w:t>
      </w:r>
      <w:r w:rsidR="00B25433">
        <w:rPr>
          <w:color w:val="000000"/>
          <w:w w:val="108"/>
          <w:sz w:val="24"/>
          <w:szCs w:val="24"/>
        </w:rPr>
        <w:t>due to the assessment of the Weather Normalization Adjustment (WNA)</w:t>
      </w:r>
      <w:r>
        <w:rPr>
          <w:color w:val="000000"/>
          <w:w w:val="108"/>
          <w:sz w:val="24"/>
          <w:szCs w:val="24"/>
        </w:rPr>
        <w:t>.</w:t>
      </w:r>
      <w:r>
        <w:rPr>
          <w:sz w:val="24"/>
          <w:szCs w:val="24"/>
        </w:rPr>
        <w:t xml:space="preserve">  This portion of the Complain</w:t>
      </w:r>
      <w:r w:rsidR="00301447">
        <w:rPr>
          <w:sz w:val="24"/>
          <w:szCs w:val="24"/>
        </w:rPr>
        <w:t>ant’s request</w:t>
      </w:r>
      <w:r>
        <w:rPr>
          <w:sz w:val="24"/>
          <w:szCs w:val="24"/>
        </w:rPr>
        <w:t xml:space="preserve"> is stricken </w:t>
      </w:r>
      <w:r>
        <w:rPr>
          <w:sz w:val="24"/>
          <w:szCs w:val="24"/>
        </w:rPr>
        <w:lastRenderedPageBreak/>
        <w:t xml:space="preserve">from </w:t>
      </w:r>
      <w:r w:rsidR="00301447">
        <w:rPr>
          <w:sz w:val="24"/>
          <w:szCs w:val="24"/>
        </w:rPr>
        <w:t>the record</w:t>
      </w:r>
      <w:r>
        <w:rPr>
          <w:sz w:val="24"/>
          <w:szCs w:val="24"/>
        </w:rPr>
        <w:t xml:space="preserve"> and dismissed without hearing because the Commission lacks jurisdiction to award monetary damages.  </w:t>
      </w:r>
    </w:p>
    <w:p w14:paraId="37D183DE" w14:textId="77777777" w:rsidR="007452AF" w:rsidRDefault="007452AF" w:rsidP="00023C1D">
      <w:pPr>
        <w:spacing w:line="360" w:lineRule="auto"/>
        <w:rPr>
          <w:sz w:val="24"/>
          <w:szCs w:val="24"/>
        </w:rPr>
      </w:pPr>
    </w:p>
    <w:p w14:paraId="194A3EC8" w14:textId="7E49DA92" w:rsidR="00462B10" w:rsidRDefault="005631C2" w:rsidP="00462B10">
      <w:pPr>
        <w:tabs>
          <w:tab w:val="left" w:pos="-720"/>
        </w:tabs>
        <w:suppressAutoHyphens/>
        <w:autoSpaceDE w:val="0"/>
        <w:autoSpaceDN w:val="0"/>
        <w:spacing w:line="360" w:lineRule="auto"/>
        <w:rPr>
          <w:sz w:val="24"/>
          <w:szCs w:val="24"/>
        </w:rPr>
      </w:pPr>
      <w:r>
        <w:rPr>
          <w:sz w:val="24"/>
          <w:szCs w:val="24"/>
        </w:rPr>
        <w:tab/>
      </w:r>
      <w:r>
        <w:rPr>
          <w:sz w:val="24"/>
          <w:szCs w:val="24"/>
        </w:rPr>
        <w:tab/>
        <w:t xml:space="preserve">The Company contends that there is no factual dispute in this matter and therefore, a hearing is not necessary in this case.  </w:t>
      </w:r>
      <w:r w:rsidR="0058411E">
        <w:rPr>
          <w:sz w:val="24"/>
          <w:szCs w:val="24"/>
        </w:rPr>
        <w:t xml:space="preserve">However, it should be noted that the Complainant is </w:t>
      </w:r>
      <w:r w:rsidR="0058411E" w:rsidRPr="004034A2">
        <w:rPr>
          <w:i/>
          <w:iCs/>
          <w:sz w:val="24"/>
          <w:szCs w:val="24"/>
        </w:rPr>
        <w:t>pro se</w:t>
      </w:r>
      <w:r w:rsidR="0058411E">
        <w:rPr>
          <w:sz w:val="24"/>
          <w:szCs w:val="24"/>
        </w:rPr>
        <w:t xml:space="preserve"> and has had difficulty in </w:t>
      </w:r>
      <w:r w:rsidR="004034A2">
        <w:rPr>
          <w:sz w:val="24"/>
          <w:szCs w:val="24"/>
        </w:rPr>
        <w:t xml:space="preserve">presenting his case in this matter.  </w:t>
      </w:r>
      <w:r w:rsidR="00341330">
        <w:rPr>
          <w:sz w:val="24"/>
          <w:szCs w:val="24"/>
        </w:rPr>
        <w:t xml:space="preserve">While his </w:t>
      </w:r>
      <w:r w:rsidR="00C32AF8">
        <w:rPr>
          <w:sz w:val="24"/>
          <w:szCs w:val="24"/>
        </w:rPr>
        <w:t xml:space="preserve">Written Direct Statement may not include any factual dispute, </w:t>
      </w:r>
      <w:proofErr w:type="gramStart"/>
      <w:r w:rsidR="00C32AF8">
        <w:rPr>
          <w:sz w:val="24"/>
          <w:szCs w:val="24"/>
        </w:rPr>
        <w:t>it is clear that the</w:t>
      </w:r>
      <w:proofErr w:type="gramEnd"/>
      <w:r w:rsidR="00C32AF8">
        <w:rPr>
          <w:sz w:val="24"/>
          <w:szCs w:val="24"/>
        </w:rPr>
        <w:t xml:space="preserve"> Complainant is </w:t>
      </w:r>
      <w:r w:rsidR="008273C1">
        <w:rPr>
          <w:sz w:val="24"/>
          <w:szCs w:val="24"/>
        </w:rPr>
        <w:t xml:space="preserve">arguing that the WNA is unjust and unreasonable.  Therefore, a legal dispute in this case still remains and the parties should have an opportunity at a hearing to move their </w:t>
      </w:r>
      <w:r w:rsidR="007E1DB1">
        <w:rPr>
          <w:sz w:val="24"/>
          <w:szCs w:val="24"/>
        </w:rPr>
        <w:t xml:space="preserve">written </w:t>
      </w:r>
      <w:r w:rsidR="008273C1">
        <w:rPr>
          <w:sz w:val="24"/>
          <w:szCs w:val="24"/>
        </w:rPr>
        <w:t>statements into the record and cross-examine witnesses</w:t>
      </w:r>
      <w:r w:rsidR="007E1DB1">
        <w:rPr>
          <w:sz w:val="24"/>
          <w:szCs w:val="24"/>
        </w:rPr>
        <w:t>,</w:t>
      </w:r>
      <w:r w:rsidR="00CD215D">
        <w:rPr>
          <w:sz w:val="24"/>
          <w:szCs w:val="24"/>
        </w:rPr>
        <w:t xml:space="preserve"> as well as present any arguments that they may have.</w:t>
      </w:r>
      <w:r w:rsidR="008273C1">
        <w:rPr>
          <w:sz w:val="24"/>
          <w:szCs w:val="24"/>
        </w:rPr>
        <w:t xml:space="preserve">  Further, the Complainant may have additional information to provide that he did not in his written statement </w:t>
      </w:r>
      <w:r w:rsidR="00AC0058">
        <w:rPr>
          <w:sz w:val="24"/>
          <w:szCs w:val="24"/>
        </w:rPr>
        <w:t xml:space="preserve">due to his unfamiliarity with the process.  </w:t>
      </w:r>
    </w:p>
    <w:p w14:paraId="11B0EE55" w14:textId="77777777" w:rsidR="00CD215D" w:rsidRDefault="00CD215D" w:rsidP="00462B10">
      <w:pPr>
        <w:tabs>
          <w:tab w:val="left" w:pos="-720"/>
        </w:tabs>
        <w:suppressAutoHyphens/>
        <w:autoSpaceDE w:val="0"/>
        <w:autoSpaceDN w:val="0"/>
        <w:spacing w:line="360" w:lineRule="auto"/>
        <w:rPr>
          <w:sz w:val="24"/>
          <w:szCs w:val="24"/>
        </w:rPr>
      </w:pPr>
    </w:p>
    <w:p w14:paraId="4E849D8F" w14:textId="3401338D" w:rsidR="00462B10" w:rsidRDefault="00462B10" w:rsidP="00462B10">
      <w:pPr>
        <w:spacing w:line="360" w:lineRule="auto"/>
        <w:ind w:firstLine="1440"/>
        <w:rPr>
          <w:sz w:val="24"/>
          <w:szCs w:val="24"/>
        </w:rPr>
      </w:pPr>
      <w:r>
        <w:rPr>
          <w:sz w:val="24"/>
          <w:szCs w:val="24"/>
        </w:rPr>
        <w:t>Moreover, the Commission has expressed the concern that, in general, complainants may find it difficult to navigate through pre-hearing motions and should be given the chance to orally describe their basic issue and supporting facts.  In this vein, it would be inappropriate to grant the Company’s request that the Complaint be fully dismissed before the Complainant ha</w:t>
      </w:r>
      <w:r w:rsidR="00CD215D">
        <w:rPr>
          <w:sz w:val="24"/>
          <w:szCs w:val="24"/>
        </w:rPr>
        <w:t>s</w:t>
      </w:r>
      <w:r>
        <w:rPr>
          <w:sz w:val="24"/>
          <w:szCs w:val="24"/>
        </w:rPr>
        <w:t xml:space="preserve"> had full due process in th</w:t>
      </w:r>
      <w:r w:rsidR="00CD215D">
        <w:rPr>
          <w:sz w:val="24"/>
          <w:szCs w:val="24"/>
        </w:rPr>
        <w:t>is</w:t>
      </w:r>
      <w:r>
        <w:rPr>
          <w:sz w:val="24"/>
          <w:szCs w:val="24"/>
        </w:rPr>
        <w:t xml:space="preserve"> case.  </w:t>
      </w:r>
    </w:p>
    <w:p w14:paraId="509D53DC" w14:textId="77777777" w:rsidR="00462B10" w:rsidRDefault="00462B10" w:rsidP="00462B10">
      <w:pPr>
        <w:spacing w:line="360" w:lineRule="auto"/>
        <w:jc w:val="center"/>
        <w:rPr>
          <w:sz w:val="24"/>
          <w:szCs w:val="24"/>
          <w:u w:val="single"/>
        </w:rPr>
      </w:pPr>
    </w:p>
    <w:p w14:paraId="3EA701C1" w14:textId="77777777" w:rsidR="00462B10" w:rsidRDefault="00462B10" w:rsidP="00462B10">
      <w:pPr>
        <w:spacing w:line="360" w:lineRule="auto"/>
        <w:jc w:val="center"/>
        <w:rPr>
          <w:sz w:val="24"/>
          <w:szCs w:val="24"/>
          <w:u w:val="single"/>
        </w:rPr>
      </w:pPr>
      <w:r>
        <w:rPr>
          <w:sz w:val="24"/>
          <w:szCs w:val="24"/>
          <w:u w:val="single"/>
        </w:rPr>
        <w:t>ORDER</w:t>
      </w:r>
    </w:p>
    <w:p w14:paraId="27FB12FF" w14:textId="77777777" w:rsidR="00462B10" w:rsidRDefault="00462B10" w:rsidP="00462B10">
      <w:pPr>
        <w:spacing w:line="360" w:lineRule="auto"/>
        <w:rPr>
          <w:sz w:val="24"/>
          <w:szCs w:val="24"/>
        </w:rPr>
      </w:pPr>
    </w:p>
    <w:p w14:paraId="661477DB" w14:textId="77777777" w:rsidR="00462B10" w:rsidRDefault="00462B10" w:rsidP="00462B10">
      <w:pPr>
        <w:spacing w:line="360" w:lineRule="auto"/>
        <w:rPr>
          <w:sz w:val="24"/>
          <w:szCs w:val="24"/>
        </w:rPr>
      </w:pPr>
      <w:r>
        <w:rPr>
          <w:sz w:val="24"/>
          <w:szCs w:val="24"/>
        </w:rPr>
        <w:tab/>
      </w:r>
      <w:r>
        <w:rPr>
          <w:sz w:val="24"/>
          <w:szCs w:val="24"/>
        </w:rPr>
        <w:tab/>
        <w:t>THEREFORE,</w:t>
      </w:r>
    </w:p>
    <w:p w14:paraId="3A4707BE" w14:textId="77777777" w:rsidR="00462B10" w:rsidRDefault="00462B10" w:rsidP="00462B10">
      <w:pPr>
        <w:spacing w:line="360" w:lineRule="auto"/>
        <w:rPr>
          <w:sz w:val="24"/>
          <w:szCs w:val="24"/>
        </w:rPr>
      </w:pPr>
    </w:p>
    <w:p w14:paraId="5200CF2D" w14:textId="77777777" w:rsidR="00462B10" w:rsidRDefault="00462B10" w:rsidP="00462B10">
      <w:pPr>
        <w:spacing w:line="360" w:lineRule="auto"/>
        <w:rPr>
          <w:sz w:val="24"/>
          <w:szCs w:val="24"/>
        </w:rPr>
      </w:pPr>
      <w:r>
        <w:rPr>
          <w:sz w:val="24"/>
          <w:szCs w:val="24"/>
        </w:rPr>
        <w:tab/>
      </w:r>
      <w:r>
        <w:rPr>
          <w:sz w:val="24"/>
          <w:szCs w:val="24"/>
        </w:rPr>
        <w:tab/>
        <w:t>IT IS ORDERED:</w:t>
      </w:r>
    </w:p>
    <w:p w14:paraId="0418D24F" w14:textId="77777777" w:rsidR="00462B10" w:rsidRDefault="00462B10" w:rsidP="00462B10">
      <w:pPr>
        <w:spacing w:line="360" w:lineRule="auto"/>
        <w:rPr>
          <w:sz w:val="24"/>
          <w:szCs w:val="24"/>
        </w:rPr>
      </w:pPr>
    </w:p>
    <w:p w14:paraId="4748D5D3" w14:textId="7132DB12" w:rsidR="00462B10" w:rsidRDefault="00462B10" w:rsidP="00462B10">
      <w:pPr>
        <w:pStyle w:val="ListParagraph"/>
        <w:numPr>
          <w:ilvl w:val="0"/>
          <w:numId w:val="3"/>
        </w:numPr>
        <w:spacing w:line="360" w:lineRule="auto"/>
        <w:ind w:left="0" w:firstLine="1440"/>
        <w:rPr>
          <w:sz w:val="24"/>
          <w:szCs w:val="24"/>
        </w:rPr>
      </w:pPr>
      <w:r>
        <w:rPr>
          <w:sz w:val="24"/>
          <w:szCs w:val="24"/>
        </w:rPr>
        <w:t xml:space="preserve">That the Motion for </w:t>
      </w:r>
      <w:r w:rsidR="002B29D0">
        <w:rPr>
          <w:sz w:val="24"/>
          <w:szCs w:val="24"/>
        </w:rPr>
        <w:t xml:space="preserve">Summary </w:t>
      </w:r>
      <w:r>
        <w:rPr>
          <w:sz w:val="24"/>
          <w:szCs w:val="24"/>
        </w:rPr>
        <w:t xml:space="preserve">Judgement as filed by </w:t>
      </w:r>
      <w:r w:rsidR="002B29D0">
        <w:rPr>
          <w:sz w:val="24"/>
          <w:szCs w:val="24"/>
        </w:rPr>
        <w:t>UGI Utilities, Inc.—Gas Division</w:t>
      </w:r>
      <w:r w:rsidR="00CD6532">
        <w:rPr>
          <w:sz w:val="24"/>
          <w:szCs w:val="24"/>
        </w:rPr>
        <w:t xml:space="preserve"> is granted in part </w:t>
      </w:r>
      <w:proofErr w:type="gramStart"/>
      <w:r w:rsidR="00CD6532">
        <w:rPr>
          <w:sz w:val="24"/>
          <w:szCs w:val="24"/>
        </w:rPr>
        <w:t xml:space="preserve">and </w:t>
      </w:r>
      <w:r>
        <w:rPr>
          <w:sz w:val="24"/>
          <w:szCs w:val="24"/>
        </w:rPr>
        <w:t xml:space="preserve"> denied</w:t>
      </w:r>
      <w:proofErr w:type="gramEnd"/>
      <w:r w:rsidR="00CD6532">
        <w:rPr>
          <w:sz w:val="24"/>
          <w:szCs w:val="24"/>
        </w:rPr>
        <w:t xml:space="preserve"> in part</w:t>
      </w:r>
      <w:r>
        <w:rPr>
          <w:sz w:val="24"/>
          <w:szCs w:val="24"/>
        </w:rPr>
        <w:t>, and;</w:t>
      </w:r>
    </w:p>
    <w:p w14:paraId="763BCFD7" w14:textId="77777777" w:rsidR="008B15BD" w:rsidRDefault="008B15BD" w:rsidP="008B15BD">
      <w:pPr>
        <w:pStyle w:val="ListParagraph"/>
        <w:spacing w:line="360" w:lineRule="auto"/>
        <w:ind w:left="1440"/>
        <w:rPr>
          <w:sz w:val="24"/>
          <w:szCs w:val="24"/>
        </w:rPr>
      </w:pPr>
    </w:p>
    <w:p w14:paraId="503FD12C" w14:textId="613C1FEA" w:rsidR="00462B10" w:rsidRDefault="008B15BD" w:rsidP="00462B10">
      <w:pPr>
        <w:pStyle w:val="ListParagraph"/>
        <w:numPr>
          <w:ilvl w:val="0"/>
          <w:numId w:val="3"/>
        </w:numPr>
        <w:spacing w:line="360" w:lineRule="auto"/>
        <w:ind w:left="0" w:firstLine="1440"/>
        <w:rPr>
          <w:sz w:val="24"/>
          <w:szCs w:val="24"/>
        </w:rPr>
      </w:pPr>
      <w:r>
        <w:rPr>
          <w:sz w:val="24"/>
          <w:szCs w:val="24"/>
        </w:rPr>
        <w:t xml:space="preserve">That the Complainant’s requested relief for monetary damages is stricken from the case and dismissed without a hearing, </w:t>
      </w:r>
      <w:proofErr w:type="gramStart"/>
      <w:r>
        <w:rPr>
          <w:sz w:val="24"/>
          <w:szCs w:val="24"/>
        </w:rPr>
        <w:t>and ;</w:t>
      </w:r>
      <w:proofErr w:type="gramEnd"/>
    </w:p>
    <w:p w14:paraId="769096AC" w14:textId="77777777" w:rsidR="008B15BD" w:rsidRDefault="008B15BD" w:rsidP="008B15BD">
      <w:pPr>
        <w:pStyle w:val="ListParagraph"/>
        <w:spacing w:line="360" w:lineRule="auto"/>
        <w:ind w:left="1440"/>
        <w:rPr>
          <w:sz w:val="24"/>
          <w:szCs w:val="24"/>
        </w:rPr>
      </w:pPr>
    </w:p>
    <w:p w14:paraId="3B4876CD" w14:textId="16527223" w:rsidR="00462B10" w:rsidRDefault="00462B10" w:rsidP="00462B10">
      <w:pPr>
        <w:pStyle w:val="ListParagraph"/>
        <w:numPr>
          <w:ilvl w:val="0"/>
          <w:numId w:val="3"/>
        </w:numPr>
        <w:spacing w:line="360" w:lineRule="auto"/>
        <w:ind w:left="0" w:firstLine="1440"/>
        <w:rPr>
          <w:sz w:val="24"/>
          <w:szCs w:val="24"/>
        </w:rPr>
      </w:pPr>
      <w:r>
        <w:rPr>
          <w:sz w:val="24"/>
          <w:szCs w:val="24"/>
        </w:rPr>
        <w:lastRenderedPageBreak/>
        <w:t xml:space="preserve">That </w:t>
      </w:r>
      <w:r w:rsidR="00177FCE">
        <w:rPr>
          <w:sz w:val="24"/>
          <w:szCs w:val="24"/>
        </w:rPr>
        <w:t>the remaining issues should be heard at a hearing</w:t>
      </w:r>
      <w:r>
        <w:rPr>
          <w:sz w:val="24"/>
          <w:szCs w:val="24"/>
        </w:rPr>
        <w:t xml:space="preserve"> as soon as allowed by the presiding officer’s schedule.  </w:t>
      </w:r>
    </w:p>
    <w:p w14:paraId="66026CF0" w14:textId="77777777" w:rsidR="00462B10" w:rsidRDefault="00462B10" w:rsidP="00462B10">
      <w:pPr>
        <w:spacing w:line="360" w:lineRule="auto"/>
        <w:rPr>
          <w:sz w:val="24"/>
          <w:szCs w:val="24"/>
        </w:rPr>
      </w:pPr>
    </w:p>
    <w:p w14:paraId="061A248F" w14:textId="7888FE18" w:rsidR="00462B10" w:rsidRDefault="00462B10" w:rsidP="00462B10">
      <w:pPr>
        <w:widowControl w:val="0"/>
        <w:tabs>
          <w:tab w:val="left" w:pos="0"/>
        </w:tabs>
        <w:autoSpaceDE w:val="0"/>
        <w:autoSpaceDN w:val="0"/>
        <w:adjustRightInd w:val="0"/>
        <w:jc w:val="both"/>
        <w:rPr>
          <w:sz w:val="24"/>
          <w:szCs w:val="24"/>
          <w:u w:val="single"/>
        </w:rPr>
      </w:pPr>
      <w:bookmarkStart w:id="1" w:name="_Hlk10719696"/>
      <w:r>
        <w:rPr>
          <w:sz w:val="24"/>
          <w:szCs w:val="24"/>
        </w:rPr>
        <w:t xml:space="preserve">Date:  </w:t>
      </w:r>
      <w:r>
        <w:rPr>
          <w:sz w:val="24"/>
          <w:szCs w:val="24"/>
          <w:u w:val="single"/>
        </w:rPr>
        <w:t>January 4, 2024</w:t>
      </w:r>
      <w:r>
        <w:rPr>
          <w:sz w:val="24"/>
          <w:szCs w:val="24"/>
        </w:rPr>
        <w:tab/>
      </w:r>
      <w:r w:rsidR="0023483E">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t>/s/</w:t>
      </w:r>
      <w:r>
        <w:rPr>
          <w:sz w:val="24"/>
          <w:szCs w:val="24"/>
          <w:u w:val="single"/>
        </w:rPr>
        <w:tab/>
      </w:r>
      <w:r>
        <w:rPr>
          <w:sz w:val="24"/>
          <w:szCs w:val="24"/>
          <w:u w:val="single"/>
        </w:rPr>
        <w:tab/>
      </w:r>
      <w:r>
        <w:rPr>
          <w:sz w:val="24"/>
          <w:szCs w:val="24"/>
          <w:u w:val="single"/>
        </w:rPr>
        <w:tab/>
      </w:r>
    </w:p>
    <w:p w14:paraId="33F92E9C" w14:textId="77777777" w:rsidR="00462B10" w:rsidRDefault="00462B10" w:rsidP="00462B10">
      <w:pPr>
        <w:widowControl w:val="0"/>
        <w:tabs>
          <w:tab w:val="left" w:pos="0"/>
        </w:tabs>
        <w:autoSpaceDE w:val="0"/>
        <w:autoSpaceDN w:val="0"/>
        <w:adjustRightInd w:val="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Marta Guhl</w:t>
      </w:r>
    </w:p>
    <w:p w14:paraId="797DD409" w14:textId="77777777" w:rsidR="00462B10" w:rsidRDefault="00462B10" w:rsidP="00462B10">
      <w:pPr>
        <w:widowControl w:val="0"/>
        <w:tabs>
          <w:tab w:val="left" w:pos="0"/>
        </w:tabs>
        <w:autoSpaceDE w:val="0"/>
        <w:autoSpaceDN w:val="0"/>
        <w:adjustRightInd w:val="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bookmarkEnd w:id="1"/>
    </w:p>
    <w:p w14:paraId="6B3C5467" w14:textId="77777777" w:rsidR="00462B10" w:rsidRDefault="00462B10" w:rsidP="00462B10">
      <w:pPr>
        <w:rPr>
          <w:sz w:val="24"/>
          <w:szCs w:val="24"/>
        </w:rPr>
        <w:sectPr w:rsidR="00462B10">
          <w:endnotePr>
            <w:numFmt w:val="decimal"/>
          </w:endnotePr>
          <w:pgSz w:w="12240" w:h="15840"/>
          <w:pgMar w:top="1440" w:right="1440" w:bottom="1440" w:left="1440" w:header="720" w:footer="720" w:gutter="0"/>
          <w:cols w:space="720"/>
        </w:sectPr>
      </w:pPr>
    </w:p>
    <w:p w14:paraId="14ADED20" w14:textId="77777777" w:rsidR="00753459" w:rsidRPr="00753459" w:rsidRDefault="00753459" w:rsidP="00753459">
      <w:pPr>
        <w:spacing w:after="160" w:line="259" w:lineRule="auto"/>
        <w:rPr>
          <w:rFonts w:eastAsia="Microsoft Sans Serif"/>
          <w:sz w:val="24"/>
          <w:szCs w:val="24"/>
        </w:rPr>
      </w:pPr>
      <w:r w:rsidRPr="00753459">
        <w:rPr>
          <w:rFonts w:eastAsia="Microsoft Sans Serif"/>
          <w:b/>
          <w:sz w:val="24"/>
          <w:szCs w:val="24"/>
          <w:u w:val="single"/>
        </w:rPr>
        <w:lastRenderedPageBreak/>
        <w:t>C-2023-3038563 - BHAVIN PATEL v. UGI UTILITIES, INC</w:t>
      </w:r>
      <w:r w:rsidRPr="00753459">
        <w:rPr>
          <w:rFonts w:eastAsia="Microsoft Sans Serif"/>
          <w:b/>
          <w:sz w:val="24"/>
          <w:szCs w:val="24"/>
          <w:u w:val="single"/>
        </w:rPr>
        <w:cr/>
      </w:r>
      <w:r w:rsidRPr="00753459">
        <w:rPr>
          <w:rFonts w:eastAsia="Microsoft Sans Serif"/>
          <w:b/>
          <w:sz w:val="24"/>
          <w:szCs w:val="24"/>
          <w:u w:val="single"/>
        </w:rPr>
        <w:cr/>
      </w:r>
      <w:r w:rsidRPr="00753459">
        <w:rPr>
          <w:rFonts w:eastAsia="Microsoft Sans Serif"/>
          <w:sz w:val="24"/>
          <w:szCs w:val="24"/>
        </w:rPr>
        <w:t>BHAVIN PATEL</w:t>
      </w:r>
      <w:r w:rsidRPr="00753459">
        <w:rPr>
          <w:rFonts w:eastAsia="Microsoft Sans Serif"/>
          <w:sz w:val="24"/>
          <w:szCs w:val="24"/>
        </w:rPr>
        <w:cr/>
        <w:t>8572 MAYFAIR COURT</w:t>
      </w:r>
      <w:r w:rsidRPr="00753459">
        <w:rPr>
          <w:rFonts w:eastAsia="Microsoft Sans Serif"/>
          <w:sz w:val="24"/>
          <w:szCs w:val="24"/>
        </w:rPr>
        <w:cr/>
        <w:t>BREINIGSVILLE PA  18031</w:t>
      </w:r>
      <w:r w:rsidRPr="00753459">
        <w:rPr>
          <w:rFonts w:eastAsia="Microsoft Sans Serif"/>
          <w:sz w:val="24"/>
          <w:szCs w:val="24"/>
        </w:rPr>
        <w:cr/>
      </w:r>
      <w:r w:rsidRPr="00753459">
        <w:rPr>
          <w:rFonts w:eastAsia="Microsoft Sans Serif"/>
          <w:b/>
          <w:bCs/>
          <w:sz w:val="24"/>
          <w:szCs w:val="24"/>
        </w:rPr>
        <w:t>919.271.8991</w:t>
      </w:r>
      <w:r w:rsidRPr="00753459">
        <w:rPr>
          <w:rFonts w:eastAsia="Microsoft Sans Serif"/>
          <w:sz w:val="24"/>
          <w:szCs w:val="24"/>
        </w:rPr>
        <w:cr/>
      </w:r>
      <w:hyperlink r:id="rId8" w:history="1">
        <w:r w:rsidRPr="00753459">
          <w:rPr>
            <w:rFonts w:eastAsia="Microsoft Sans Serif"/>
            <w:color w:val="0563C1" w:themeColor="hyperlink"/>
            <w:sz w:val="24"/>
            <w:szCs w:val="24"/>
            <w:u w:val="single"/>
          </w:rPr>
          <w:t>BhavinTheGR8One@gmail.com</w:t>
        </w:r>
      </w:hyperlink>
      <w:r w:rsidRPr="00753459">
        <w:rPr>
          <w:rFonts w:eastAsia="Microsoft Sans Serif"/>
          <w:sz w:val="24"/>
          <w:szCs w:val="24"/>
        </w:rPr>
        <w:br/>
      </w:r>
      <w:r w:rsidRPr="00753459">
        <w:rPr>
          <w:rFonts w:eastAsia="Microsoft Sans Serif"/>
          <w:sz w:val="24"/>
          <w:szCs w:val="24"/>
        </w:rPr>
        <w:br/>
      </w:r>
      <w:r w:rsidRPr="00753459">
        <w:rPr>
          <w:rFonts w:eastAsia="Microsoft Sans Serif"/>
          <w:sz w:val="24"/>
          <w:szCs w:val="24"/>
        </w:rPr>
        <w:cr/>
        <w:t>DEVIN T RYAN ESQUIRE</w:t>
      </w:r>
      <w:r w:rsidRPr="00753459">
        <w:rPr>
          <w:rFonts w:eastAsia="Microsoft Sans Serif"/>
          <w:sz w:val="24"/>
          <w:szCs w:val="24"/>
        </w:rPr>
        <w:br/>
        <w:t>MEGAN E RULLI ESQUIRE</w:t>
      </w:r>
      <w:r w:rsidRPr="00753459">
        <w:rPr>
          <w:rFonts w:eastAsia="Microsoft Sans Serif"/>
          <w:sz w:val="24"/>
          <w:szCs w:val="24"/>
        </w:rPr>
        <w:cr/>
        <w:t>POST AND SCHELL PC</w:t>
      </w:r>
      <w:r w:rsidRPr="00753459">
        <w:rPr>
          <w:rFonts w:eastAsia="Microsoft Sans Serif"/>
          <w:sz w:val="24"/>
          <w:szCs w:val="24"/>
        </w:rPr>
        <w:cr/>
        <w:t>17 NORTH SECOND ST 12TH FL</w:t>
      </w:r>
      <w:r w:rsidRPr="00753459">
        <w:rPr>
          <w:rFonts w:eastAsia="Microsoft Sans Serif"/>
          <w:sz w:val="24"/>
          <w:szCs w:val="24"/>
        </w:rPr>
        <w:cr/>
        <w:t>HARRISBURG PA  17101-1601</w:t>
      </w:r>
      <w:r w:rsidRPr="00753459">
        <w:rPr>
          <w:rFonts w:eastAsia="Microsoft Sans Serif"/>
          <w:sz w:val="24"/>
          <w:szCs w:val="24"/>
        </w:rPr>
        <w:cr/>
      </w:r>
      <w:r w:rsidRPr="00753459">
        <w:rPr>
          <w:rFonts w:eastAsia="Microsoft Sans Serif"/>
          <w:b/>
          <w:bCs/>
          <w:sz w:val="24"/>
          <w:szCs w:val="24"/>
        </w:rPr>
        <w:t>717.612.6052</w:t>
      </w:r>
      <w:r w:rsidRPr="00753459">
        <w:rPr>
          <w:rFonts w:eastAsia="Microsoft Sans Serif"/>
          <w:b/>
          <w:bCs/>
          <w:sz w:val="24"/>
          <w:szCs w:val="24"/>
        </w:rPr>
        <w:cr/>
        <w:t>717.612.6012</w:t>
      </w:r>
      <w:r w:rsidRPr="00753459">
        <w:rPr>
          <w:rFonts w:eastAsia="Microsoft Sans Serif"/>
          <w:sz w:val="24"/>
          <w:szCs w:val="24"/>
        </w:rPr>
        <w:cr/>
      </w:r>
      <w:hyperlink r:id="rId9" w:history="1">
        <w:r w:rsidRPr="00753459">
          <w:rPr>
            <w:rFonts w:eastAsia="Microsoft Sans Serif"/>
            <w:color w:val="0563C1" w:themeColor="hyperlink"/>
            <w:sz w:val="24"/>
            <w:szCs w:val="24"/>
            <w:u w:val="single"/>
          </w:rPr>
          <w:t>dryan@postschell.com</w:t>
        </w:r>
      </w:hyperlink>
      <w:r w:rsidRPr="00753459">
        <w:rPr>
          <w:rFonts w:eastAsia="Microsoft Sans Serif"/>
          <w:sz w:val="24"/>
          <w:szCs w:val="24"/>
        </w:rPr>
        <w:br/>
      </w:r>
      <w:hyperlink r:id="rId10" w:history="1">
        <w:r w:rsidRPr="00753459">
          <w:rPr>
            <w:rFonts w:eastAsia="Microsoft Sans Serif"/>
            <w:color w:val="0563C1" w:themeColor="hyperlink"/>
            <w:sz w:val="24"/>
            <w:szCs w:val="24"/>
            <w:u w:val="single"/>
          </w:rPr>
          <w:t>mrulli@postschell.com</w:t>
        </w:r>
      </w:hyperlink>
      <w:r w:rsidRPr="00753459">
        <w:rPr>
          <w:rFonts w:eastAsia="Microsoft Sans Serif"/>
          <w:sz w:val="24"/>
          <w:szCs w:val="24"/>
        </w:rPr>
        <w:br/>
        <w:t>Accepts eService</w:t>
      </w:r>
      <w:r w:rsidRPr="00753459">
        <w:rPr>
          <w:rFonts w:eastAsia="Microsoft Sans Serif"/>
          <w:sz w:val="24"/>
          <w:szCs w:val="24"/>
        </w:rPr>
        <w:br/>
      </w:r>
      <w:r w:rsidRPr="00753459">
        <w:rPr>
          <w:rFonts w:eastAsia="Microsoft Sans Serif"/>
          <w:i/>
          <w:iCs/>
          <w:sz w:val="24"/>
          <w:szCs w:val="24"/>
        </w:rPr>
        <w:t>(Counsel for UGI Utilities, Inc.)</w:t>
      </w:r>
      <w:r w:rsidRPr="00753459">
        <w:rPr>
          <w:rFonts w:eastAsia="Microsoft Sans Serif"/>
          <w:i/>
          <w:iCs/>
          <w:sz w:val="24"/>
          <w:szCs w:val="24"/>
        </w:rPr>
        <w:cr/>
      </w:r>
    </w:p>
    <w:p w14:paraId="6F6E904E" w14:textId="77777777" w:rsidR="00753459" w:rsidRPr="00753459" w:rsidRDefault="00753459" w:rsidP="00753459">
      <w:pPr>
        <w:spacing w:after="160" w:line="259" w:lineRule="auto"/>
        <w:rPr>
          <w:rFonts w:eastAsiaTheme="minorEastAsia"/>
          <w:sz w:val="24"/>
          <w:szCs w:val="24"/>
        </w:rPr>
      </w:pPr>
    </w:p>
    <w:p w14:paraId="7FA2FC90" w14:textId="77777777" w:rsidR="00753459" w:rsidRPr="00753459" w:rsidRDefault="00753459" w:rsidP="00753459">
      <w:pPr>
        <w:spacing w:after="160" w:line="259" w:lineRule="auto"/>
        <w:rPr>
          <w:rFonts w:eastAsiaTheme="minorEastAsia"/>
          <w:sz w:val="24"/>
          <w:szCs w:val="24"/>
        </w:rPr>
      </w:pPr>
    </w:p>
    <w:p w14:paraId="47DB4676" w14:textId="77777777" w:rsidR="004E65CC" w:rsidRPr="00753459" w:rsidRDefault="004E65CC" w:rsidP="00753459">
      <w:pPr>
        <w:rPr>
          <w:sz w:val="24"/>
          <w:szCs w:val="24"/>
        </w:rPr>
      </w:pPr>
    </w:p>
    <w:sectPr w:rsidR="004E65CC" w:rsidRPr="007534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20C6B" w14:textId="77777777" w:rsidR="00D42D78" w:rsidRDefault="00D42D78" w:rsidP="00462B10">
      <w:r>
        <w:separator/>
      </w:r>
    </w:p>
  </w:endnote>
  <w:endnote w:type="continuationSeparator" w:id="0">
    <w:p w14:paraId="2BD09087" w14:textId="77777777" w:rsidR="00D42D78" w:rsidRDefault="00D42D78" w:rsidP="0046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D1AE3" w14:textId="77777777" w:rsidR="00D42D78" w:rsidRDefault="00D42D78" w:rsidP="00462B10">
      <w:r>
        <w:separator/>
      </w:r>
    </w:p>
  </w:footnote>
  <w:footnote w:type="continuationSeparator" w:id="0">
    <w:p w14:paraId="3276857B" w14:textId="77777777" w:rsidR="00D42D78" w:rsidRDefault="00D42D78" w:rsidP="00462B10">
      <w:r>
        <w:continuationSeparator/>
      </w:r>
    </w:p>
  </w:footnote>
  <w:footnote w:id="1">
    <w:p w14:paraId="3DEAEFB8" w14:textId="77777777" w:rsidR="00023C1D" w:rsidRDefault="00023C1D" w:rsidP="00023C1D">
      <w:pPr>
        <w:pStyle w:val="FootnoteText"/>
        <w:ind w:left="720"/>
      </w:pPr>
      <w:r>
        <w:rPr>
          <w:rStyle w:val="FootnoteReference"/>
          <w:vertAlign w:val="superscript"/>
        </w:rPr>
        <w:footnoteRef/>
      </w:r>
      <w:r>
        <w:t xml:space="preserve"> </w:t>
      </w:r>
      <w:r>
        <w:tab/>
      </w:r>
      <w:r>
        <w:rPr>
          <w:i/>
          <w:iCs/>
        </w:rPr>
        <w:t>Hughes v. PA State Police</w:t>
      </w:r>
      <w:r>
        <w:t xml:space="preserve">, 619 A.2d 390 (1992), </w:t>
      </w:r>
      <w:proofErr w:type="spellStart"/>
      <w:r>
        <w:rPr>
          <w:i/>
        </w:rPr>
        <w:t>alloc</w:t>
      </w:r>
      <w:proofErr w:type="spellEnd"/>
      <w:r>
        <w:rPr>
          <w:i/>
        </w:rPr>
        <w:t>. denied</w:t>
      </w:r>
      <w:r>
        <w:t xml:space="preserve">, 637 A.2d 293 (1993).    </w:t>
      </w:r>
    </w:p>
  </w:footnote>
  <w:footnote w:id="2">
    <w:p w14:paraId="78FB4034" w14:textId="77777777" w:rsidR="00023C1D" w:rsidRDefault="00023C1D" w:rsidP="00023C1D">
      <w:pPr>
        <w:pStyle w:val="FootnoteText"/>
        <w:ind w:left="720"/>
      </w:pPr>
    </w:p>
    <w:p w14:paraId="59DB0D57" w14:textId="77777777" w:rsidR="00023C1D" w:rsidRDefault="00023C1D" w:rsidP="00023C1D">
      <w:pPr>
        <w:pStyle w:val="FootnoteText"/>
        <w:ind w:left="720"/>
      </w:pPr>
      <w:r>
        <w:rPr>
          <w:rStyle w:val="FootnoteReference"/>
          <w:vertAlign w:val="superscript"/>
        </w:rPr>
        <w:footnoteRef/>
      </w:r>
      <w:r>
        <w:rPr>
          <w:vertAlign w:val="superscript"/>
        </w:rPr>
        <w:t xml:space="preserve"> </w:t>
      </w:r>
      <w:r>
        <w:tab/>
      </w:r>
      <w:r>
        <w:rPr>
          <w:i/>
          <w:iCs/>
        </w:rPr>
        <w:t>City of Pittsburgh v. Pa. Public Utility Commission</w:t>
      </w:r>
      <w:r>
        <w:t xml:space="preserve">, 43 A.2d 348 (Pa.Super. 1945).  </w:t>
      </w:r>
    </w:p>
  </w:footnote>
  <w:footnote w:id="3">
    <w:p w14:paraId="439BA596" w14:textId="77777777" w:rsidR="00023C1D" w:rsidRDefault="00023C1D" w:rsidP="00023C1D">
      <w:pPr>
        <w:pStyle w:val="FootnoteText"/>
        <w:ind w:left="720"/>
      </w:pPr>
    </w:p>
    <w:p w14:paraId="452C434F" w14:textId="77777777" w:rsidR="00023C1D" w:rsidRDefault="00023C1D" w:rsidP="00023C1D">
      <w:pPr>
        <w:pStyle w:val="FootnoteText"/>
        <w:ind w:left="720"/>
      </w:pPr>
      <w:r>
        <w:rPr>
          <w:rStyle w:val="FootnoteReference"/>
          <w:vertAlign w:val="superscript"/>
        </w:rPr>
        <w:footnoteRef/>
      </w:r>
      <w:r>
        <w:rPr>
          <w:vertAlign w:val="superscript"/>
        </w:rPr>
        <w:t xml:space="preserve"> </w:t>
      </w:r>
      <w:r>
        <w:tab/>
      </w:r>
      <w:r>
        <w:rPr>
          <w:i/>
          <w:iCs/>
        </w:rPr>
        <w:t>Roberts v. Martorano</w:t>
      </w:r>
      <w:r>
        <w:t xml:space="preserve">, 235 A.2d 602 (1967).  </w:t>
      </w:r>
    </w:p>
    <w:p w14:paraId="4E1F030B" w14:textId="77777777" w:rsidR="00023C1D" w:rsidRDefault="00023C1D" w:rsidP="00023C1D">
      <w:pPr>
        <w:pStyle w:val="FootnoteText"/>
        <w:ind w:left="720"/>
      </w:pPr>
    </w:p>
  </w:footnote>
  <w:footnote w:id="4">
    <w:p w14:paraId="16C49291" w14:textId="77777777" w:rsidR="00023C1D" w:rsidRDefault="00023C1D" w:rsidP="0023483E">
      <w:pPr>
        <w:pStyle w:val="FootnoteText"/>
        <w:ind w:firstLine="720"/>
      </w:pPr>
      <w:r>
        <w:rPr>
          <w:rStyle w:val="FootnoteReference"/>
          <w:vertAlign w:val="superscript"/>
        </w:rPr>
        <w:footnoteRef/>
      </w:r>
      <w:r>
        <w:rPr>
          <w:vertAlign w:val="superscript"/>
        </w:rPr>
        <w:t xml:space="preserve"> </w:t>
      </w:r>
      <w:r>
        <w:tab/>
      </w:r>
      <w:r>
        <w:rPr>
          <w:i/>
        </w:rPr>
        <w:t>See, Duquesne Light Company v. Monroeville Borough</w:t>
      </w:r>
      <w:r>
        <w:t xml:space="preserve">, 449 Pa. 573, 298 A.2d 252 (1972); </w:t>
      </w:r>
      <w:r>
        <w:rPr>
          <w:i/>
          <w:iCs/>
        </w:rPr>
        <w:t>Behrend v. Bell Telephone Company</w:t>
      </w:r>
      <w:r>
        <w:t xml:space="preserve">, 431 Pa. 63, 243 A.2d 346 (1968); </w:t>
      </w:r>
      <w:r>
        <w:rPr>
          <w:i/>
          <w:iCs/>
        </w:rPr>
        <w:t>Elkin v. Bell Telephone Company</w:t>
      </w:r>
      <w:r>
        <w:t xml:space="preserve">, </w:t>
      </w:r>
      <w:r>
        <w:rPr>
          <w:i/>
        </w:rPr>
        <w:t>supra</w:t>
      </w:r>
      <w:r>
        <w:t>.</w:t>
      </w:r>
    </w:p>
    <w:p w14:paraId="42B9CC5F" w14:textId="77777777" w:rsidR="009674E3" w:rsidRDefault="009674E3" w:rsidP="00023C1D">
      <w:pPr>
        <w:pStyle w:val="FootnoteText"/>
        <w:ind w:left="720"/>
      </w:pPr>
    </w:p>
  </w:footnote>
  <w:footnote w:id="5">
    <w:p w14:paraId="7E2C40FF" w14:textId="23487D78" w:rsidR="009674E3" w:rsidRPr="0023483E" w:rsidRDefault="009674E3" w:rsidP="0023483E">
      <w:pPr>
        <w:pStyle w:val="FootnoteText"/>
        <w:ind w:firstLine="720"/>
      </w:pPr>
      <w:r w:rsidRPr="0023483E">
        <w:rPr>
          <w:rStyle w:val="FootnoteReference"/>
          <w:vertAlign w:val="superscript"/>
        </w:rPr>
        <w:footnoteRef/>
      </w:r>
      <w:r w:rsidRPr="0023483E">
        <w:rPr>
          <w:vertAlign w:val="superscript"/>
        </w:rPr>
        <w:t xml:space="preserve"> </w:t>
      </w:r>
      <w:r w:rsidRPr="0023483E">
        <w:rPr>
          <w:vertAlign w:val="superscript"/>
        </w:rPr>
        <w:tab/>
      </w:r>
      <w:r w:rsidRPr="0023483E">
        <w:rPr>
          <w:i/>
          <w:iCs/>
        </w:rPr>
        <w:t>Elkin v. Bell</w:t>
      </w:r>
      <w:r w:rsidRPr="0023483E">
        <w:t xml:space="preserve">, 420 A.2d 371 (1980); </w:t>
      </w:r>
      <w:r w:rsidRPr="0023483E">
        <w:rPr>
          <w:i/>
          <w:iCs/>
        </w:rPr>
        <w:t>Feingold v. Bell of Pa.</w:t>
      </w:r>
      <w:r w:rsidRPr="0023483E">
        <w:t xml:space="preserve">, 383 A.2d 791 (1978); </w:t>
      </w:r>
      <w:r w:rsidRPr="0023483E">
        <w:rPr>
          <w:i/>
        </w:rPr>
        <w:t xml:space="preserve">see </w:t>
      </w:r>
      <w:r w:rsidRPr="0023483E">
        <w:rPr>
          <w:i/>
          <w:iCs/>
        </w:rPr>
        <w:t>Nagy v. Bell Tel. Co.,</w:t>
      </w:r>
      <w:r w:rsidRPr="0023483E">
        <w:t xml:space="preserve"> 436 A.2d 701 (Pa. Super. 1981).</w:t>
      </w:r>
    </w:p>
    <w:p w14:paraId="4A476D90" w14:textId="77777777" w:rsidR="009674E3" w:rsidRPr="0023483E" w:rsidRDefault="009674E3" w:rsidP="009674E3">
      <w:pPr>
        <w:pStyle w:val="FootnoteText"/>
        <w:ind w:firstLine="720"/>
      </w:pPr>
    </w:p>
  </w:footnote>
  <w:footnote w:id="6">
    <w:p w14:paraId="72433A99" w14:textId="486776DC" w:rsidR="009674E3" w:rsidRPr="009674E3" w:rsidRDefault="009674E3" w:rsidP="009674E3">
      <w:pPr>
        <w:pStyle w:val="FootnoteText"/>
        <w:ind w:firstLine="720"/>
      </w:pPr>
      <w:r w:rsidRPr="0023483E">
        <w:rPr>
          <w:rStyle w:val="FootnoteReference"/>
          <w:vertAlign w:val="superscript"/>
        </w:rPr>
        <w:footnoteRef/>
      </w:r>
      <w:r w:rsidRPr="009674E3">
        <w:t xml:space="preserve"> </w:t>
      </w:r>
      <w:r w:rsidRPr="009674E3">
        <w:tab/>
      </w:r>
      <w:r w:rsidRPr="009674E3">
        <w:rPr>
          <w:i/>
          <w:iCs/>
        </w:rPr>
        <w:t>Behrend v. Bell Tel. Co.,</w:t>
      </w:r>
      <w:r w:rsidRPr="009674E3">
        <w:t xml:space="preserve"> 363 A.2d 1152 (Pa. Super 1976).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D3EA3"/>
    <w:multiLevelType w:val="hybridMultilevel"/>
    <w:tmpl w:val="57CA32BC"/>
    <w:lvl w:ilvl="0" w:tplc="4C9215D8">
      <w:start w:val="1"/>
      <w:numFmt w:val="lowerLetter"/>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41A64B9A"/>
    <w:multiLevelType w:val="hybridMultilevel"/>
    <w:tmpl w:val="4A2E2990"/>
    <w:lvl w:ilvl="0" w:tplc="19DC918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472942CE"/>
    <w:multiLevelType w:val="hybridMultilevel"/>
    <w:tmpl w:val="2F8ED4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50A92E82"/>
    <w:multiLevelType w:val="hybridMultilevel"/>
    <w:tmpl w:val="782CAC7E"/>
    <w:lvl w:ilvl="0" w:tplc="0E86916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919099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64813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8882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7518744">
    <w:abstractNumId w:val="0"/>
  </w:num>
  <w:num w:numId="5" w16cid:durableId="1843743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10"/>
    <w:rsid w:val="00023C1D"/>
    <w:rsid w:val="00177FCE"/>
    <w:rsid w:val="00207B1D"/>
    <w:rsid w:val="0023483E"/>
    <w:rsid w:val="002B29D0"/>
    <w:rsid w:val="00301447"/>
    <w:rsid w:val="00341330"/>
    <w:rsid w:val="004034A2"/>
    <w:rsid w:val="0043207F"/>
    <w:rsid w:val="00462B10"/>
    <w:rsid w:val="004E65CC"/>
    <w:rsid w:val="00544D47"/>
    <w:rsid w:val="005631C2"/>
    <w:rsid w:val="0058411E"/>
    <w:rsid w:val="0063486A"/>
    <w:rsid w:val="006A4BD5"/>
    <w:rsid w:val="007171F3"/>
    <w:rsid w:val="007452AF"/>
    <w:rsid w:val="00753459"/>
    <w:rsid w:val="00767F34"/>
    <w:rsid w:val="007E1DB1"/>
    <w:rsid w:val="008273C1"/>
    <w:rsid w:val="008B15BD"/>
    <w:rsid w:val="009674E3"/>
    <w:rsid w:val="00AC0058"/>
    <w:rsid w:val="00B25433"/>
    <w:rsid w:val="00BD7CA9"/>
    <w:rsid w:val="00C32AF8"/>
    <w:rsid w:val="00C55BD9"/>
    <w:rsid w:val="00CD215D"/>
    <w:rsid w:val="00CD6532"/>
    <w:rsid w:val="00D42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D097"/>
  <w15:chartTrackingRefBased/>
  <w15:docId w15:val="{B36A1692-B573-4E10-8F11-1859DA4D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B10"/>
    <w:pPr>
      <w:spacing w:after="0" w:line="240" w:lineRule="auto"/>
    </w:pPr>
    <w:rPr>
      <w:rFonts w:ascii="Times New Roman" w:hAnsi="Times New Roman" w:cs="Times New Roman"/>
      <w:kern w:val="0"/>
      <w:sz w:val="20"/>
      <w:szCs w:val="20"/>
      <w14:ligatures w14:val="none"/>
    </w:rPr>
  </w:style>
  <w:style w:type="paragraph" w:styleId="Heading1">
    <w:name w:val="heading 1"/>
    <w:basedOn w:val="Normal"/>
    <w:next w:val="Normal"/>
    <w:link w:val="Heading1Char"/>
    <w:qFormat/>
    <w:rsid w:val="00462B10"/>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B10"/>
    <w:rPr>
      <w:rFonts w:ascii="Times New Roman" w:hAnsi="Times New Roman" w:cs="Times New Roman"/>
      <w:kern w:val="0"/>
      <w:sz w:val="24"/>
      <w:szCs w:val="20"/>
      <w14:ligatures w14:val="none"/>
    </w:rPr>
  </w:style>
  <w:style w:type="character" w:customStyle="1" w:styleId="FootnoteTextChar">
    <w:name w:val="Footnote Text Char"/>
    <w:aliases w:val="Car Char"/>
    <w:basedOn w:val="DefaultParagraphFont"/>
    <w:link w:val="FootnoteText"/>
    <w:semiHidden/>
    <w:locked/>
    <w:rsid w:val="00462B10"/>
    <w:rPr>
      <w:rFonts w:ascii="Times New Roman" w:hAnsi="Times New Roman" w:cs="Times New Roman"/>
      <w:kern w:val="0"/>
      <w:sz w:val="20"/>
      <w:szCs w:val="20"/>
      <w14:ligatures w14:val="none"/>
    </w:rPr>
  </w:style>
  <w:style w:type="paragraph" w:styleId="FootnoteText">
    <w:name w:val="footnote text"/>
    <w:aliases w:val="Car"/>
    <w:basedOn w:val="Normal"/>
    <w:link w:val="FootnoteTextChar"/>
    <w:semiHidden/>
    <w:unhideWhenUsed/>
    <w:qFormat/>
    <w:rsid w:val="00462B10"/>
  </w:style>
  <w:style w:type="character" w:customStyle="1" w:styleId="FootnoteTextChar1">
    <w:name w:val="Footnote Text Char1"/>
    <w:basedOn w:val="DefaultParagraphFont"/>
    <w:uiPriority w:val="99"/>
    <w:semiHidden/>
    <w:rsid w:val="00462B10"/>
    <w:rPr>
      <w:rFonts w:ascii="Times New Roman" w:hAnsi="Times New Roman" w:cs="Times New Roman"/>
      <w:kern w:val="0"/>
      <w:sz w:val="20"/>
      <w:szCs w:val="20"/>
      <w14:ligatures w14:val="none"/>
    </w:rPr>
  </w:style>
  <w:style w:type="paragraph" w:styleId="ListParagraph">
    <w:name w:val="List Paragraph"/>
    <w:basedOn w:val="Normal"/>
    <w:uiPriority w:val="34"/>
    <w:qFormat/>
    <w:rsid w:val="00462B10"/>
    <w:pPr>
      <w:ind w:left="720"/>
      <w:contextualSpacing/>
    </w:pPr>
  </w:style>
  <w:style w:type="character" w:styleId="FootnoteReference">
    <w:name w:val="footnote reference"/>
    <w:basedOn w:val="DefaultParagraphFont"/>
    <w:semiHidden/>
    <w:unhideWhenUsed/>
    <w:rsid w:val="00462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7282">
      <w:bodyDiv w:val="1"/>
      <w:marLeft w:val="0"/>
      <w:marRight w:val="0"/>
      <w:marTop w:val="0"/>
      <w:marBottom w:val="0"/>
      <w:divBdr>
        <w:top w:val="none" w:sz="0" w:space="0" w:color="auto"/>
        <w:left w:val="none" w:sz="0" w:space="0" w:color="auto"/>
        <w:bottom w:val="none" w:sz="0" w:space="0" w:color="auto"/>
        <w:right w:val="none" w:sz="0" w:space="0" w:color="auto"/>
      </w:divBdr>
    </w:div>
    <w:div w:id="3832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havinTheGR8On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rulli@postschell.com" TargetMode="External"/><Relationship Id="rId4" Type="http://schemas.openxmlformats.org/officeDocument/2006/relationships/settings" Target="settings.xml"/><Relationship Id="rId9"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A3154-CF80-4124-87F9-BC0355057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4</cp:revision>
  <dcterms:created xsi:type="dcterms:W3CDTF">2024-01-04T15:57:00Z</dcterms:created>
  <dcterms:modified xsi:type="dcterms:W3CDTF">2024-01-04T16:03:00Z</dcterms:modified>
</cp:coreProperties>
</file>