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E8232" w14:textId="77777777" w:rsidR="00EA153F" w:rsidRPr="00F4675E" w:rsidRDefault="00EA153F" w:rsidP="00EA153F">
      <w:pPr>
        <w:tabs>
          <w:tab w:val="left" w:pos="360"/>
        </w:tabs>
        <w:spacing w:after="0" w:line="240" w:lineRule="auto"/>
        <w:ind w:left="420"/>
        <w:jc w:val="center"/>
        <w:rPr>
          <w:rFonts w:eastAsia="SimSun"/>
          <w:b/>
        </w:rPr>
      </w:pPr>
      <w:r w:rsidRPr="00F4675E">
        <w:rPr>
          <w:rFonts w:eastAsia="SimSun"/>
          <w:b/>
        </w:rPr>
        <w:t>BEFORE THE</w:t>
      </w:r>
    </w:p>
    <w:p w14:paraId="33F58B43" w14:textId="77777777" w:rsidR="00EA153F" w:rsidRPr="00F4675E" w:rsidRDefault="00EA153F" w:rsidP="00EA153F">
      <w:pPr>
        <w:tabs>
          <w:tab w:val="left" w:pos="360"/>
        </w:tabs>
        <w:spacing w:after="0" w:line="240" w:lineRule="auto"/>
        <w:jc w:val="center"/>
        <w:rPr>
          <w:rFonts w:eastAsia="SimSun"/>
          <w:b/>
        </w:rPr>
      </w:pPr>
      <w:r w:rsidRPr="00F4675E">
        <w:rPr>
          <w:rFonts w:eastAsia="SimSun"/>
          <w:b/>
        </w:rPr>
        <w:t>PENNSYLVANIA PUBLIC UTILITY COMMISSION</w:t>
      </w:r>
    </w:p>
    <w:p w14:paraId="6DEC4DAC" w14:textId="77777777" w:rsidR="00EA153F" w:rsidRPr="00FB7EB0" w:rsidRDefault="00EA153F" w:rsidP="00EA153F">
      <w:pPr>
        <w:tabs>
          <w:tab w:val="left" w:pos="360"/>
        </w:tabs>
        <w:spacing w:after="0" w:line="240" w:lineRule="auto"/>
        <w:jc w:val="both"/>
        <w:rPr>
          <w:rFonts w:eastAsia="SimSun"/>
          <w:bCs/>
        </w:rPr>
      </w:pPr>
    </w:p>
    <w:p w14:paraId="1D6CB280" w14:textId="77777777" w:rsidR="00EA153F" w:rsidRPr="00FB7EB0" w:rsidRDefault="00EA153F" w:rsidP="00EA153F">
      <w:pPr>
        <w:tabs>
          <w:tab w:val="left" w:pos="360"/>
        </w:tabs>
        <w:spacing w:after="0" w:line="240" w:lineRule="auto"/>
        <w:jc w:val="both"/>
        <w:rPr>
          <w:rFonts w:eastAsia="SimSun"/>
          <w:bCs/>
        </w:rPr>
      </w:pPr>
    </w:p>
    <w:p w14:paraId="6E08AB71" w14:textId="77777777" w:rsidR="00EA153F" w:rsidRPr="00FB7EB0" w:rsidRDefault="00EA153F" w:rsidP="00EA153F">
      <w:pPr>
        <w:tabs>
          <w:tab w:val="left" w:pos="360"/>
        </w:tabs>
        <w:spacing w:after="0" w:line="240" w:lineRule="auto"/>
        <w:jc w:val="both"/>
        <w:rPr>
          <w:rFonts w:eastAsia="SimSun"/>
          <w:bCs/>
        </w:rPr>
      </w:pPr>
    </w:p>
    <w:p w14:paraId="5DA6112C" w14:textId="57BF7107" w:rsidR="00EA153F" w:rsidRPr="004A179D" w:rsidRDefault="00BF5FD3" w:rsidP="00EA153F">
      <w:pPr>
        <w:tabs>
          <w:tab w:val="left" w:pos="-720"/>
        </w:tabs>
        <w:suppressAutoHyphens/>
        <w:autoSpaceDE w:val="0"/>
        <w:autoSpaceDN w:val="0"/>
        <w:spacing w:after="0" w:line="240" w:lineRule="auto"/>
        <w:rPr>
          <w:szCs w:val="24"/>
        </w:rPr>
      </w:pPr>
      <w:r>
        <w:rPr>
          <w:szCs w:val="24"/>
        </w:rPr>
        <w:t>Jaycinah Simon</w:t>
      </w:r>
      <w:r w:rsidR="00EA153F" w:rsidRPr="004A179D">
        <w:rPr>
          <w:szCs w:val="24"/>
        </w:rPr>
        <w:tab/>
      </w:r>
      <w:r w:rsidR="00EA153F">
        <w:rPr>
          <w:szCs w:val="24"/>
        </w:rPr>
        <w:tab/>
      </w:r>
      <w:r w:rsidR="00EA153F" w:rsidRPr="004A179D">
        <w:rPr>
          <w:szCs w:val="24"/>
        </w:rPr>
        <w:tab/>
      </w:r>
      <w:r w:rsidR="00EA153F" w:rsidRPr="004A179D">
        <w:rPr>
          <w:szCs w:val="24"/>
        </w:rPr>
        <w:tab/>
      </w:r>
      <w:r w:rsidR="00EA153F" w:rsidRPr="004A179D">
        <w:rPr>
          <w:szCs w:val="24"/>
        </w:rPr>
        <w:tab/>
        <w:t>:</w:t>
      </w:r>
    </w:p>
    <w:p w14:paraId="46EDC064" w14:textId="77777777" w:rsidR="00EA153F" w:rsidRPr="004A179D" w:rsidRDefault="00EA153F" w:rsidP="00EA153F">
      <w:pPr>
        <w:tabs>
          <w:tab w:val="left" w:pos="-720"/>
        </w:tabs>
        <w:suppressAutoHyphens/>
        <w:autoSpaceDE w:val="0"/>
        <w:autoSpaceDN w:val="0"/>
        <w:spacing w:after="0" w:line="240" w:lineRule="auto"/>
        <w:rPr>
          <w:szCs w:val="24"/>
        </w:rPr>
      </w:pPr>
      <w:r w:rsidRPr="004A179D">
        <w:rPr>
          <w:szCs w:val="24"/>
        </w:rPr>
        <w:tab/>
      </w:r>
      <w:r w:rsidRPr="004A179D">
        <w:rPr>
          <w:szCs w:val="24"/>
        </w:rPr>
        <w:tab/>
      </w:r>
      <w:r w:rsidRPr="004A179D">
        <w:rPr>
          <w:szCs w:val="24"/>
        </w:rPr>
        <w:tab/>
      </w:r>
      <w:r w:rsidRPr="004A179D">
        <w:rPr>
          <w:szCs w:val="24"/>
        </w:rPr>
        <w:tab/>
      </w:r>
      <w:r w:rsidRPr="004A179D">
        <w:rPr>
          <w:szCs w:val="24"/>
        </w:rPr>
        <w:tab/>
      </w:r>
      <w:r w:rsidRPr="004A179D">
        <w:rPr>
          <w:szCs w:val="24"/>
        </w:rPr>
        <w:tab/>
      </w:r>
      <w:r w:rsidRPr="004A179D">
        <w:rPr>
          <w:szCs w:val="24"/>
        </w:rPr>
        <w:tab/>
        <w:t>:</w:t>
      </w:r>
    </w:p>
    <w:p w14:paraId="29FA9C63" w14:textId="2F93D6D1" w:rsidR="00EA153F" w:rsidRPr="004A179D" w:rsidRDefault="00EA153F" w:rsidP="00EA153F">
      <w:pPr>
        <w:autoSpaceDE w:val="0"/>
        <w:autoSpaceDN w:val="0"/>
        <w:spacing w:after="0" w:line="240" w:lineRule="auto"/>
        <w:rPr>
          <w:szCs w:val="24"/>
        </w:rPr>
      </w:pPr>
      <w:r w:rsidRPr="004A179D">
        <w:rPr>
          <w:szCs w:val="24"/>
        </w:rPr>
        <w:tab/>
        <w:t>v.</w:t>
      </w:r>
      <w:r w:rsidRPr="004A179D">
        <w:rPr>
          <w:szCs w:val="24"/>
        </w:rPr>
        <w:tab/>
      </w:r>
      <w:r w:rsidRPr="004A179D">
        <w:rPr>
          <w:szCs w:val="24"/>
        </w:rPr>
        <w:tab/>
      </w:r>
      <w:r w:rsidRPr="004A179D">
        <w:rPr>
          <w:szCs w:val="24"/>
        </w:rPr>
        <w:tab/>
      </w:r>
      <w:r w:rsidRPr="004A179D">
        <w:rPr>
          <w:szCs w:val="24"/>
        </w:rPr>
        <w:tab/>
      </w:r>
      <w:r w:rsidRPr="004A179D">
        <w:rPr>
          <w:szCs w:val="24"/>
        </w:rPr>
        <w:tab/>
      </w:r>
      <w:r w:rsidRPr="004A179D">
        <w:rPr>
          <w:szCs w:val="24"/>
        </w:rPr>
        <w:tab/>
        <w:t>:</w:t>
      </w:r>
      <w:r w:rsidRPr="004A179D">
        <w:rPr>
          <w:szCs w:val="24"/>
        </w:rPr>
        <w:tab/>
      </w:r>
      <w:r w:rsidRPr="004A179D">
        <w:rPr>
          <w:szCs w:val="24"/>
        </w:rPr>
        <w:tab/>
      </w:r>
      <w:bookmarkStart w:id="0" w:name="_Hlk121127702"/>
      <w:r w:rsidR="00C179B5">
        <w:rPr>
          <w:szCs w:val="24"/>
        </w:rPr>
        <w:t>F</w:t>
      </w:r>
      <w:r w:rsidRPr="00FB7EB0">
        <w:rPr>
          <w:szCs w:val="24"/>
        </w:rPr>
        <w:t>-202</w:t>
      </w:r>
      <w:r w:rsidR="00C179B5">
        <w:rPr>
          <w:szCs w:val="24"/>
        </w:rPr>
        <w:t>3</w:t>
      </w:r>
      <w:r w:rsidRPr="00FB7EB0">
        <w:rPr>
          <w:szCs w:val="24"/>
        </w:rPr>
        <w:t>-30</w:t>
      </w:r>
      <w:r w:rsidR="00C179B5">
        <w:rPr>
          <w:szCs w:val="24"/>
        </w:rPr>
        <w:t>4372</w:t>
      </w:r>
      <w:r w:rsidRPr="00FB7EB0">
        <w:rPr>
          <w:szCs w:val="24"/>
        </w:rPr>
        <w:t>1</w:t>
      </w:r>
    </w:p>
    <w:bookmarkEnd w:id="0"/>
    <w:p w14:paraId="0E4E5690" w14:textId="77777777" w:rsidR="00EA153F" w:rsidRPr="004A179D" w:rsidRDefault="00EA153F" w:rsidP="00EA153F">
      <w:pPr>
        <w:tabs>
          <w:tab w:val="left" w:pos="-720"/>
        </w:tabs>
        <w:suppressAutoHyphens/>
        <w:autoSpaceDE w:val="0"/>
        <w:autoSpaceDN w:val="0"/>
        <w:spacing w:after="0" w:line="240" w:lineRule="auto"/>
        <w:rPr>
          <w:szCs w:val="24"/>
        </w:rPr>
      </w:pPr>
      <w:r w:rsidRPr="004A179D">
        <w:rPr>
          <w:szCs w:val="24"/>
        </w:rPr>
        <w:tab/>
      </w:r>
      <w:r w:rsidRPr="004A179D">
        <w:rPr>
          <w:szCs w:val="24"/>
        </w:rPr>
        <w:tab/>
      </w:r>
      <w:r w:rsidRPr="004A179D">
        <w:rPr>
          <w:szCs w:val="24"/>
        </w:rPr>
        <w:tab/>
      </w:r>
      <w:r w:rsidRPr="004A179D">
        <w:rPr>
          <w:szCs w:val="24"/>
        </w:rPr>
        <w:tab/>
      </w:r>
      <w:r w:rsidRPr="004A179D">
        <w:rPr>
          <w:szCs w:val="24"/>
        </w:rPr>
        <w:tab/>
      </w:r>
      <w:r w:rsidRPr="004A179D">
        <w:rPr>
          <w:szCs w:val="24"/>
        </w:rPr>
        <w:tab/>
      </w:r>
      <w:r w:rsidRPr="004A179D">
        <w:rPr>
          <w:szCs w:val="24"/>
        </w:rPr>
        <w:tab/>
        <w:t>:</w:t>
      </w:r>
    </w:p>
    <w:p w14:paraId="6E5B888F" w14:textId="6DAF9EA6" w:rsidR="00EA153F" w:rsidRPr="004A179D" w:rsidRDefault="00BF5FD3" w:rsidP="00EA153F">
      <w:pPr>
        <w:tabs>
          <w:tab w:val="left" w:pos="-720"/>
        </w:tabs>
        <w:suppressAutoHyphens/>
        <w:autoSpaceDE w:val="0"/>
        <w:autoSpaceDN w:val="0"/>
        <w:spacing w:after="0" w:line="240" w:lineRule="auto"/>
        <w:rPr>
          <w:szCs w:val="24"/>
        </w:rPr>
      </w:pPr>
      <w:r>
        <w:rPr>
          <w:szCs w:val="24"/>
        </w:rPr>
        <w:t>P</w:t>
      </w:r>
      <w:r w:rsidR="00C179B5">
        <w:rPr>
          <w:szCs w:val="24"/>
        </w:rPr>
        <w:t>hiladelphia Gas Works</w:t>
      </w:r>
      <w:r w:rsidR="00EA153F" w:rsidRPr="004A179D">
        <w:rPr>
          <w:szCs w:val="24"/>
        </w:rPr>
        <w:tab/>
      </w:r>
      <w:r w:rsidR="00EA153F" w:rsidRPr="004A179D">
        <w:rPr>
          <w:szCs w:val="24"/>
        </w:rPr>
        <w:tab/>
      </w:r>
      <w:r w:rsidR="00EA153F" w:rsidRPr="004A179D">
        <w:rPr>
          <w:szCs w:val="24"/>
        </w:rPr>
        <w:tab/>
      </w:r>
      <w:r w:rsidR="00EA153F" w:rsidRPr="004A179D">
        <w:rPr>
          <w:szCs w:val="24"/>
        </w:rPr>
        <w:tab/>
        <w:t>:</w:t>
      </w:r>
    </w:p>
    <w:p w14:paraId="4892C345" w14:textId="77777777" w:rsidR="00EA153F" w:rsidRPr="00FB7EB0" w:rsidRDefault="00EA153F" w:rsidP="00EA153F">
      <w:pPr>
        <w:tabs>
          <w:tab w:val="left" w:pos="-720"/>
          <w:tab w:val="left" w:pos="5040"/>
        </w:tabs>
        <w:suppressAutoHyphens/>
        <w:autoSpaceDE w:val="0"/>
        <w:autoSpaceDN w:val="0"/>
        <w:spacing w:after="0" w:line="240" w:lineRule="auto"/>
        <w:jc w:val="both"/>
        <w:rPr>
          <w:spacing w:val="-3"/>
          <w:szCs w:val="24"/>
        </w:rPr>
      </w:pPr>
    </w:p>
    <w:p w14:paraId="415A0881" w14:textId="77777777" w:rsidR="00EA153F" w:rsidRPr="00FB7EB0" w:rsidRDefault="00EA153F" w:rsidP="00EA153F">
      <w:pPr>
        <w:tabs>
          <w:tab w:val="left" w:pos="-720"/>
          <w:tab w:val="left" w:pos="5040"/>
        </w:tabs>
        <w:suppressAutoHyphens/>
        <w:autoSpaceDE w:val="0"/>
        <w:autoSpaceDN w:val="0"/>
        <w:spacing w:after="0" w:line="240" w:lineRule="auto"/>
        <w:jc w:val="both"/>
        <w:rPr>
          <w:spacing w:val="-3"/>
          <w:szCs w:val="24"/>
        </w:rPr>
      </w:pPr>
    </w:p>
    <w:p w14:paraId="36051FEB" w14:textId="77777777" w:rsidR="00EA153F" w:rsidRPr="00FB7EB0" w:rsidRDefault="00EA153F" w:rsidP="00EA153F">
      <w:pPr>
        <w:tabs>
          <w:tab w:val="left" w:pos="0"/>
        </w:tabs>
        <w:spacing w:after="0" w:line="240" w:lineRule="auto"/>
        <w:jc w:val="both"/>
      </w:pPr>
    </w:p>
    <w:p w14:paraId="7DA65927" w14:textId="77777777" w:rsidR="00EA153F" w:rsidRPr="009A06F0" w:rsidRDefault="00EA153F" w:rsidP="00EA153F">
      <w:pPr>
        <w:spacing w:after="0" w:line="240" w:lineRule="auto"/>
        <w:jc w:val="center"/>
        <w:rPr>
          <w:b/>
        </w:rPr>
      </w:pPr>
      <w:r w:rsidRPr="009A06F0">
        <w:rPr>
          <w:b/>
        </w:rPr>
        <w:t>INTERIM ORDE</w:t>
      </w:r>
      <w:r>
        <w:rPr>
          <w:b/>
        </w:rPr>
        <w:t>R</w:t>
      </w:r>
    </w:p>
    <w:p w14:paraId="6AEA7242" w14:textId="77777777" w:rsidR="00D11A43" w:rsidRDefault="0025300E" w:rsidP="00D11A43">
      <w:pPr>
        <w:spacing w:after="0" w:line="240" w:lineRule="auto"/>
        <w:jc w:val="center"/>
        <w:rPr>
          <w:b/>
          <w:bCs/>
        </w:rPr>
      </w:pPr>
      <w:r>
        <w:rPr>
          <w:b/>
          <w:bCs/>
        </w:rPr>
        <w:t xml:space="preserve">GRANTING IN PART AND </w:t>
      </w:r>
      <w:r w:rsidR="00EA153F" w:rsidRPr="00FB7EB0">
        <w:rPr>
          <w:b/>
          <w:bCs/>
        </w:rPr>
        <w:t xml:space="preserve">DENYING </w:t>
      </w:r>
      <w:r w:rsidR="00226519">
        <w:rPr>
          <w:b/>
          <w:bCs/>
        </w:rPr>
        <w:t xml:space="preserve">IN PART </w:t>
      </w:r>
    </w:p>
    <w:p w14:paraId="1A09D60F" w14:textId="2862A1EB" w:rsidR="00EA153F" w:rsidRPr="00D11A43" w:rsidRDefault="00EA153F" w:rsidP="00D11A43">
      <w:pPr>
        <w:spacing w:after="0" w:line="240" w:lineRule="auto"/>
        <w:jc w:val="center"/>
        <w:rPr>
          <w:b/>
          <w:bCs/>
          <w:u w:val="single"/>
        </w:rPr>
      </w:pPr>
      <w:r w:rsidRPr="00D11A43">
        <w:rPr>
          <w:b/>
          <w:bCs/>
          <w:u w:val="single"/>
        </w:rPr>
        <w:t>MOTION FOR JUDGEMENT ON THE PLEADINGS</w:t>
      </w:r>
    </w:p>
    <w:p w14:paraId="0665BE1E" w14:textId="77777777" w:rsidR="00EA153F" w:rsidRPr="00FB7EB0" w:rsidRDefault="00EA153F" w:rsidP="00EA153F">
      <w:pPr>
        <w:spacing w:after="0"/>
      </w:pPr>
    </w:p>
    <w:p w14:paraId="083B2F03" w14:textId="49A4CE08" w:rsidR="00EA153F" w:rsidRDefault="00EA153F" w:rsidP="00EA153F">
      <w:pPr>
        <w:spacing w:after="0"/>
      </w:pPr>
      <w:r>
        <w:tab/>
      </w:r>
      <w:r>
        <w:tab/>
        <w:t xml:space="preserve">On October </w:t>
      </w:r>
      <w:r w:rsidR="00453CAE">
        <w:t>10</w:t>
      </w:r>
      <w:r>
        <w:t>, 202</w:t>
      </w:r>
      <w:r w:rsidR="00453CAE">
        <w:t>3</w:t>
      </w:r>
      <w:r>
        <w:t xml:space="preserve">, </w:t>
      </w:r>
      <w:r w:rsidR="00453CAE">
        <w:rPr>
          <w:szCs w:val="24"/>
        </w:rPr>
        <w:t>Jaycinah Simon</w:t>
      </w:r>
      <w:r w:rsidR="00453CAE">
        <w:t xml:space="preserve"> </w:t>
      </w:r>
      <w:r>
        <w:t>(Complainant</w:t>
      </w:r>
      <w:r w:rsidR="00453CAE">
        <w:t xml:space="preserve"> or Ms. Simon</w:t>
      </w:r>
      <w:r>
        <w:t xml:space="preserve">) filed a </w:t>
      </w:r>
      <w:r w:rsidR="00EC31AF">
        <w:t>F</w:t>
      </w:r>
      <w:r>
        <w:t xml:space="preserve">ormal </w:t>
      </w:r>
      <w:r w:rsidR="00EC31AF">
        <w:t>C</w:t>
      </w:r>
      <w:r>
        <w:t xml:space="preserve">omplaint </w:t>
      </w:r>
      <w:r w:rsidR="00EC31AF">
        <w:t xml:space="preserve">(Complaint) </w:t>
      </w:r>
      <w:r>
        <w:t xml:space="preserve">against </w:t>
      </w:r>
      <w:r w:rsidR="00453CAE">
        <w:rPr>
          <w:szCs w:val="24"/>
        </w:rPr>
        <w:t>Philadelphia Gas Works</w:t>
      </w:r>
      <w:r w:rsidR="00453CAE">
        <w:t xml:space="preserve"> </w:t>
      </w:r>
      <w:r>
        <w:t>(</w:t>
      </w:r>
      <w:r w:rsidR="00453CAE">
        <w:t>Respondent or PGW</w:t>
      </w:r>
      <w:r>
        <w:t>).  She checked the box noting that the “</w:t>
      </w:r>
      <w:r w:rsidR="005E7F9D">
        <w:t>incorrect charges are on my bill</w:t>
      </w:r>
      <w:r>
        <w:t xml:space="preserve">” </w:t>
      </w:r>
      <w:r w:rsidR="005E7F9D">
        <w:t>and, under “other”</w:t>
      </w:r>
      <w:r w:rsidR="009C661C">
        <w:t xml:space="preserve"> wrote by hand “billing error dispute.” </w:t>
      </w:r>
      <w:r w:rsidR="00934E3A">
        <w:t xml:space="preserve"> As relief, Ms. Simon </w:t>
      </w:r>
      <w:r w:rsidR="008233D8">
        <w:t xml:space="preserve">requested that PGW </w:t>
      </w:r>
      <w:r w:rsidR="004A0A08">
        <w:t xml:space="preserve">be ordered to </w:t>
      </w:r>
      <w:r w:rsidR="006E21B2">
        <w:t>“</w:t>
      </w:r>
      <w:r w:rsidR="008233D8">
        <w:t>validate the alleged debt</w:t>
      </w:r>
      <w:r w:rsidR="006E21B2">
        <w:t>,</w:t>
      </w:r>
      <w:r w:rsidR="008233D8">
        <w:t>”</w:t>
      </w:r>
      <w:r w:rsidR="001D6EF8">
        <w:t xml:space="preserve"> refrain from using non-</w:t>
      </w:r>
      <w:r w:rsidR="002345A4">
        <w:t>affiliated</w:t>
      </w:r>
      <w:r w:rsidR="001D6EF8">
        <w:t xml:space="preserve"> third parties to validate</w:t>
      </w:r>
      <w:r w:rsidR="002345A4">
        <w:t xml:space="preserve"> the debt, correct any billing errors</w:t>
      </w:r>
      <w:r w:rsidR="004A0A08">
        <w:t>,</w:t>
      </w:r>
      <w:r w:rsidR="002345A4">
        <w:t xml:space="preserve"> cease collection </w:t>
      </w:r>
      <w:r w:rsidR="00AA7609">
        <w:t>efforts and “provide written proof pursuant to FDCPA.”</w:t>
      </w:r>
      <w:r w:rsidR="00606949">
        <w:rPr>
          <w:rStyle w:val="FootnoteReference"/>
        </w:rPr>
        <w:footnoteReference w:id="1"/>
      </w:r>
      <w:r w:rsidR="00DF3F50">
        <w:t xml:space="preserve">  She also requested a payment arrangement.</w:t>
      </w:r>
    </w:p>
    <w:p w14:paraId="61873CB6" w14:textId="77777777" w:rsidR="00EA153F" w:rsidRDefault="00EA153F" w:rsidP="00EA153F">
      <w:pPr>
        <w:spacing w:after="0"/>
      </w:pPr>
    </w:p>
    <w:p w14:paraId="1C30FBEB" w14:textId="07F5FED4" w:rsidR="00EA153F" w:rsidRDefault="00EA153F" w:rsidP="00EA153F">
      <w:pPr>
        <w:spacing w:after="0"/>
      </w:pPr>
      <w:r>
        <w:tab/>
      </w:r>
      <w:r>
        <w:tab/>
        <w:t xml:space="preserve">On </w:t>
      </w:r>
      <w:r w:rsidR="00595E8A">
        <w:t>Nov</w:t>
      </w:r>
      <w:r w:rsidR="003B4B0C">
        <w:t>em</w:t>
      </w:r>
      <w:r>
        <w:t xml:space="preserve">ber </w:t>
      </w:r>
      <w:r w:rsidR="00595E8A">
        <w:t>1</w:t>
      </w:r>
      <w:r>
        <w:t>5, 202</w:t>
      </w:r>
      <w:r w:rsidR="00595E8A">
        <w:t>3</w:t>
      </w:r>
      <w:r>
        <w:t xml:space="preserve">, </w:t>
      </w:r>
      <w:r w:rsidR="00595E8A">
        <w:t>Respondent</w:t>
      </w:r>
      <w:r>
        <w:t xml:space="preserve"> filed an </w:t>
      </w:r>
      <w:r w:rsidR="00595E8A">
        <w:t>A</w:t>
      </w:r>
      <w:r>
        <w:t xml:space="preserve">nswer and </w:t>
      </w:r>
      <w:r w:rsidR="00595E8A">
        <w:t>N</w:t>
      </w:r>
      <w:r>
        <w:t xml:space="preserve">ew </w:t>
      </w:r>
      <w:r w:rsidR="00595E8A">
        <w:t>M</w:t>
      </w:r>
      <w:r>
        <w:t xml:space="preserve">atter.  </w:t>
      </w:r>
      <w:r w:rsidR="00EC31AF">
        <w:t xml:space="preserve">In its Answer, </w:t>
      </w:r>
      <w:r w:rsidR="00595E8A">
        <w:t>PGW</w:t>
      </w:r>
      <w:r>
        <w:t xml:space="preserve"> </w:t>
      </w:r>
      <w:r w:rsidR="00EC31AF">
        <w:t>denied the allegations raised in the Complaint</w:t>
      </w:r>
      <w:r>
        <w:t xml:space="preserve">.  In </w:t>
      </w:r>
      <w:r w:rsidR="00F418D3">
        <w:t>N</w:t>
      </w:r>
      <w:r>
        <w:t xml:space="preserve">ew </w:t>
      </w:r>
      <w:r w:rsidR="00F418D3">
        <w:t>M</w:t>
      </w:r>
      <w:r>
        <w:t xml:space="preserve">atter, </w:t>
      </w:r>
      <w:r w:rsidR="00EC31AF">
        <w:t>PGW</w:t>
      </w:r>
      <w:r>
        <w:t xml:space="preserve"> </w:t>
      </w:r>
      <w:r w:rsidR="004C3924">
        <w:t xml:space="preserve">asserted that the Complaint is barred by the doctrine of </w:t>
      </w:r>
      <w:r w:rsidR="00522673">
        <w:t>collateral estoppel</w:t>
      </w:r>
      <w:r>
        <w:t>.</w:t>
      </w:r>
    </w:p>
    <w:p w14:paraId="1E3D2C22" w14:textId="77777777" w:rsidR="00EA153F" w:rsidRDefault="00EA153F" w:rsidP="00EA153F">
      <w:pPr>
        <w:spacing w:after="0"/>
      </w:pPr>
    </w:p>
    <w:p w14:paraId="2BD2CBF3" w14:textId="5B003F4E" w:rsidR="00EA153F" w:rsidRDefault="00EA153F" w:rsidP="00EA153F">
      <w:pPr>
        <w:spacing w:after="0"/>
      </w:pPr>
      <w:r>
        <w:tab/>
      </w:r>
      <w:r>
        <w:tab/>
      </w:r>
      <w:r w:rsidR="005D3FAE">
        <w:t xml:space="preserve">On </w:t>
      </w:r>
      <w:r w:rsidR="00CD41A7">
        <w:t>December 19, 2023, PGW</w:t>
      </w:r>
      <w:r>
        <w:t xml:space="preserve"> filed a motion for judgment on the pleadings </w:t>
      </w:r>
      <w:r w:rsidR="00613564">
        <w:t>(Motion)</w:t>
      </w:r>
      <w:r w:rsidR="00AE1B69">
        <w:t>, wherein PGW requested that the Complainant be denied relief and the Complaint dismissed.</w:t>
      </w:r>
      <w:r>
        <w:t xml:space="preserve">  </w:t>
      </w:r>
      <w:r w:rsidR="00613564">
        <w:t>PGW</w:t>
      </w:r>
      <w:r>
        <w:t xml:space="preserve"> avers that </w:t>
      </w:r>
      <w:r w:rsidR="00CE1276">
        <w:t xml:space="preserve">because </w:t>
      </w:r>
      <w:r>
        <w:t xml:space="preserve">the Complainant never responded to </w:t>
      </w:r>
      <w:r w:rsidR="00613564">
        <w:t>PGW</w:t>
      </w:r>
      <w:r>
        <w:t xml:space="preserve">’s </w:t>
      </w:r>
      <w:r w:rsidR="00613564">
        <w:t>N</w:t>
      </w:r>
      <w:r>
        <w:t xml:space="preserve">ew </w:t>
      </w:r>
      <w:r w:rsidR="00613564">
        <w:t>M</w:t>
      </w:r>
      <w:r>
        <w:t xml:space="preserve">atter, the facts set forth in the </w:t>
      </w:r>
      <w:r w:rsidR="00613564">
        <w:t xml:space="preserve">November 15, </w:t>
      </w:r>
      <w:r w:rsidR="00957619">
        <w:t>2023,</w:t>
      </w:r>
      <w:r w:rsidR="00613564">
        <w:t xml:space="preserve"> </w:t>
      </w:r>
      <w:r>
        <w:t xml:space="preserve">New Matter should be deemed admitted.  </w:t>
      </w:r>
      <w:r w:rsidR="00325474">
        <w:t xml:space="preserve">PGW </w:t>
      </w:r>
      <w:r w:rsidR="00325474">
        <w:lastRenderedPageBreak/>
        <w:t xml:space="preserve">contends that </w:t>
      </w:r>
      <w:r w:rsidR="00CE1276">
        <w:t>the facts to be deemed admitted</w:t>
      </w:r>
      <w:r w:rsidR="00325474">
        <w:t xml:space="preserve"> include</w:t>
      </w:r>
      <w:r>
        <w:t xml:space="preserve"> the statement that the </w:t>
      </w:r>
      <w:r w:rsidR="00A406DE">
        <w:t xml:space="preserve">accuracy of the </w:t>
      </w:r>
      <w:r>
        <w:t>Complainant</w:t>
      </w:r>
      <w:r w:rsidR="00A406DE">
        <w:t>’s account balance up to the filing of her Formal Complaint</w:t>
      </w:r>
      <w:r w:rsidR="002E3527">
        <w:t xml:space="preserve"> on May 6, </w:t>
      </w:r>
      <w:r w:rsidR="00F65C6E">
        <w:t>2022,</w:t>
      </w:r>
      <w:r w:rsidR="002E3527">
        <w:t xml:space="preserve"> in</w:t>
      </w:r>
      <w:r w:rsidR="00A406DE">
        <w:t xml:space="preserve"> </w:t>
      </w:r>
      <w:r w:rsidR="002E3527" w:rsidRPr="002E3527">
        <w:rPr>
          <w:i/>
          <w:iCs/>
        </w:rPr>
        <w:t>Jaycinah Simon v Philadelphia Gas Works</w:t>
      </w:r>
      <w:r w:rsidR="002E3527">
        <w:t xml:space="preserve"> at Docket No. C-2022-3032428 (</w:t>
      </w:r>
      <w:r w:rsidR="002E3527" w:rsidRPr="002E3527">
        <w:rPr>
          <w:i/>
          <w:iCs/>
        </w:rPr>
        <w:t>2022 Billing Dispute</w:t>
      </w:r>
      <w:r w:rsidR="002E3527">
        <w:t xml:space="preserve">) </w:t>
      </w:r>
      <w:r w:rsidR="00A406DE">
        <w:t xml:space="preserve">has already been litigated and is barred by the doctrine of collateral estoppel. </w:t>
      </w:r>
      <w:r>
        <w:t xml:space="preserve"> </w:t>
      </w:r>
    </w:p>
    <w:p w14:paraId="50E6FA93" w14:textId="77777777" w:rsidR="00EA153F" w:rsidRDefault="00EA153F" w:rsidP="00EA153F">
      <w:pPr>
        <w:spacing w:after="0"/>
      </w:pPr>
    </w:p>
    <w:p w14:paraId="4827B650" w14:textId="418F4672" w:rsidR="00EA153F" w:rsidRDefault="00EA153F" w:rsidP="00EA153F">
      <w:pPr>
        <w:spacing w:after="0"/>
      </w:pPr>
      <w:r>
        <w:tab/>
      </w:r>
      <w:r>
        <w:tab/>
        <w:t xml:space="preserve">The Complainant did not file a response to the </w:t>
      </w:r>
      <w:r w:rsidR="002515C3">
        <w:t>M</w:t>
      </w:r>
      <w:r>
        <w:t xml:space="preserve">otion.  </w:t>
      </w:r>
    </w:p>
    <w:p w14:paraId="3689FDE5" w14:textId="77777777" w:rsidR="00EA153F" w:rsidRDefault="00EA153F" w:rsidP="00EA153F">
      <w:pPr>
        <w:spacing w:after="0"/>
      </w:pPr>
    </w:p>
    <w:p w14:paraId="66DE0412" w14:textId="77777777" w:rsidR="00EA153F" w:rsidRDefault="00EA153F" w:rsidP="00EA153F">
      <w:pPr>
        <w:spacing w:after="0"/>
        <w:rPr>
          <w:b/>
          <w:bCs/>
        </w:rPr>
      </w:pPr>
      <w:r w:rsidRPr="00F23A41">
        <w:rPr>
          <w:b/>
          <w:bCs/>
        </w:rPr>
        <w:t>Legal Standards</w:t>
      </w:r>
    </w:p>
    <w:p w14:paraId="6E4F041F" w14:textId="77777777" w:rsidR="00EA153F" w:rsidRPr="00F23A41" w:rsidRDefault="00EA153F" w:rsidP="00EA153F">
      <w:pPr>
        <w:spacing w:after="0"/>
        <w:rPr>
          <w:b/>
          <w:bCs/>
        </w:rPr>
      </w:pPr>
    </w:p>
    <w:p w14:paraId="685E1471" w14:textId="2EEE12E8" w:rsidR="00EA153F" w:rsidRDefault="00EA153F" w:rsidP="00EA153F">
      <w:pPr>
        <w:spacing w:after="0"/>
        <w:ind w:firstLine="1440"/>
      </w:pPr>
      <w:r w:rsidRPr="000B6809">
        <w:t xml:space="preserve">Commission preliminary motion practice is similar to </w:t>
      </w:r>
      <w:smartTag w:uri="urn:schemas-microsoft-com:office:smarttags" w:element="place">
        <w:smartTag w:uri="urn:schemas-microsoft-com:office:smarttags" w:element="State">
          <w:r w:rsidRPr="000B6809">
            <w:t>Pennsylvania</w:t>
          </w:r>
        </w:smartTag>
      </w:smartTag>
      <w:r w:rsidRPr="000B6809">
        <w:t xml:space="preserve"> civil practice re</w:t>
      </w:r>
      <w:r>
        <w:t>garding</w:t>
      </w:r>
      <w:r w:rsidRPr="000B6809">
        <w:t xml:space="preserve"> the filing of preliminary objections.</w:t>
      </w:r>
      <w:r>
        <w:rPr>
          <w:rStyle w:val="FootnoteReference"/>
        </w:rPr>
        <w:footnoteReference w:id="2"/>
      </w:r>
      <w:r w:rsidRPr="000B6809">
        <w:t xml:space="preserve">  </w:t>
      </w:r>
      <w:r>
        <w:t xml:space="preserve"> </w:t>
      </w:r>
      <w:r w:rsidR="00AF43EE">
        <w:t>PGW</w:t>
      </w:r>
      <w:r>
        <w:t xml:space="preserve">’s motion was filed pursuant to 52 Pa. Code §5.102 which permits the filing of motions for judgment on the pleadings and summary judgment.  </w:t>
      </w:r>
      <w:r w:rsidRPr="00C2365A">
        <w:t xml:space="preserve">When ruling on a motion for judgment on the pleadings, </w:t>
      </w:r>
      <w:r>
        <w:t>I must view</w:t>
      </w:r>
      <w:r w:rsidRPr="00C2365A">
        <w:t xml:space="preserve"> all of the opposing party's allegations as true, and only those facts that the opposing party has specifically admitted may be considered against </w:t>
      </w:r>
      <w:r>
        <w:t>that party.  In a motion for judgement on the pleadings, I may only consider the pleadings</w:t>
      </w:r>
      <w:r w:rsidRPr="00C2365A">
        <w:t xml:space="preserve"> themselves and any documents properly attached thereto.</w:t>
      </w:r>
      <w:r>
        <w:rPr>
          <w:rStyle w:val="FootnoteReference"/>
        </w:rPr>
        <w:footnoteReference w:id="3"/>
      </w:r>
      <w:r w:rsidRPr="00C2365A">
        <w:t> </w:t>
      </w:r>
      <w:r>
        <w:rPr>
          <w:i/>
          <w:iCs/>
        </w:rPr>
        <w:t xml:space="preserve"> </w:t>
      </w:r>
      <w:r>
        <w:t xml:space="preserve">I can only grant a </w:t>
      </w:r>
      <w:r w:rsidRPr="00C2365A">
        <w:t xml:space="preserve">motion for judgment on the pleadings </w:t>
      </w:r>
      <w:r>
        <w:t xml:space="preserve">if it is clear that there is </w:t>
      </w:r>
      <w:r w:rsidRPr="00C2365A">
        <w:t>no genuine issue of fact</w:t>
      </w:r>
      <w:r>
        <w:t xml:space="preserve"> in dispute</w:t>
      </w:r>
      <w:r w:rsidRPr="00C2365A">
        <w:t xml:space="preserve"> and the moving party is entitled to judgment as a matter of law</w:t>
      </w:r>
      <w:r>
        <w:t>.</w:t>
      </w:r>
      <w:r>
        <w:rPr>
          <w:rStyle w:val="FootnoteReference"/>
        </w:rPr>
        <w:footnoteReference w:id="4"/>
      </w:r>
    </w:p>
    <w:p w14:paraId="7C432490" w14:textId="77777777" w:rsidR="00EA153F" w:rsidRDefault="00EA153F" w:rsidP="00EA153F">
      <w:pPr>
        <w:spacing w:after="0"/>
      </w:pPr>
    </w:p>
    <w:p w14:paraId="36DEAFA2" w14:textId="77777777" w:rsidR="00EA153F" w:rsidRDefault="00EA153F" w:rsidP="00EA153F">
      <w:pPr>
        <w:spacing w:after="0"/>
        <w:rPr>
          <w:b/>
          <w:bCs/>
        </w:rPr>
      </w:pPr>
      <w:r w:rsidRPr="00920D40">
        <w:rPr>
          <w:b/>
          <w:bCs/>
        </w:rPr>
        <w:t>Disposition</w:t>
      </w:r>
    </w:p>
    <w:p w14:paraId="1804B57E" w14:textId="77777777" w:rsidR="00EA153F" w:rsidRPr="00920D40" w:rsidRDefault="00EA153F" w:rsidP="00EA153F">
      <w:pPr>
        <w:spacing w:after="0"/>
        <w:rPr>
          <w:b/>
          <w:bCs/>
        </w:rPr>
      </w:pPr>
    </w:p>
    <w:p w14:paraId="74388F1B" w14:textId="79AA93CF" w:rsidR="004A116E" w:rsidRDefault="00EA153F" w:rsidP="002A3B09">
      <w:pPr>
        <w:autoSpaceDE w:val="0"/>
        <w:autoSpaceDN w:val="0"/>
        <w:adjustRightInd w:val="0"/>
        <w:spacing w:after="0"/>
        <w:rPr>
          <w:rFonts w:cs="Times New Roman"/>
          <w:szCs w:val="24"/>
        </w:rPr>
      </w:pPr>
      <w:r>
        <w:tab/>
      </w:r>
      <w:r>
        <w:tab/>
      </w:r>
      <w:r w:rsidR="00AF43EE">
        <w:t>PGW</w:t>
      </w:r>
      <w:r>
        <w:t xml:space="preserve"> argues that because the Complainant did not file a response to </w:t>
      </w:r>
      <w:r w:rsidR="00AF43EE">
        <w:t>PGW</w:t>
      </w:r>
      <w:r>
        <w:t xml:space="preserve">’s </w:t>
      </w:r>
      <w:r w:rsidR="00AF43EE">
        <w:t>N</w:t>
      </w:r>
      <w:r>
        <w:t xml:space="preserve">ew </w:t>
      </w:r>
      <w:r w:rsidR="00AF43EE">
        <w:t>M</w:t>
      </w:r>
      <w:r>
        <w:t>atter</w:t>
      </w:r>
      <w:r w:rsidR="00AF43EE">
        <w:t xml:space="preserve">, the Complainant </w:t>
      </w:r>
      <w:r w:rsidR="00B85803">
        <w:t>admitted the allegations therein</w:t>
      </w:r>
      <w:r w:rsidR="00D81694">
        <w:t xml:space="preserve"> relating to the </w:t>
      </w:r>
      <w:r w:rsidR="00D81694">
        <w:rPr>
          <w:i/>
          <w:iCs/>
        </w:rPr>
        <w:t>2022 Billing Dispute</w:t>
      </w:r>
      <w:r w:rsidR="00785A5C">
        <w:t>,</w:t>
      </w:r>
      <w:r w:rsidR="00AE1B69">
        <w:t xml:space="preserve"> </w:t>
      </w:r>
      <w:r w:rsidR="00AE1B69">
        <w:lastRenderedPageBreak/>
        <w:t>in</w:t>
      </w:r>
      <w:r w:rsidR="00785A5C">
        <w:t>cluding the finality of the Initial Decision issued in that matter</w:t>
      </w:r>
      <w:r>
        <w:t>.</w:t>
      </w:r>
      <w:r w:rsidR="002B2416">
        <w:rPr>
          <w:rStyle w:val="FootnoteReference"/>
        </w:rPr>
        <w:footnoteReference w:id="5"/>
      </w:r>
      <w:r>
        <w:t xml:space="preserve">  </w:t>
      </w:r>
      <w:r w:rsidR="00B26476">
        <w:t>In support of its argument, PGW cites</w:t>
      </w:r>
      <w:r w:rsidR="008A6587">
        <w:t xml:space="preserve"> </w:t>
      </w:r>
      <w:r w:rsidR="00427652">
        <w:t xml:space="preserve">Commission </w:t>
      </w:r>
      <w:r w:rsidR="003E0A7A">
        <w:t xml:space="preserve">regulation </w:t>
      </w:r>
      <w:r w:rsidR="008A6587">
        <w:rPr>
          <w:rFonts w:cs="Times New Roman"/>
          <w:szCs w:val="24"/>
        </w:rPr>
        <w:t>5.63(b)</w:t>
      </w:r>
      <w:r w:rsidR="00E324C4">
        <w:rPr>
          <w:rFonts w:cs="Times New Roman"/>
          <w:szCs w:val="24"/>
        </w:rPr>
        <w:t xml:space="preserve">, which provides that </w:t>
      </w:r>
      <w:r w:rsidR="008A6587">
        <w:rPr>
          <w:rFonts w:cs="Times New Roman"/>
          <w:szCs w:val="24"/>
        </w:rPr>
        <w:t>"Failure to file a timely reply to new</w:t>
      </w:r>
      <w:r w:rsidR="00E324C4">
        <w:rPr>
          <w:rFonts w:cs="Times New Roman"/>
          <w:szCs w:val="24"/>
        </w:rPr>
        <w:t xml:space="preserve"> </w:t>
      </w:r>
      <w:r w:rsidR="008A6587">
        <w:rPr>
          <w:rFonts w:cs="Times New Roman"/>
          <w:szCs w:val="24"/>
        </w:rPr>
        <w:t>matter may be deemed in default, and relevant facts stated in the new matter may be deemed to be</w:t>
      </w:r>
      <w:r w:rsidR="00E324C4">
        <w:rPr>
          <w:rFonts w:cs="Times New Roman"/>
          <w:szCs w:val="24"/>
        </w:rPr>
        <w:t xml:space="preserve"> </w:t>
      </w:r>
      <w:r w:rsidR="008A6587">
        <w:rPr>
          <w:rFonts w:cs="Times New Roman"/>
          <w:szCs w:val="24"/>
        </w:rPr>
        <w:t>admitted")</w:t>
      </w:r>
      <w:r w:rsidR="003E0A7A">
        <w:rPr>
          <w:rFonts w:cs="Times New Roman"/>
          <w:szCs w:val="24"/>
        </w:rPr>
        <w:t xml:space="preserve"> 52 Pa. Code § 5.63(b) and </w:t>
      </w:r>
      <w:r w:rsidR="008A6587">
        <w:rPr>
          <w:rFonts w:cs="Times New Roman"/>
          <w:i/>
          <w:iCs/>
          <w:szCs w:val="24"/>
        </w:rPr>
        <w:t>Stefanowicz v. Pennsylvania-American Water Co.</w:t>
      </w:r>
      <w:r w:rsidR="008A6587">
        <w:rPr>
          <w:rFonts w:cs="Times New Roman"/>
          <w:szCs w:val="24"/>
        </w:rPr>
        <w:t>, C-20078165 (Order entered May 22, 2008)</w:t>
      </w:r>
      <w:r w:rsidR="004D7B2F">
        <w:rPr>
          <w:rFonts w:cs="Times New Roman"/>
          <w:szCs w:val="24"/>
        </w:rPr>
        <w:t>.</w:t>
      </w:r>
    </w:p>
    <w:p w14:paraId="39607EA5" w14:textId="77777777" w:rsidR="009F61CE" w:rsidRDefault="009F61CE" w:rsidP="002A3B09">
      <w:pPr>
        <w:autoSpaceDE w:val="0"/>
        <w:autoSpaceDN w:val="0"/>
        <w:adjustRightInd w:val="0"/>
        <w:spacing w:after="0"/>
        <w:rPr>
          <w:rFonts w:cs="Times New Roman"/>
          <w:szCs w:val="24"/>
        </w:rPr>
      </w:pPr>
    </w:p>
    <w:p w14:paraId="148667DD" w14:textId="38435C1A" w:rsidR="002C3101" w:rsidRDefault="002C3101" w:rsidP="002A3B09">
      <w:pPr>
        <w:autoSpaceDE w:val="0"/>
        <w:autoSpaceDN w:val="0"/>
        <w:adjustRightInd w:val="0"/>
        <w:spacing w:after="0"/>
        <w:rPr>
          <w:rFonts w:cs="Times New Roman"/>
          <w:szCs w:val="24"/>
        </w:rPr>
      </w:pPr>
      <w:r>
        <w:rPr>
          <w:rFonts w:cs="Times New Roman"/>
          <w:szCs w:val="24"/>
        </w:rPr>
        <w:tab/>
      </w:r>
      <w:r>
        <w:rPr>
          <w:rFonts w:cs="Times New Roman"/>
          <w:szCs w:val="24"/>
        </w:rPr>
        <w:tab/>
        <w:t xml:space="preserve">I agree </w:t>
      </w:r>
      <w:r w:rsidR="00B83547">
        <w:rPr>
          <w:rFonts w:cs="Times New Roman"/>
          <w:szCs w:val="24"/>
        </w:rPr>
        <w:t>and find that the allegations raised in PGW’s New Matter will be deemed admitted by the Complainant.</w:t>
      </w:r>
    </w:p>
    <w:p w14:paraId="26EB96EA" w14:textId="77777777" w:rsidR="004A116E" w:rsidRDefault="004A116E" w:rsidP="002A3B09">
      <w:pPr>
        <w:autoSpaceDE w:val="0"/>
        <w:autoSpaceDN w:val="0"/>
        <w:adjustRightInd w:val="0"/>
        <w:spacing w:after="0"/>
        <w:rPr>
          <w:rFonts w:cs="Times New Roman"/>
          <w:szCs w:val="24"/>
        </w:rPr>
      </w:pPr>
    </w:p>
    <w:p w14:paraId="1D735972" w14:textId="405CD748" w:rsidR="00E96484" w:rsidRDefault="00EA153F" w:rsidP="00E96484">
      <w:pPr>
        <w:autoSpaceDE w:val="0"/>
        <w:autoSpaceDN w:val="0"/>
        <w:adjustRightInd w:val="0"/>
        <w:spacing w:after="0"/>
        <w:rPr>
          <w:rFonts w:cs="Times New Roman"/>
          <w:szCs w:val="24"/>
        </w:rPr>
      </w:pPr>
      <w:r>
        <w:tab/>
      </w:r>
      <w:r>
        <w:tab/>
      </w:r>
      <w:r w:rsidR="009F61CE">
        <w:t xml:space="preserve">In </w:t>
      </w:r>
      <w:r w:rsidR="000F55DF">
        <w:t>its</w:t>
      </w:r>
      <w:r w:rsidR="009F61CE">
        <w:t xml:space="preserve"> Motion, </w:t>
      </w:r>
      <w:r w:rsidR="009F61CE">
        <w:rPr>
          <w:rFonts w:cs="Times New Roman"/>
          <w:szCs w:val="24"/>
        </w:rPr>
        <w:t xml:space="preserve">PGW </w:t>
      </w:r>
      <w:r w:rsidR="00203364">
        <w:rPr>
          <w:rFonts w:cs="Times New Roman"/>
          <w:szCs w:val="24"/>
        </w:rPr>
        <w:t xml:space="preserve">also </w:t>
      </w:r>
      <w:r w:rsidR="009F61CE">
        <w:rPr>
          <w:rFonts w:cs="Times New Roman"/>
          <w:szCs w:val="24"/>
        </w:rPr>
        <w:t xml:space="preserve">argues that </w:t>
      </w:r>
      <w:r w:rsidR="007911AB">
        <w:rPr>
          <w:rFonts w:cs="Times New Roman"/>
          <w:szCs w:val="24"/>
        </w:rPr>
        <w:t>the Complainant</w:t>
      </w:r>
      <w:r w:rsidR="00092977">
        <w:rPr>
          <w:rFonts w:cs="Times New Roman"/>
          <w:szCs w:val="24"/>
        </w:rPr>
        <w:t xml:space="preserve"> </w:t>
      </w:r>
      <w:r w:rsidR="007911AB">
        <w:rPr>
          <w:rFonts w:cs="Times New Roman"/>
          <w:szCs w:val="24"/>
        </w:rPr>
        <w:t>barr</w:t>
      </w:r>
      <w:r w:rsidR="00092977">
        <w:rPr>
          <w:rFonts w:cs="Times New Roman"/>
          <w:szCs w:val="24"/>
        </w:rPr>
        <w:t>ed from re-litigating a prior final order of the Commission</w:t>
      </w:r>
      <w:r w:rsidR="005B188D">
        <w:rPr>
          <w:rFonts w:cs="Times New Roman"/>
          <w:szCs w:val="24"/>
        </w:rPr>
        <w:t xml:space="preserve"> under</w:t>
      </w:r>
      <w:r w:rsidR="00092977">
        <w:rPr>
          <w:rFonts w:cs="Times New Roman"/>
          <w:szCs w:val="24"/>
        </w:rPr>
        <w:t xml:space="preserve"> </w:t>
      </w:r>
      <w:r w:rsidR="00935E53">
        <w:rPr>
          <w:rFonts w:cs="Times New Roman"/>
          <w:szCs w:val="24"/>
        </w:rPr>
        <w:t>Section 316 of the Code, which provides</w:t>
      </w:r>
      <w:r w:rsidR="00C45AB6">
        <w:rPr>
          <w:rFonts w:cs="Times New Roman"/>
          <w:szCs w:val="24"/>
        </w:rPr>
        <w:t xml:space="preserve"> “Whenever the Commission shall make any rule, regulation, finding, determination or</w:t>
      </w:r>
      <w:r w:rsidR="00EB7DBD">
        <w:rPr>
          <w:rFonts w:cs="Times New Roman"/>
          <w:szCs w:val="24"/>
        </w:rPr>
        <w:t xml:space="preserve"> </w:t>
      </w:r>
      <w:r w:rsidR="00C45AB6">
        <w:rPr>
          <w:rFonts w:cs="Times New Roman"/>
          <w:szCs w:val="24"/>
        </w:rPr>
        <w:t>order, the same shall be prima facie evidence of the facts found and shall remain</w:t>
      </w:r>
      <w:r w:rsidR="00EB7DBD">
        <w:rPr>
          <w:rFonts w:cs="Times New Roman"/>
          <w:szCs w:val="24"/>
        </w:rPr>
        <w:t xml:space="preserve"> </w:t>
      </w:r>
      <w:r w:rsidR="00C45AB6">
        <w:rPr>
          <w:rFonts w:cs="Times New Roman"/>
          <w:szCs w:val="24"/>
        </w:rPr>
        <w:t>conclusive upon all parties affected thereby, unless set aside, annulled or modified on</w:t>
      </w:r>
      <w:r w:rsidR="00EB7DBD">
        <w:rPr>
          <w:rFonts w:cs="Times New Roman"/>
          <w:szCs w:val="24"/>
        </w:rPr>
        <w:t xml:space="preserve"> </w:t>
      </w:r>
      <w:r w:rsidR="00C45AB6">
        <w:rPr>
          <w:rFonts w:cs="Times New Roman"/>
          <w:szCs w:val="24"/>
        </w:rPr>
        <w:t>judicial review</w:t>
      </w:r>
      <w:r w:rsidR="00EB7DBD">
        <w:rPr>
          <w:rFonts w:cs="Times New Roman"/>
          <w:szCs w:val="24"/>
        </w:rPr>
        <w:t xml:space="preserve">.  </w:t>
      </w:r>
      <w:r w:rsidR="00935E53">
        <w:rPr>
          <w:rFonts w:cs="Times New Roman"/>
          <w:szCs w:val="24"/>
        </w:rPr>
        <w:t>66 Pa.C.S. § 316</w:t>
      </w:r>
      <w:r w:rsidR="007911AB">
        <w:rPr>
          <w:rFonts w:cs="Times New Roman"/>
          <w:szCs w:val="24"/>
        </w:rPr>
        <w:t>.</w:t>
      </w:r>
      <w:r w:rsidR="000F55DF">
        <w:rPr>
          <w:rFonts w:cs="Times New Roman"/>
          <w:szCs w:val="24"/>
        </w:rPr>
        <w:t xml:space="preserve">  </w:t>
      </w:r>
      <w:r w:rsidR="00203364">
        <w:rPr>
          <w:rFonts w:cs="Times New Roman"/>
          <w:szCs w:val="24"/>
        </w:rPr>
        <w:t>F</w:t>
      </w:r>
      <w:r w:rsidR="000F55DF">
        <w:rPr>
          <w:rFonts w:cs="Times New Roman"/>
          <w:szCs w:val="24"/>
        </w:rPr>
        <w:t xml:space="preserve">urthermore, PGW </w:t>
      </w:r>
      <w:r w:rsidR="00AE6B98">
        <w:rPr>
          <w:rFonts w:cs="Times New Roman"/>
          <w:szCs w:val="24"/>
        </w:rPr>
        <w:t>argues</w:t>
      </w:r>
      <w:r w:rsidR="000F55DF">
        <w:rPr>
          <w:rFonts w:cs="Times New Roman"/>
          <w:szCs w:val="24"/>
        </w:rPr>
        <w:t xml:space="preserve"> that </w:t>
      </w:r>
      <w:r w:rsidR="00E96484">
        <w:rPr>
          <w:rFonts w:cs="Times New Roman"/>
          <w:szCs w:val="24"/>
        </w:rPr>
        <w:t>the doctrine of collateral estoppel prevents a question of</w:t>
      </w:r>
    </w:p>
    <w:p w14:paraId="6D3B1E69" w14:textId="77777777" w:rsidR="00E96484" w:rsidRDefault="00E96484" w:rsidP="00E96484">
      <w:pPr>
        <w:autoSpaceDE w:val="0"/>
        <w:autoSpaceDN w:val="0"/>
        <w:adjustRightInd w:val="0"/>
        <w:spacing w:after="0"/>
        <w:rPr>
          <w:rFonts w:cs="Times New Roman"/>
          <w:szCs w:val="24"/>
        </w:rPr>
      </w:pPr>
      <w:r>
        <w:rPr>
          <w:rFonts w:cs="Times New Roman"/>
          <w:szCs w:val="24"/>
        </w:rPr>
        <w:t>law or an issue of fact that has been once litigated and adjudicated finally in a court of competent</w:t>
      </w:r>
    </w:p>
    <w:p w14:paraId="26F5EA07" w14:textId="77777777" w:rsidR="00427652" w:rsidRDefault="00E96484" w:rsidP="00D90DAE">
      <w:pPr>
        <w:autoSpaceDE w:val="0"/>
        <w:autoSpaceDN w:val="0"/>
        <w:adjustRightInd w:val="0"/>
        <w:spacing w:after="0"/>
        <w:rPr>
          <w:rFonts w:cs="Times New Roman"/>
          <w:szCs w:val="24"/>
        </w:rPr>
      </w:pPr>
      <w:r>
        <w:rPr>
          <w:rFonts w:cs="Times New Roman"/>
          <w:szCs w:val="24"/>
        </w:rPr>
        <w:t>jurisdiction from being relitigated in a subsequent suit.</w:t>
      </w:r>
      <w:r w:rsidR="00AE6B98">
        <w:rPr>
          <w:rFonts w:cs="Times New Roman"/>
          <w:szCs w:val="24"/>
        </w:rPr>
        <w:t xml:space="preserve">  </w:t>
      </w:r>
    </w:p>
    <w:p w14:paraId="35F29983" w14:textId="77777777" w:rsidR="00427652" w:rsidRDefault="00427652" w:rsidP="00D90DAE">
      <w:pPr>
        <w:autoSpaceDE w:val="0"/>
        <w:autoSpaceDN w:val="0"/>
        <w:adjustRightInd w:val="0"/>
        <w:spacing w:after="0"/>
        <w:rPr>
          <w:rFonts w:cs="Times New Roman"/>
          <w:szCs w:val="24"/>
        </w:rPr>
      </w:pPr>
    </w:p>
    <w:p w14:paraId="7BF35FD2" w14:textId="431FCC6F" w:rsidR="00D90DAE" w:rsidRDefault="00AE6B98" w:rsidP="00427652">
      <w:pPr>
        <w:autoSpaceDE w:val="0"/>
        <w:autoSpaceDN w:val="0"/>
        <w:adjustRightInd w:val="0"/>
        <w:spacing w:after="0"/>
        <w:ind w:firstLine="1440"/>
        <w:rPr>
          <w:rFonts w:cs="Times New Roman"/>
          <w:szCs w:val="24"/>
        </w:rPr>
      </w:pPr>
      <w:r>
        <w:rPr>
          <w:rFonts w:cs="Times New Roman"/>
          <w:szCs w:val="24"/>
        </w:rPr>
        <w:t xml:space="preserve">PGW contends that </w:t>
      </w:r>
      <w:r w:rsidR="00C0165A">
        <w:rPr>
          <w:rFonts w:cs="Times New Roman"/>
          <w:szCs w:val="24"/>
        </w:rPr>
        <w:t xml:space="preserve">this case and the issue presented in the </w:t>
      </w:r>
      <w:r w:rsidR="00C0165A" w:rsidRPr="00663BD9">
        <w:rPr>
          <w:rFonts w:cs="Times New Roman"/>
          <w:i/>
          <w:iCs/>
          <w:szCs w:val="24"/>
        </w:rPr>
        <w:t xml:space="preserve">2022 Billing </w:t>
      </w:r>
      <w:r w:rsidR="00663BD9" w:rsidRPr="00663BD9">
        <w:rPr>
          <w:rFonts w:cs="Times New Roman"/>
          <w:i/>
          <w:iCs/>
          <w:szCs w:val="24"/>
        </w:rPr>
        <w:t>D</w:t>
      </w:r>
      <w:r w:rsidR="00C0165A" w:rsidRPr="00663BD9">
        <w:rPr>
          <w:rFonts w:cs="Times New Roman"/>
          <w:i/>
          <w:iCs/>
          <w:szCs w:val="24"/>
        </w:rPr>
        <w:t>ispute</w:t>
      </w:r>
      <w:r w:rsidR="00C0165A">
        <w:rPr>
          <w:rFonts w:cs="Times New Roman"/>
          <w:szCs w:val="24"/>
        </w:rPr>
        <w:t xml:space="preserve"> reflect </w:t>
      </w:r>
      <w:r>
        <w:rPr>
          <w:rFonts w:cs="Times New Roman"/>
          <w:szCs w:val="24"/>
        </w:rPr>
        <w:t xml:space="preserve">the </w:t>
      </w:r>
      <w:r w:rsidR="00E96484">
        <w:rPr>
          <w:rFonts w:cs="Times New Roman"/>
          <w:szCs w:val="24"/>
        </w:rPr>
        <w:t xml:space="preserve">four conditions </w:t>
      </w:r>
      <w:r>
        <w:rPr>
          <w:rFonts w:cs="Times New Roman"/>
          <w:szCs w:val="24"/>
        </w:rPr>
        <w:t>necessary</w:t>
      </w:r>
      <w:r w:rsidR="00E96484">
        <w:rPr>
          <w:rFonts w:cs="Times New Roman"/>
          <w:szCs w:val="24"/>
        </w:rPr>
        <w:t xml:space="preserve"> for this</w:t>
      </w:r>
      <w:r>
        <w:rPr>
          <w:rFonts w:cs="Times New Roman"/>
          <w:szCs w:val="24"/>
        </w:rPr>
        <w:t xml:space="preserve"> </w:t>
      </w:r>
      <w:r w:rsidR="00E96484">
        <w:rPr>
          <w:rFonts w:cs="Times New Roman"/>
          <w:szCs w:val="24"/>
        </w:rPr>
        <w:t xml:space="preserve">doctrine to apply </w:t>
      </w:r>
      <w:r>
        <w:rPr>
          <w:rFonts w:cs="Times New Roman"/>
          <w:szCs w:val="24"/>
        </w:rPr>
        <w:t>in this</w:t>
      </w:r>
      <w:r w:rsidR="00663BD9">
        <w:rPr>
          <w:rFonts w:cs="Times New Roman"/>
          <w:szCs w:val="24"/>
        </w:rPr>
        <w:t xml:space="preserve"> case.  PGW points out that</w:t>
      </w:r>
      <w:r w:rsidR="00E96484">
        <w:rPr>
          <w:rFonts w:cs="Times New Roman"/>
          <w:szCs w:val="24"/>
        </w:rPr>
        <w:t xml:space="preserve">: (1) the issue decided in the </w:t>
      </w:r>
      <w:r w:rsidR="00663BD9" w:rsidRPr="00663BD9">
        <w:rPr>
          <w:rFonts w:cs="Times New Roman"/>
          <w:i/>
          <w:iCs/>
          <w:szCs w:val="24"/>
        </w:rPr>
        <w:t>2022 Billing Dispute</w:t>
      </w:r>
      <w:r w:rsidR="00663BD9">
        <w:rPr>
          <w:rFonts w:cs="Times New Roman"/>
          <w:szCs w:val="24"/>
        </w:rPr>
        <w:t xml:space="preserve"> </w:t>
      </w:r>
      <w:r w:rsidR="00E96484">
        <w:rPr>
          <w:rFonts w:cs="Times New Roman"/>
          <w:szCs w:val="24"/>
        </w:rPr>
        <w:t>is identical with the one presented in</w:t>
      </w:r>
      <w:r w:rsidR="00C0165A">
        <w:rPr>
          <w:rFonts w:cs="Times New Roman"/>
          <w:szCs w:val="24"/>
        </w:rPr>
        <w:t xml:space="preserve"> </w:t>
      </w:r>
      <w:r w:rsidR="00E96484">
        <w:rPr>
          <w:rFonts w:cs="Times New Roman"/>
          <w:szCs w:val="24"/>
        </w:rPr>
        <w:t>the later action; (2) there was a final judgment on the merits</w:t>
      </w:r>
      <w:r w:rsidR="000E0979">
        <w:rPr>
          <w:rFonts w:cs="Times New Roman"/>
          <w:szCs w:val="24"/>
        </w:rPr>
        <w:t xml:space="preserve"> in </w:t>
      </w:r>
      <w:r w:rsidR="000E0979" w:rsidRPr="00663BD9">
        <w:rPr>
          <w:rFonts w:cs="Times New Roman"/>
          <w:i/>
          <w:iCs/>
          <w:szCs w:val="24"/>
        </w:rPr>
        <w:t>2022 Billing Dispute</w:t>
      </w:r>
      <w:r w:rsidR="00E96484">
        <w:rPr>
          <w:rFonts w:cs="Times New Roman"/>
          <w:szCs w:val="24"/>
        </w:rPr>
        <w:t xml:space="preserve">; (3) </w:t>
      </w:r>
      <w:r w:rsidR="00214611">
        <w:rPr>
          <w:rFonts w:cs="Times New Roman"/>
          <w:szCs w:val="24"/>
        </w:rPr>
        <w:t xml:space="preserve">the Complainant </w:t>
      </w:r>
      <w:r w:rsidR="00E96484">
        <w:rPr>
          <w:rFonts w:cs="Times New Roman"/>
          <w:szCs w:val="24"/>
        </w:rPr>
        <w:t xml:space="preserve">was a party to the </w:t>
      </w:r>
      <w:r w:rsidR="00214611" w:rsidRPr="00663BD9">
        <w:rPr>
          <w:rFonts w:cs="Times New Roman"/>
          <w:i/>
          <w:iCs/>
          <w:szCs w:val="24"/>
        </w:rPr>
        <w:t>2022 Billing Dispute</w:t>
      </w:r>
      <w:r w:rsidR="00E96484">
        <w:rPr>
          <w:rFonts w:cs="Times New Roman"/>
          <w:szCs w:val="24"/>
        </w:rPr>
        <w:t xml:space="preserve">; and (4) the </w:t>
      </w:r>
      <w:r w:rsidR="000E0979">
        <w:rPr>
          <w:rFonts w:cs="Times New Roman"/>
          <w:szCs w:val="24"/>
        </w:rPr>
        <w:t>Complainant</w:t>
      </w:r>
      <w:r w:rsidR="00E96484">
        <w:rPr>
          <w:rFonts w:cs="Times New Roman"/>
          <w:szCs w:val="24"/>
        </w:rPr>
        <w:t xml:space="preserve"> had a full and fair opportunity to litigate the issues in question in the prior action. </w:t>
      </w:r>
      <w:r w:rsidR="00E96484">
        <w:rPr>
          <w:rFonts w:cs="Times New Roman"/>
          <w:i/>
          <w:iCs/>
          <w:szCs w:val="24"/>
        </w:rPr>
        <w:t>Day v.</w:t>
      </w:r>
      <w:r w:rsidR="00D90DAE">
        <w:rPr>
          <w:rFonts w:cs="Times New Roman"/>
          <w:i/>
          <w:iCs/>
          <w:szCs w:val="24"/>
        </w:rPr>
        <w:t xml:space="preserve"> </w:t>
      </w:r>
      <w:r w:rsidR="00E96484">
        <w:rPr>
          <w:rFonts w:cs="Times New Roman"/>
          <w:i/>
          <w:iCs/>
          <w:szCs w:val="24"/>
        </w:rPr>
        <w:t>Volkswagonwerk Aktiengesellschaft</w:t>
      </w:r>
      <w:r w:rsidR="00E96484">
        <w:rPr>
          <w:rFonts w:cs="Times New Roman"/>
          <w:szCs w:val="24"/>
        </w:rPr>
        <w:t>, 464 A.2d 1313, 1319.</w:t>
      </w:r>
      <w:r w:rsidR="00D90DAE">
        <w:rPr>
          <w:rFonts w:cs="Times New Roman"/>
          <w:szCs w:val="24"/>
        </w:rPr>
        <w:t xml:space="preserve">  </w:t>
      </w:r>
    </w:p>
    <w:p w14:paraId="71368636" w14:textId="77777777" w:rsidR="00D90DAE" w:rsidRDefault="00D90DAE" w:rsidP="00D90DAE">
      <w:pPr>
        <w:autoSpaceDE w:val="0"/>
        <w:autoSpaceDN w:val="0"/>
        <w:adjustRightInd w:val="0"/>
        <w:spacing w:after="0"/>
        <w:rPr>
          <w:rFonts w:cs="Times New Roman"/>
          <w:szCs w:val="24"/>
        </w:rPr>
      </w:pPr>
    </w:p>
    <w:p w14:paraId="161647D2" w14:textId="24F54A2F" w:rsidR="00F059FC" w:rsidRDefault="00E96484" w:rsidP="004928F6">
      <w:pPr>
        <w:autoSpaceDE w:val="0"/>
        <w:autoSpaceDN w:val="0"/>
        <w:adjustRightInd w:val="0"/>
        <w:spacing w:after="0"/>
        <w:ind w:firstLine="1440"/>
      </w:pPr>
      <w:r>
        <w:rPr>
          <w:rFonts w:cs="Times New Roman"/>
          <w:szCs w:val="24"/>
        </w:rPr>
        <w:lastRenderedPageBreak/>
        <w:t xml:space="preserve">As </w:t>
      </w:r>
      <w:r w:rsidR="00D90DAE">
        <w:rPr>
          <w:rFonts w:cs="Times New Roman"/>
          <w:szCs w:val="24"/>
        </w:rPr>
        <w:t xml:space="preserve">PGW observes, as </w:t>
      </w:r>
      <w:r>
        <w:rPr>
          <w:rFonts w:cs="Times New Roman"/>
          <w:szCs w:val="24"/>
        </w:rPr>
        <w:t>a doctrine of issue preclusion, collateral estoppel seeks to prevent the re-litigation of a</w:t>
      </w:r>
      <w:r w:rsidR="00D90DAE">
        <w:rPr>
          <w:rFonts w:cs="Times New Roman"/>
          <w:szCs w:val="24"/>
        </w:rPr>
        <w:t xml:space="preserve"> </w:t>
      </w:r>
      <w:r>
        <w:rPr>
          <w:rFonts w:cs="Times New Roman"/>
          <w:szCs w:val="24"/>
        </w:rPr>
        <w:t xml:space="preserve">finally litigated issue in a subsequent proceeding between the same parties. </w:t>
      </w:r>
      <w:r>
        <w:rPr>
          <w:rFonts w:cs="Times New Roman"/>
          <w:i/>
          <w:iCs/>
          <w:szCs w:val="24"/>
        </w:rPr>
        <w:t>Baker v. Pa. Human Relations</w:t>
      </w:r>
      <w:r w:rsidR="00D13384">
        <w:rPr>
          <w:rFonts w:cs="Times New Roman"/>
          <w:i/>
          <w:iCs/>
          <w:szCs w:val="24"/>
        </w:rPr>
        <w:t xml:space="preserve"> </w:t>
      </w:r>
      <w:r>
        <w:rPr>
          <w:rFonts w:cs="Times New Roman"/>
          <w:i/>
          <w:iCs/>
          <w:szCs w:val="24"/>
        </w:rPr>
        <w:t>Comm'n</w:t>
      </w:r>
      <w:r>
        <w:rPr>
          <w:rFonts w:cs="Times New Roman"/>
          <w:szCs w:val="24"/>
        </w:rPr>
        <w:t>, 462 A.2d 881 (Pa. Cmwlth. 1983).</w:t>
      </w:r>
      <w:r w:rsidR="00D13384">
        <w:rPr>
          <w:rFonts w:cs="Times New Roman"/>
          <w:szCs w:val="24"/>
        </w:rPr>
        <w:t xml:space="preserve">  </w:t>
      </w:r>
      <w:r w:rsidR="006E4DE2">
        <w:t xml:space="preserve">Commission records demonstrate that </w:t>
      </w:r>
      <w:r w:rsidR="00F36103">
        <w:t xml:space="preserve">the Complainant previously litigated a billing dispute with PGW relating to billing </w:t>
      </w:r>
      <w:r w:rsidR="006E4DE2">
        <w:t xml:space="preserve">for service </w:t>
      </w:r>
      <w:r w:rsidR="00F36103">
        <w:t>prior to May 6, 202</w:t>
      </w:r>
      <w:r w:rsidR="006E4DE2">
        <w:t xml:space="preserve">2, therefore, it is appropriate to </w:t>
      </w:r>
      <w:r w:rsidR="002409BE">
        <w:t xml:space="preserve">grant PGW’s Motion and </w:t>
      </w:r>
      <w:r w:rsidR="006E4DE2">
        <w:t xml:space="preserve">dismiss the Complaint to the extent that it seeks to re-litigate any claim relating to </w:t>
      </w:r>
      <w:r w:rsidR="00930596">
        <w:t xml:space="preserve">the </w:t>
      </w:r>
      <w:r w:rsidR="006E4DE2">
        <w:t>period</w:t>
      </w:r>
      <w:r w:rsidR="00930596">
        <w:t xml:space="preserve"> litigated in the </w:t>
      </w:r>
      <w:r w:rsidR="00930596">
        <w:rPr>
          <w:i/>
          <w:iCs/>
        </w:rPr>
        <w:t>2022 Billing Dispute</w:t>
      </w:r>
      <w:r w:rsidR="006E4DE2">
        <w:t xml:space="preserve">.  </w:t>
      </w:r>
    </w:p>
    <w:p w14:paraId="4DE4D354" w14:textId="77777777" w:rsidR="00F059FC" w:rsidRDefault="00F059FC" w:rsidP="006E4DE2">
      <w:pPr>
        <w:spacing w:after="0"/>
        <w:ind w:firstLine="1440"/>
      </w:pPr>
    </w:p>
    <w:p w14:paraId="29FD86FE" w14:textId="27985390" w:rsidR="00B0564B" w:rsidRDefault="00D814C2" w:rsidP="00B0564B">
      <w:pPr>
        <w:spacing w:after="0"/>
        <w:ind w:firstLine="1440"/>
      </w:pPr>
      <w:r>
        <w:t>What is less clear</w:t>
      </w:r>
      <w:r w:rsidR="006E4DE2">
        <w:t xml:space="preserve"> </w:t>
      </w:r>
      <w:r w:rsidR="006472B7">
        <w:t xml:space="preserve">is whether when filing the Complaint, the Complainant sought to contest billing after May </w:t>
      </w:r>
      <w:r w:rsidR="004928F6">
        <w:t>6</w:t>
      </w:r>
      <w:r w:rsidR="002409BE">
        <w:t xml:space="preserve">, 2022.  </w:t>
      </w:r>
      <w:r w:rsidR="00B0564B">
        <w:t>When completing t</w:t>
      </w:r>
      <w:r w:rsidR="00B0564B" w:rsidRPr="00263A83">
        <w:t xml:space="preserve">he </w:t>
      </w:r>
      <w:r w:rsidR="00B0564B">
        <w:t>C</w:t>
      </w:r>
      <w:r w:rsidR="00B0564B" w:rsidRPr="00263A83">
        <w:t>omplaint form</w:t>
      </w:r>
      <w:r w:rsidR="00B0564B">
        <w:t xml:space="preserve">, </w:t>
      </w:r>
      <w:r w:rsidR="00B0564B" w:rsidRPr="00263A83">
        <w:t>the Complainant</w:t>
      </w:r>
      <w:r w:rsidR="00B0564B">
        <w:t xml:space="preserve"> failed </w:t>
      </w:r>
      <w:r w:rsidR="00B0564B" w:rsidRPr="00263A83">
        <w:t xml:space="preserve">to </w:t>
      </w:r>
      <w:r w:rsidR="00B0564B">
        <w:t>provide any relevant details as to the amount and/or service period being disputed.  Lacking specific information as to the timeframe or amount being disputed by Ms. Simon, we are left to speculate as to the scope of the Complaint, which was filed on October 11, 2023 and</w:t>
      </w:r>
      <w:r w:rsidR="00E37194">
        <w:t>,</w:t>
      </w:r>
      <w:r w:rsidR="00B0564B">
        <w:t xml:space="preserve"> theoretically</w:t>
      </w:r>
      <w:r w:rsidR="00E37194">
        <w:t>,</w:t>
      </w:r>
      <w:r w:rsidR="00B0564B">
        <w:t xml:space="preserve"> </w:t>
      </w:r>
      <w:r w:rsidR="00226BBE">
        <w:t xml:space="preserve">could </w:t>
      </w:r>
      <w:r w:rsidR="00B0564B">
        <w:t xml:space="preserve">include PGW billing </w:t>
      </w:r>
      <w:r w:rsidR="00D91FFC">
        <w:t xml:space="preserve">from an unknown date after May 6, 2022 </w:t>
      </w:r>
      <w:r w:rsidR="00B0564B">
        <w:t xml:space="preserve">through </w:t>
      </w:r>
      <w:r w:rsidR="00D91FFC">
        <w:t>October 11, 2023</w:t>
      </w:r>
      <w:r w:rsidR="00B0564B">
        <w:t>.</w:t>
      </w:r>
    </w:p>
    <w:p w14:paraId="7E307A70" w14:textId="77777777" w:rsidR="00B0564B" w:rsidRDefault="00B0564B" w:rsidP="00B0564B">
      <w:pPr>
        <w:spacing w:after="0"/>
        <w:ind w:firstLine="1440"/>
      </w:pPr>
    </w:p>
    <w:p w14:paraId="2F53149F" w14:textId="089CC8B2" w:rsidR="00E37194" w:rsidRDefault="00B0564B" w:rsidP="00751852">
      <w:pPr>
        <w:spacing w:after="0"/>
        <w:ind w:firstLine="1440"/>
      </w:pPr>
      <w:r>
        <w:t>I am mindful that the Complainant is self-represented.  In</w:t>
      </w:r>
      <w:r w:rsidRPr="00982AC1">
        <w:t xml:space="preserve"> </w:t>
      </w:r>
      <w:r w:rsidRPr="00982AC1">
        <w:rPr>
          <w:i/>
        </w:rPr>
        <w:t>Carlock v. The United Telephone Company of Pennsylvania</w:t>
      </w:r>
      <w:r w:rsidRPr="00982AC1">
        <w:t>,</w:t>
      </w:r>
      <w:r>
        <w:rPr>
          <w:rStyle w:val="FootnoteReference"/>
        </w:rPr>
        <w:footnoteReference w:id="6"/>
      </w:r>
      <w:r w:rsidRPr="00982AC1">
        <w:t xml:space="preserve"> th</w:t>
      </w:r>
      <w:r>
        <w:t>e</w:t>
      </w:r>
      <w:r w:rsidRPr="00982AC1">
        <w:t xml:space="preserve"> Commission held that, in the normal course, </w:t>
      </w:r>
      <w:r>
        <w:t xml:space="preserve">the Commission </w:t>
      </w:r>
      <w:r w:rsidRPr="00982AC1">
        <w:t>would not dismiss a complaint</w:t>
      </w:r>
      <w:r>
        <w:t xml:space="preserve"> of a self-represented person</w:t>
      </w:r>
      <w:r w:rsidRPr="00982AC1">
        <w:t xml:space="preserve"> without first providing a hearing during which </w:t>
      </w:r>
      <w:r>
        <w:t xml:space="preserve">the </w:t>
      </w:r>
      <w:r w:rsidRPr="00D50FE1">
        <w:t>self-represented</w:t>
      </w:r>
      <w:r w:rsidRPr="00982AC1">
        <w:t xml:space="preserve"> complainant could further explain their position and the factual basis for their complaint.  The </w:t>
      </w:r>
      <w:r>
        <w:t xml:space="preserve">Commission expressed the concern </w:t>
      </w:r>
      <w:r w:rsidRPr="00982AC1">
        <w:t xml:space="preserve">that, in general, complainants may find it difficult to navigate through pre-hearing motions and should be given the chance to orally describe their basic issue and supporting facts.  </w:t>
      </w:r>
    </w:p>
    <w:p w14:paraId="50775165" w14:textId="77777777" w:rsidR="00E37194" w:rsidRDefault="00E37194" w:rsidP="00B0564B">
      <w:pPr>
        <w:spacing w:after="0"/>
      </w:pPr>
    </w:p>
    <w:p w14:paraId="3EE03233" w14:textId="5F775D86" w:rsidR="00C67AAC" w:rsidRDefault="00CB7638" w:rsidP="00E37194">
      <w:pPr>
        <w:spacing w:after="0"/>
        <w:ind w:firstLine="1440"/>
      </w:pPr>
      <w:r>
        <w:t>Consequently</w:t>
      </w:r>
      <w:r w:rsidR="00D8565F">
        <w:t xml:space="preserve">, </w:t>
      </w:r>
      <w:r w:rsidR="004F4F0A">
        <w:t xml:space="preserve">in the ordering paragraphs below, </w:t>
      </w:r>
      <w:r w:rsidR="00D8565F">
        <w:t xml:space="preserve">the Motion </w:t>
      </w:r>
      <w:r w:rsidR="00325574">
        <w:t>is</w:t>
      </w:r>
      <w:r w:rsidR="00C67AAC">
        <w:t xml:space="preserve"> </w:t>
      </w:r>
      <w:r w:rsidR="00D8565F">
        <w:t>granted in part</w:t>
      </w:r>
      <w:r w:rsidR="003A01EF">
        <w:t xml:space="preserve"> only;</w:t>
      </w:r>
      <w:r w:rsidR="00C67AAC">
        <w:t xml:space="preserve"> any </w:t>
      </w:r>
      <w:r w:rsidR="004F4F0A">
        <w:t xml:space="preserve">Complainant </w:t>
      </w:r>
      <w:r w:rsidR="00C67AAC">
        <w:t xml:space="preserve">claims of a billing dispute with PGW relating to the period </w:t>
      </w:r>
      <w:r w:rsidR="00325574">
        <w:t xml:space="preserve">up to and including May 6, 2022 are dismissed.  The Motion </w:t>
      </w:r>
      <w:r w:rsidR="004F4F0A">
        <w:t xml:space="preserve">is denied as to </w:t>
      </w:r>
      <w:r w:rsidR="003A01EF">
        <w:t xml:space="preserve">any claim by the </w:t>
      </w:r>
      <w:r w:rsidR="004F4F0A">
        <w:t>Complainant</w:t>
      </w:r>
      <w:r w:rsidR="003A01EF">
        <w:t xml:space="preserve"> of a</w:t>
      </w:r>
      <w:r w:rsidR="004F4F0A">
        <w:t xml:space="preserve"> billing dispute with PGW relating to the period after May 6, 2022</w:t>
      </w:r>
      <w:r w:rsidR="003A01EF">
        <w:t>,</w:t>
      </w:r>
      <w:r w:rsidR="004F4F0A">
        <w:t xml:space="preserve"> and any other claims presented in the Complaint.</w:t>
      </w:r>
      <w:r w:rsidR="005A429B">
        <w:t xml:space="preserve">  </w:t>
      </w:r>
    </w:p>
    <w:p w14:paraId="5B03207F" w14:textId="77777777" w:rsidR="00400079" w:rsidRDefault="00400079" w:rsidP="00E37194">
      <w:pPr>
        <w:spacing w:after="0"/>
        <w:ind w:firstLine="1440"/>
      </w:pPr>
    </w:p>
    <w:p w14:paraId="7CFF7851" w14:textId="3CDEC67B" w:rsidR="00400079" w:rsidRPr="00A02E2D" w:rsidRDefault="00400079" w:rsidP="00400079">
      <w:pPr>
        <w:ind w:firstLine="1440"/>
        <w:rPr>
          <w:rFonts w:eastAsia="Calibri"/>
        </w:rPr>
      </w:pPr>
      <w:r>
        <w:t>The</w:t>
      </w:r>
      <w:r w:rsidRPr="00400079">
        <w:rPr>
          <w:rFonts w:eastAsia="Calibri" w:cs="Times New Roman"/>
        </w:rPr>
        <w:t xml:space="preserve"> </w:t>
      </w:r>
      <w:r>
        <w:rPr>
          <w:rFonts w:eastAsia="Calibri" w:cs="Times New Roman"/>
        </w:rPr>
        <w:t xml:space="preserve">Complainant is reminded that </w:t>
      </w:r>
      <w:r w:rsidRPr="00A02E2D">
        <w:rPr>
          <w:rFonts w:eastAsia="Calibri"/>
        </w:rPr>
        <w:t>in this proceeding</w:t>
      </w:r>
      <w:r>
        <w:rPr>
          <w:rFonts w:eastAsia="Calibri"/>
        </w:rPr>
        <w:t>, a</w:t>
      </w:r>
      <w:r w:rsidRPr="00A02E2D">
        <w:rPr>
          <w:rFonts w:eastAsia="Calibri"/>
        </w:rPr>
        <w:t xml:space="preserve">s the proponent of a rule or order, </w:t>
      </w:r>
      <w:r>
        <w:rPr>
          <w:rFonts w:eastAsia="Calibri"/>
        </w:rPr>
        <w:t>s</w:t>
      </w:r>
      <w:r w:rsidRPr="00A02E2D">
        <w:rPr>
          <w:rFonts w:eastAsia="Calibri"/>
        </w:rPr>
        <w:t xml:space="preserve">he bears the burden of proof pursuant to Section 332(a) of the Public Utility Code.  66 Pa. C.S. § 332(a).  To satisfy this burden, the Complainant must demonstrate that Respondent was responsible for the </w:t>
      </w:r>
      <w:r w:rsidR="00203855">
        <w:rPr>
          <w:rFonts w:eastAsia="Calibri"/>
        </w:rPr>
        <w:t xml:space="preserve">billing </w:t>
      </w:r>
      <w:r w:rsidR="003A01EF">
        <w:rPr>
          <w:rFonts w:eastAsia="Calibri"/>
        </w:rPr>
        <w:t xml:space="preserve">or other </w:t>
      </w:r>
      <w:r w:rsidR="00203855">
        <w:rPr>
          <w:rFonts w:eastAsia="Calibri"/>
        </w:rPr>
        <w:t>issues</w:t>
      </w:r>
      <w:r w:rsidRPr="00A02E2D">
        <w:rPr>
          <w:rFonts w:eastAsia="Calibri"/>
        </w:rPr>
        <w:t xml:space="preserve"> alleged in </w:t>
      </w:r>
      <w:r w:rsidR="00203855">
        <w:rPr>
          <w:rFonts w:eastAsia="Calibri"/>
        </w:rPr>
        <w:t>t</w:t>
      </w:r>
      <w:r>
        <w:rPr>
          <w:rFonts w:eastAsia="Calibri"/>
        </w:rPr>
        <w:t xml:space="preserve">he </w:t>
      </w:r>
      <w:r w:rsidRPr="00A02E2D">
        <w:rPr>
          <w:rFonts w:eastAsia="Calibri"/>
        </w:rPr>
        <w:t>Complaint</w:t>
      </w:r>
      <w:r w:rsidR="00203855">
        <w:rPr>
          <w:rFonts w:eastAsia="Calibri"/>
        </w:rPr>
        <w:t>, as modified by this Order,</w:t>
      </w:r>
      <w:r w:rsidRPr="00A02E2D">
        <w:rPr>
          <w:rFonts w:eastAsia="Calibri"/>
        </w:rPr>
        <w:t xml:space="preserve"> through a violation of the Public Utility Code or a regulation or order of the Commission.  This must be shown by a preponderance of the evidence.  66 Pa. C.S. §701; </w:t>
      </w:r>
      <w:r w:rsidRPr="00A02E2D">
        <w:rPr>
          <w:rFonts w:eastAsia="Calibri"/>
          <w:i/>
        </w:rPr>
        <w:t>Patterson v. Bell Telephone Company of Pennsylvania</w:t>
      </w:r>
      <w:r w:rsidRPr="00A02E2D">
        <w:rPr>
          <w:rFonts w:eastAsia="Calibri"/>
        </w:rPr>
        <w:t>, 72 PA P.U.C. 196 (1990).  Preponderance of the evidence means that the party with the burden of proof has presented evidence that is more convincing than that presented by the ot</w:t>
      </w:r>
      <w:r>
        <w:rPr>
          <w:rFonts w:eastAsia="Calibri"/>
        </w:rPr>
        <w:t xml:space="preserve">her </w:t>
      </w:r>
      <w:r w:rsidRPr="00A02E2D">
        <w:rPr>
          <w:rFonts w:eastAsia="Calibri"/>
        </w:rPr>
        <w:t xml:space="preserve">party.  </w:t>
      </w:r>
      <w:r w:rsidRPr="00A02E2D">
        <w:rPr>
          <w:rFonts w:eastAsia="Calibri"/>
          <w:i/>
        </w:rPr>
        <w:t>Samuel J. Lansberry, Inc. v. Pa. PUC</w:t>
      </w:r>
      <w:r w:rsidRPr="00A02E2D">
        <w:rPr>
          <w:rFonts w:eastAsia="Calibri"/>
        </w:rPr>
        <w:t xml:space="preserve">, 578 A.2d 600 (Pa. Cmwlth. 1990) </w:t>
      </w:r>
      <w:r w:rsidRPr="00A02E2D">
        <w:rPr>
          <w:rFonts w:eastAsia="Calibri"/>
          <w:i/>
        </w:rPr>
        <w:t>alloc. den</w:t>
      </w:r>
      <w:r w:rsidRPr="00A02E2D">
        <w:rPr>
          <w:rFonts w:eastAsia="Calibri"/>
        </w:rPr>
        <w:t xml:space="preserve">., 529 Pa. 654,602 A.2d 863 (1992).  </w:t>
      </w:r>
    </w:p>
    <w:p w14:paraId="556963AE" w14:textId="6FB7C8F6" w:rsidR="00400079" w:rsidRDefault="00400079" w:rsidP="00E37194">
      <w:pPr>
        <w:spacing w:after="0"/>
        <w:ind w:firstLine="1440"/>
      </w:pPr>
    </w:p>
    <w:p w14:paraId="30DBA9E4" w14:textId="77777777" w:rsidR="00EA153F" w:rsidRDefault="00EA153F" w:rsidP="000D7613">
      <w:pPr>
        <w:tabs>
          <w:tab w:val="left" w:pos="1440"/>
        </w:tabs>
        <w:spacing w:after="0"/>
        <w:ind w:left="720" w:firstLine="720"/>
      </w:pPr>
      <w:r>
        <w:t>THEREFORE,</w:t>
      </w:r>
    </w:p>
    <w:p w14:paraId="76115582" w14:textId="77777777" w:rsidR="00EA153F" w:rsidRDefault="00EA153F" w:rsidP="00EA153F">
      <w:pPr>
        <w:spacing w:after="0"/>
        <w:ind w:left="720" w:firstLine="720"/>
      </w:pPr>
    </w:p>
    <w:p w14:paraId="120A6516" w14:textId="77777777" w:rsidR="00EA153F" w:rsidRDefault="00EA153F" w:rsidP="00EA153F">
      <w:pPr>
        <w:spacing w:after="0"/>
        <w:ind w:left="720" w:firstLine="720"/>
      </w:pPr>
      <w:r>
        <w:t>IT IS ORDERED:</w:t>
      </w:r>
    </w:p>
    <w:p w14:paraId="33D4BACF" w14:textId="77777777" w:rsidR="00EA153F" w:rsidRDefault="00EA153F" w:rsidP="00EA153F">
      <w:pPr>
        <w:spacing w:after="0"/>
        <w:ind w:left="720" w:firstLine="720"/>
      </w:pPr>
    </w:p>
    <w:p w14:paraId="030F6B6C" w14:textId="14003B6D" w:rsidR="00EA153F" w:rsidRDefault="00EA153F" w:rsidP="00D772C0">
      <w:pPr>
        <w:spacing w:after="0"/>
        <w:ind w:firstLine="1440"/>
      </w:pPr>
      <w:r>
        <w:t>1.</w:t>
      </w:r>
      <w:r>
        <w:tab/>
        <w:t xml:space="preserve">That the </w:t>
      </w:r>
      <w:r w:rsidR="004F4F0A">
        <w:t>M</w:t>
      </w:r>
      <w:r>
        <w:t xml:space="preserve">otion for </w:t>
      </w:r>
      <w:r w:rsidR="004F4F0A">
        <w:t>J</w:t>
      </w:r>
      <w:r>
        <w:t xml:space="preserve">udgement on the </w:t>
      </w:r>
      <w:r w:rsidR="004F4F0A">
        <w:t>P</w:t>
      </w:r>
      <w:r>
        <w:t xml:space="preserve">leadings filed by </w:t>
      </w:r>
      <w:r w:rsidR="004F4F0A">
        <w:t>Philadelphia Gas Works</w:t>
      </w:r>
      <w:r>
        <w:t xml:space="preserve"> Company i</w:t>
      </w:r>
      <w:r w:rsidR="004F4F0A">
        <w:t xml:space="preserve">s granted in part and </w:t>
      </w:r>
      <w:r>
        <w:t>denied</w:t>
      </w:r>
      <w:r w:rsidR="004F4F0A">
        <w:t xml:space="preserve"> in part.</w:t>
      </w:r>
    </w:p>
    <w:p w14:paraId="0198C802" w14:textId="77777777" w:rsidR="00EA153F" w:rsidRDefault="00EA153F" w:rsidP="00D772C0">
      <w:pPr>
        <w:spacing w:after="0"/>
        <w:ind w:firstLine="1440"/>
      </w:pPr>
    </w:p>
    <w:p w14:paraId="5D3DA9ED" w14:textId="407BB1ED" w:rsidR="00EA153F" w:rsidRDefault="00EA153F" w:rsidP="00D772C0">
      <w:pPr>
        <w:spacing w:after="0"/>
        <w:ind w:firstLine="1440"/>
      </w:pPr>
      <w:r>
        <w:t>2.</w:t>
      </w:r>
      <w:r>
        <w:tab/>
      </w:r>
      <w:r w:rsidR="004D30A6">
        <w:rPr>
          <w:rFonts w:eastAsia="Calibri" w:cs="Times New Roman"/>
        </w:rPr>
        <w:t xml:space="preserve">That any issues and/or allegations relating to Philadelphia Gas Works </w:t>
      </w:r>
      <w:r w:rsidR="000C4DE8">
        <w:rPr>
          <w:rFonts w:eastAsia="Calibri" w:cs="Times New Roman"/>
        </w:rPr>
        <w:t xml:space="preserve">billing on or prior to May 6, </w:t>
      </w:r>
      <w:r w:rsidR="000D7613">
        <w:rPr>
          <w:rFonts w:eastAsia="Calibri" w:cs="Times New Roman"/>
        </w:rPr>
        <w:t>2022,</w:t>
      </w:r>
      <w:r w:rsidR="000C4DE8">
        <w:rPr>
          <w:rFonts w:eastAsia="Calibri" w:cs="Times New Roman"/>
        </w:rPr>
        <w:t xml:space="preserve"> a</w:t>
      </w:r>
      <w:r w:rsidR="004D30A6">
        <w:rPr>
          <w:rFonts w:eastAsia="Calibri" w:cs="Times New Roman"/>
        </w:rPr>
        <w:t>re stricken from the Complaint</w:t>
      </w:r>
      <w:r>
        <w:t>.</w:t>
      </w:r>
    </w:p>
    <w:p w14:paraId="21ACD896" w14:textId="77777777" w:rsidR="00EA153F" w:rsidRDefault="00EA153F" w:rsidP="00D772C0">
      <w:pPr>
        <w:spacing w:after="0"/>
        <w:ind w:firstLine="1440"/>
      </w:pPr>
    </w:p>
    <w:p w14:paraId="7EFDC403" w14:textId="5C966079" w:rsidR="00EA153F" w:rsidRDefault="00EA153F" w:rsidP="00D772C0">
      <w:pPr>
        <w:spacing w:after="0"/>
        <w:ind w:firstLine="1440"/>
        <w:rPr>
          <w:rFonts w:eastAsia="Calibri" w:cs="Times New Roman"/>
        </w:rPr>
      </w:pPr>
      <w:r>
        <w:t>3.</w:t>
      </w:r>
      <w:r>
        <w:tab/>
      </w:r>
      <w:r w:rsidR="000427D2">
        <w:rPr>
          <w:rFonts w:eastAsia="Calibri" w:cs="Times New Roman"/>
        </w:rPr>
        <w:t xml:space="preserve">That Complainant’s requests for relief </w:t>
      </w:r>
      <w:r w:rsidR="00CE54A5">
        <w:rPr>
          <w:rFonts w:eastAsia="Calibri" w:cs="Times New Roman"/>
        </w:rPr>
        <w:t xml:space="preserve">based on </w:t>
      </w:r>
      <w:r w:rsidR="00203855">
        <w:rPr>
          <w:rFonts w:eastAsia="Calibri" w:cs="Times New Roman"/>
        </w:rPr>
        <w:t xml:space="preserve">any </w:t>
      </w:r>
      <w:r w:rsidR="00CE54A5">
        <w:rPr>
          <w:rFonts w:eastAsia="Calibri" w:cs="Times New Roman"/>
        </w:rPr>
        <w:t>issues and/or allegations relating to Philadelphia Gas Works billing</w:t>
      </w:r>
      <w:r w:rsidR="003A01EF">
        <w:rPr>
          <w:rFonts w:eastAsia="Calibri" w:cs="Times New Roman"/>
        </w:rPr>
        <w:t xml:space="preserve"> or other matters</w:t>
      </w:r>
      <w:r w:rsidR="000427D2">
        <w:rPr>
          <w:rFonts w:eastAsia="Calibri" w:cs="Times New Roman"/>
        </w:rPr>
        <w:t xml:space="preserve"> ar</w:t>
      </w:r>
      <w:r w:rsidR="0027108F">
        <w:rPr>
          <w:rFonts w:eastAsia="Calibri" w:cs="Times New Roman"/>
        </w:rPr>
        <w:t xml:space="preserve">ising </w:t>
      </w:r>
      <w:r w:rsidR="00CE52C7">
        <w:rPr>
          <w:rFonts w:eastAsia="Calibri" w:cs="Times New Roman"/>
        </w:rPr>
        <w:t>on or prior to May</w:t>
      </w:r>
      <w:r w:rsidR="00BA3A09">
        <w:rPr>
          <w:rFonts w:eastAsia="Calibri" w:cs="Times New Roman"/>
        </w:rPr>
        <w:t> </w:t>
      </w:r>
      <w:r w:rsidR="00CE52C7">
        <w:rPr>
          <w:rFonts w:eastAsia="Calibri" w:cs="Times New Roman"/>
        </w:rPr>
        <w:t>6, 2022 are stricken from the Complaint</w:t>
      </w:r>
      <w:r w:rsidR="000427D2">
        <w:rPr>
          <w:rFonts w:eastAsia="Calibri" w:cs="Times New Roman"/>
        </w:rPr>
        <w:t>.</w:t>
      </w:r>
    </w:p>
    <w:p w14:paraId="0F4C2919" w14:textId="19904F33" w:rsidR="006A6C5A" w:rsidRDefault="006A6C5A">
      <w:pPr>
        <w:spacing w:line="259" w:lineRule="auto"/>
        <w:rPr>
          <w:rFonts w:eastAsia="Calibri" w:cs="Times New Roman"/>
        </w:rPr>
      </w:pPr>
      <w:r>
        <w:rPr>
          <w:rFonts w:eastAsia="Calibri" w:cs="Times New Roman"/>
        </w:rPr>
        <w:br w:type="page"/>
      </w:r>
    </w:p>
    <w:p w14:paraId="503B1006" w14:textId="77777777" w:rsidR="00CE54A5" w:rsidRDefault="00CE54A5" w:rsidP="00EA153F">
      <w:pPr>
        <w:spacing w:after="0"/>
        <w:rPr>
          <w:rFonts w:eastAsia="Calibri" w:cs="Times New Roman"/>
        </w:rPr>
      </w:pPr>
    </w:p>
    <w:p w14:paraId="34F93C0B" w14:textId="72EE25A0" w:rsidR="00CE54A5" w:rsidRDefault="00CE54A5" w:rsidP="00EA153F">
      <w:pPr>
        <w:spacing w:after="0"/>
      </w:pPr>
      <w:r>
        <w:rPr>
          <w:rFonts w:eastAsia="Calibri" w:cs="Times New Roman"/>
        </w:rPr>
        <w:tab/>
        <w:t>4.</w:t>
      </w:r>
      <w:r>
        <w:rPr>
          <w:rFonts w:eastAsia="Calibri" w:cs="Times New Roman"/>
        </w:rPr>
        <w:tab/>
        <w:t xml:space="preserve">That the hearing </w:t>
      </w:r>
      <w:r w:rsidR="00146CB6">
        <w:rPr>
          <w:rFonts w:eastAsia="Calibri" w:cs="Times New Roman"/>
        </w:rPr>
        <w:t xml:space="preserve">in this matter </w:t>
      </w:r>
      <w:r>
        <w:rPr>
          <w:rFonts w:eastAsia="Calibri" w:cs="Times New Roman"/>
        </w:rPr>
        <w:t xml:space="preserve">scheduled for </w:t>
      </w:r>
      <w:r w:rsidR="00027C54">
        <w:rPr>
          <w:rFonts w:eastAsia="Calibri" w:cs="Times New Roman"/>
        </w:rPr>
        <w:t xml:space="preserve">February 1, 2024 </w:t>
      </w:r>
      <w:r w:rsidR="00D95CBF">
        <w:rPr>
          <w:rFonts w:eastAsia="Calibri" w:cs="Times New Roman"/>
        </w:rPr>
        <w:t>shall be limited to the scope set forth in this Order</w:t>
      </w:r>
      <w:r w:rsidR="001A6B16">
        <w:rPr>
          <w:rFonts w:eastAsia="Calibri" w:cs="Times New Roman"/>
        </w:rPr>
        <w:t xml:space="preserve"> and shall </w:t>
      </w:r>
      <w:r w:rsidR="00D95CBF">
        <w:rPr>
          <w:rFonts w:eastAsia="Calibri" w:cs="Times New Roman"/>
        </w:rPr>
        <w:t>proceed, as scheduled</w:t>
      </w:r>
      <w:r w:rsidR="001A6B16">
        <w:rPr>
          <w:rFonts w:eastAsia="Calibri" w:cs="Times New Roman"/>
        </w:rPr>
        <w:t>.</w:t>
      </w:r>
    </w:p>
    <w:p w14:paraId="685598E7" w14:textId="77777777" w:rsidR="00EA153F" w:rsidRDefault="00EA153F" w:rsidP="00EA153F">
      <w:pPr>
        <w:spacing w:after="0"/>
      </w:pPr>
    </w:p>
    <w:p w14:paraId="36D7D2D3" w14:textId="77777777" w:rsidR="00EA153F" w:rsidRDefault="00EA153F" w:rsidP="00EA153F">
      <w:pPr>
        <w:spacing w:after="0"/>
      </w:pPr>
    </w:p>
    <w:p w14:paraId="10BFBAA1" w14:textId="3FEF0D78" w:rsidR="00EA153F" w:rsidRPr="00F65C6E" w:rsidRDefault="00EA153F" w:rsidP="00EA153F">
      <w:pPr>
        <w:tabs>
          <w:tab w:val="left" w:pos="360"/>
        </w:tabs>
        <w:spacing w:after="0" w:line="240" w:lineRule="auto"/>
        <w:jc w:val="both"/>
        <w:rPr>
          <w:rFonts w:eastAsia="SimSun"/>
        </w:rPr>
      </w:pPr>
      <w:r>
        <w:rPr>
          <w:szCs w:val="24"/>
        </w:rPr>
        <w:t xml:space="preserve">Date:  </w:t>
      </w:r>
      <w:r>
        <w:rPr>
          <w:szCs w:val="24"/>
          <w:u w:val="single"/>
        </w:rPr>
        <w:t>January 1</w:t>
      </w:r>
      <w:r w:rsidR="003A01EF">
        <w:rPr>
          <w:szCs w:val="24"/>
          <w:u w:val="single"/>
        </w:rPr>
        <w:t>7</w:t>
      </w:r>
      <w:r>
        <w:rPr>
          <w:szCs w:val="24"/>
          <w:u w:val="single"/>
        </w:rPr>
        <w:t>, 202</w:t>
      </w:r>
      <w:r w:rsidR="001A6B16">
        <w:rPr>
          <w:szCs w:val="24"/>
          <w:u w:val="single"/>
        </w:rPr>
        <w:t>4</w:t>
      </w:r>
      <w:r>
        <w:rPr>
          <w:rFonts w:eastAsia="SimSun"/>
        </w:rPr>
        <w:tab/>
        <w:t xml:space="preserve"> </w:t>
      </w:r>
      <w:r>
        <w:rPr>
          <w:rFonts w:eastAsia="SimSun"/>
        </w:rPr>
        <w:tab/>
      </w:r>
      <w:r>
        <w:rPr>
          <w:rFonts w:eastAsia="SimSun"/>
        </w:rPr>
        <w:tab/>
      </w:r>
      <w:r>
        <w:rPr>
          <w:rFonts w:eastAsia="SimSun"/>
        </w:rPr>
        <w:tab/>
      </w:r>
      <w:r w:rsidR="00F65C6E">
        <w:rPr>
          <w:rFonts w:eastAsia="SimSun"/>
          <w:u w:val="single"/>
        </w:rPr>
        <w:tab/>
        <w:t>/s/</w:t>
      </w:r>
      <w:r w:rsidR="00F65C6E">
        <w:rPr>
          <w:rFonts w:eastAsia="SimSun"/>
          <w:u w:val="single"/>
        </w:rPr>
        <w:tab/>
      </w:r>
      <w:r w:rsidR="00F65C6E">
        <w:rPr>
          <w:rFonts w:eastAsia="SimSun"/>
          <w:u w:val="single"/>
        </w:rPr>
        <w:tab/>
      </w:r>
      <w:r w:rsidR="00F65C6E">
        <w:rPr>
          <w:rFonts w:eastAsia="SimSun"/>
          <w:u w:val="single"/>
        </w:rPr>
        <w:tab/>
      </w:r>
      <w:r w:rsidR="00F65C6E">
        <w:rPr>
          <w:rFonts w:eastAsia="SimSun"/>
          <w:u w:val="single"/>
        </w:rPr>
        <w:tab/>
      </w:r>
    </w:p>
    <w:p w14:paraId="26675B07" w14:textId="0A25E477" w:rsidR="00EA153F" w:rsidRPr="009A06F0" w:rsidRDefault="00EA153F" w:rsidP="00EA153F">
      <w:pPr>
        <w:tabs>
          <w:tab w:val="left" w:pos="360"/>
        </w:tabs>
        <w:spacing w:after="0" w:line="240" w:lineRule="auto"/>
        <w:jc w:val="both"/>
        <w:rPr>
          <w:rFonts w:eastAsia="SimSun"/>
        </w:rPr>
      </w:pP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001A6B16">
        <w:rPr>
          <w:rFonts w:eastAsia="SimSun"/>
        </w:rPr>
        <w:t>Arlene Ashton</w:t>
      </w:r>
    </w:p>
    <w:p w14:paraId="661BD948" w14:textId="77777777" w:rsidR="00EA153F" w:rsidRDefault="00EA153F" w:rsidP="00EA153F">
      <w:pPr>
        <w:tabs>
          <w:tab w:val="left" w:pos="360"/>
        </w:tabs>
        <w:spacing w:after="0" w:line="240" w:lineRule="auto"/>
        <w:jc w:val="both"/>
        <w:rPr>
          <w:rFonts w:eastAsia="SimSun"/>
        </w:rPr>
      </w:pP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r>
      <w:r w:rsidRPr="009A06F0">
        <w:rPr>
          <w:rFonts w:eastAsia="SimSun"/>
        </w:rPr>
        <w:tab/>
        <w:t>Administrative Law Judge</w:t>
      </w:r>
    </w:p>
    <w:p w14:paraId="556B92C5" w14:textId="77777777" w:rsidR="00EA153F" w:rsidRDefault="00EA153F" w:rsidP="00EA153F">
      <w:pPr>
        <w:spacing w:after="0"/>
      </w:pPr>
    </w:p>
    <w:p w14:paraId="1AEA73D3" w14:textId="77777777" w:rsidR="00EA153F" w:rsidRDefault="00EA153F" w:rsidP="00EA153F">
      <w:pPr>
        <w:spacing w:after="0"/>
        <w:sectPr w:rsidR="00EA153F" w:rsidSect="00C87C5A">
          <w:footerReference w:type="default" r:id="rId7"/>
          <w:pgSz w:w="12240" w:h="15840"/>
          <w:pgMar w:top="1440" w:right="1440" w:bottom="1440" w:left="1440" w:header="720" w:footer="720" w:gutter="0"/>
          <w:cols w:space="720"/>
          <w:titlePg/>
          <w:docGrid w:linePitch="360"/>
        </w:sectPr>
      </w:pPr>
    </w:p>
    <w:p w14:paraId="120FF26B" w14:textId="77777777" w:rsidR="006D424F" w:rsidRPr="008E68C5" w:rsidRDefault="006D424F" w:rsidP="006D424F">
      <w:pPr>
        <w:pStyle w:val="NoSpacing"/>
        <w:rPr>
          <w:b/>
          <w:bCs/>
          <w:u w:val="single"/>
        </w:rPr>
      </w:pPr>
      <w:r w:rsidRPr="008E68C5">
        <w:rPr>
          <w:b/>
          <w:bCs/>
          <w:u w:val="single"/>
        </w:rPr>
        <w:lastRenderedPageBreak/>
        <w:t>F-2023-3043721 - JAYCINAH SIMON v. PHILADELPHIA GAS WORKS</w:t>
      </w:r>
    </w:p>
    <w:p w14:paraId="08D39B7C" w14:textId="77777777" w:rsidR="006D424F" w:rsidRDefault="006D424F" w:rsidP="006D424F">
      <w:pPr>
        <w:pStyle w:val="NoSpacing"/>
        <w:rPr>
          <w:b/>
          <w:bCs/>
          <w:u w:val="single"/>
        </w:rPr>
      </w:pPr>
    </w:p>
    <w:p w14:paraId="43F36179" w14:textId="77777777" w:rsidR="008E68C5" w:rsidRPr="008E68C5" w:rsidRDefault="008E68C5" w:rsidP="006D424F">
      <w:pPr>
        <w:pStyle w:val="NoSpacing"/>
        <w:rPr>
          <w:b/>
          <w:bCs/>
          <w:u w:val="single"/>
        </w:rPr>
      </w:pPr>
    </w:p>
    <w:p w14:paraId="3900A8C2" w14:textId="77777777" w:rsidR="006D424F" w:rsidRDefault="006D424F" w:rsidP="006D424F">
      <w:pPr>
        <w:pStyle w:val="NoSpacing"/>
      </w:pPr>
      <w:r>
        <w:t>JAYCINAH SIMON</w:t>
      </w:r>
    </w:p>
    <w:p w14:paraId="6956E39B" w14:textId="77777777" w:rsidR="006D424F" w:rsidRDefault="006D424F" w:rsidP="006D424F">
      <w:pPr>
        <w:pStyle w:val="NoSpacing"/>
      </w:pPr>
      <w:r>
        <w:t>1232 W MASTER ST</w:t>
      </w:r>
    </w:p>
    <w:p w14:paraId="456695F0" w14:textId="77777777" w:rsidR="006D424F" w:rsidRDefault="006D424F" w:rsidP="006D424F">
      <w:pPr>
        <w:pStyle w:val="NoSpacing"/>
      </w:pPr>
      <w:r>
        <w:t>PHILADELPHIA PA  19122</w:t>
      </w:r>
    </w:p>
    <w:p w14:paraId="0B92EFDB" w14:textId="77777777" w:rsidR="006D424F" w:rsidRDefault="006D424F" w:rsidP="006D424F">
      <w:pPr>
        <w:pStyle w:val="NoSpacing"/>
      </w:pPr>
      <w:r>
        <w:rPr>
          <w:bCs/>
        </w:rPr>
        <w:t>267.596.2674</w:t>
      </w:r>
    </w:p>
    <w:p w14:paraId="1F086BF8" w14:textId="77777777" w:rsidR="006D424F" w:rsidRDefault="006D424F" w:rsidP="006D424F">
      <w:pPr>
        <w:pStyle w:val="NoSpacing"/>
      </w:pPr>
      <w:r>
        <w:t>Jksimon5412@gmail.com</w:t>
      </w:r>
    </w:p>
    <w:p w14:paraId="2122C08B" w14:textId="77777777" w:rsidR="006D424F" w:rsidRDefault="006D424F" w:rsidP="006D424F">
      <w:pPr>
        <w:pStyle w:val="NoSpacing"/>
      </w:pPr>
      <w:r>
        <w:t>Served by USPS First-Class Mail</w:t>
      </w:r>
    </w:p>
    <w:p w14:paraId="4D4157DB" w14:textId="77777777" w:rsidR="006D424F" w:rsidRDefault="006D424F" w:rsidP="006D424F">
      <w:pPr>
        <w:pStyle w:val="NoSpacing"/>
      </w:pPr>
    </w:p>
    <w:p w14:paraId="5ED451B6" w14:textId="77777777" w:rsidR="006D424F" w:rsidRDefault="006D424F" w:rsidP="006D424F">
      <w:pPr>
        <w:pStyle w:val="NoSpacing"/>
      </w:pPr>
      <w:r>
        <w:t>GRACIELA CHRISTLIEB ESQUIRE</w:t>
      </w:r>
    </w:p>
    <w:p w14:paraId="124F9534" w14:textId="77777777" w:rsidR="006D424F" w:rsidRDefault="006D424F" w:rsidP="006D424F">
      <w:pPr>
        <w:pStyle w:val="NoSpacing"/>
      </w:pPr>
      <w:r>
        <w:t>PHILADELPHIA GAS WORKS</w:t>
      </w:r>
    </w:p>
    <w:p w14:paraId="121B9674" w14:textId="77777777" w:rsidR="006D424F" w:rsidRDefault="006D424F" w:rsidP="006D424F">
      <w:pPr>
        <w:pStyle w:val="NoSpacing"/>
      </w:pPr>
      <w:r>
        <w:t>800 WEST MONTGOMERY AVE</w:t>
      </w:r>
    </w:p>
    <w:p w14:paraId="47679A36" w14:textId="77777777" w:rsidR="006D424F" w:rsidRDefault="006D424F" w:rsidP="006D424F">
      <w:pPr>
        <w:pStyle w:val="NoSpacing"/>
      </w:pPr>
      <w:r>
        <w:t>PHILADELPHIA PA  19122</w:t>
      </w:r>
    </w:p>
    <w:p w14:paraId="6C93DAB0" w14:textId="77777777" w:rsidR="006D424F" w:rsidRDefault="006D424F" w:rsidP="006D424F">
      <w:pPr>
        <w:pStyle w:val="NoSpacing"/>
        <w:rPr>
          <w:bCs/>
        </w:rPr>
      </w:pPr>
      <w:r>
        <w:rPr>
          <w:bCs/>
        </w:rPr>
        <w:t>215.684.6164</w:t>
      </w:r>
    </w:p>
    <w:p w14:paraId="7F39804E" w14:textId="77777777" w:rsidR="006D424F" w:rsidRDefault="006D424F" w:rsidP="006D424F">
      <w:pPr>
        <w:pStyle w:val="NoSpacing"/>
      </w:pPr>
      <w:r>
        <w:t>Graciela.Christlieb@pgworks.com</w:t>
      </w:r>
    </w:p>
    <w:p w14:paraId="5BFC1F9A" w14:textId="77777777" w:rsidR="006D424F" w:rsidRDefault="006D424F" w:rsidP="006D424F">
      <w:pPr>
        <w:pStyle w:val="NoSpacing"/>
        <w:rPr>
          <w:rFonts w:asciiTheme="minorHAnsi" w:eastAsiaTheme="minorEastAsia" w:hAnsiTheme="minorHAnsi"/>
          <w:sz w:val="22"/>
        </w:rPr>
      </w:pPr>
      <w:r>
        <w:t>Accepts eService</w:t>
      </w:r>
    </w:p>
    <w:p w14:paraId="14869656" w14:textId="77777777" w:rsidR="00EA153F" w:rsidRPr="006D424F" w:rsidRDefault="00EA153F" w:rsidP="00EA153F">
      <w:pPr>
        <w:spacing w:line="259" w:lineRule="auto"/>
        <w:rPr>
          <w:rFonts w:eastAsia="Times New Roman" w:cs="Times New Roman"/>
          <w:szCs w:val="24"/>
        </w:rPr>
      </w:pPr>
    </w:p>
    <w:sectPr w:rsidR="00EA153F" w:rsidRPr="006D42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C9D6" w14:textId="77777777" w:rsidR="00C87C5A" w:rsidRDefault="00C87C5A" w:rsidP="00EA153F">
      <w:pPr>
        <w:spacing w:after="0" w:line="240" w:lineRule="auto"/>
      </w:pPr>
      <w:r>
        <w:separator/>
      </w:r>
    </w:p>
  </w:endnote>
  <w:endnote w:type="continuationSeparator" w:id="0">
    <w:p w14:paraId="155F3495" w14:textId="77777777" w:rsidR="00C87C5A" w:rsidRDefault="00C87C5A" w:rsidP="00EA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94665771"/>
      <w:docPartObj>
        <w:docPartGallery w:val="Page Numbers (Bottom of Page)"/>
        <w:docPartUnique/>
      </w:docPartObj>
    </w:sdtPr>
    <w:sdtEndPr>
      <w:rPr>
        <w:noProof/>
      </w:rPr>
    </w:sdtEndPr>
    <w:sdtContent>
      <w:p w14:paraId="4CA8A6C7" w14:textId="77777777" w:rsidR="00EA153F" w:rsidRPr="00FB7EB0" w:rsidRDefault="00EA153F" w:rsidP="00FB7EB0">
        <w:pPr>
          <w:pStyle w:val="Footer"/>
          <w:jc w:val="center"/>
          <w:rPr>
            <w:sz w:val="20"/>
            <w:szCs w:val="20"/>
          </w:rPr>
        </w:pPr>
        <w:r w:rsidRPr="00FB7EB0">
          <w:rPr>
            <w:sz w:val="20"/>
            <w:szCs w:val="20"/>
          </w:rPr>
          <w:fldChar w:fldCharType="begin"/>
        </w:r>
        <w:r w:rsidRPr="00FB7EB0">
          <w:rPr>
            <w:sz w:val="20"/>
            <w:szCs w:val="20"/>
          </w:rPr>
          <w:instrText xml:space="preserve"> PAGE   \* MERGEFORMAT </w:instrText>
        </w:r>
        <w:r w:rsidRPr="00FB7EB0">
          <w:rPr>
            <w:sz w:val="20"/>
            <w:szCs w:val="20"/>
          </w:rPr>
          <w:fldChar w:fldCharType="separate"/>
        </w:r>
        <w:r w:rsidRPr="00FB7EB0">
          <w:rPr>
            <w:noProof/>
            <w:sz w:val="20"/>
            <w:szCs w:val="20"/>
          </w:rPr>
          <w:t>2</w:t>
        </w:r>
        <w:r w:rsidRPr="00FB7EB0">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5CBA" w14:textId="77777777" w:rsidR="00EA153F" w:rsidRPr="00FB7EB0" w:rsidRDefault="00EA153F" w:rsidP="00FB7EB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2A40" w14:textId="77777777" w:rsidR="00C87C5A" w:rsidRDefault="00C87C5A" w:rsidP="00EA153F">
      <w:pPr>
        <w:spacing w:after="0" w:line="240" w:lineRule="auto"/>
      </w:pPr>
      <w:r>
        <w:separator/>
      </w:r>
    </w:p>
  </w:footnote>
  <w:footnote w:type="continuationSeparator" w:id="0">
    <w:p w14:paraId="78553C8A" w14:textId="77777777" w:rsidR="00C87C5A" w:rsidRDefault="00C87C5A" w:rsidP="00EA153F">
      <w:pPr>
        <w:spacing w:after="0" w:line="240" w:lineRule="auto"/>
      </w:pPr>
      <w:r>
        <w:continuationSeparator/>
      </w:r>
    </w:p>
  </w:footnote>
  <w:footnote w:id="1">
    <w:p w14:paraId="1017384C" w14:textId="3A6FD5F8" w:rsidR="00606949" w:rsidRDefault="00606949" w:rsidP="00606949">
      <w:pPr>
        <w:pStyle w:val="FootnoteText"/>
        <w:ind w:firstLine="720"/>
      </w:pPr>
      <w:r>
        <w:rPr>
          <w:rStyle w:val="FootnoteReference"/>
        </w:rPr>
        <w:footnoteRef/>
      </w:r>
      <w:r>
        <w:t xml:space="preserve"> </w:t>
      </w:r>
      <w:r>
        <w:tab/>
        <w:t xml:space="preserve">The Complainant did not provide a citation </w:t>
      </w:r>
      <w:r w:rsidR="00D57D55">
        <w:t>or otherwise</w:t>
      </w:r>
      <w:r>
        <w:t xml:space="preserve"> explain the reference to FDCPA.</w:t>
      </w:r>
      <w:r w:rsidR="00D06CCE">
        <w:t xml:space="preserve">  As discussed below, based on</w:t>
      </w:r>
      <w:r w:rsidR="00080C1C">
        <w:t xml:space="preserve"> </w:t>
      </w:r>
      <w:r w:rsidR="00D06CCE">
        <w:t>prior filings by the Complainant</w:t>
      </w:r>
      <w:r w:rsidR="00080C1C">
        <w:t xml:space="preserve"> with the Commission</w:t>
      </w:r>
      <w:r w:rsidR="00D06CCE">
        <w:t xml:space="preserve">, </w:t>
      </w:r>
      <w:r w:rsidR="00080C1C">
        <w:t xml:space="preserve">it </w:t>
      </w:r>
      <w:r w:rsidR="00F147D6">
        <w:t>appears</w:t>
      </w:r>
      <w:r w:rsidR="00080C1C">
        <w:t xml:space="preserve"> that the reference is to </w:t>
      </w:r>
      <w:r w:rsidR="003778F9">
        <w:t xml:space="preserve">a federal statue known as </w:t>
      </w:r>
      <w:r w:rsidR="00080C1C">
        <w:t>the Fair Debt Collection Practices Act</w:t>
      </w:r>
      <w:r w:rsidR="003778F9">
        <w:t xml:space="preserve">. 15 U.S.C. 1692 </w:t>
      </w:r>
      <w:r w:rsidR="003778F9" w:rsidRPr="003778F9">
        <w:rPr>
          <w:i/>
          <w:iCs/>
        </w:rPr>
        <w:t>et seq</w:t>
      </w:r>
      <w:r w:rsidR="003778F9">
        <w:t>.</w:t>
      </w:r>
    </w:p>
  </w:footnote>
  <w:footnote w:id="2">
    <w:p w14:paraId="247224E5" w14:textId="77777777" w:rsidR="00EA153F" w:rsidRDefault="00EA153F" w:rsidP="00EA153F">
      <w:pPr>
        <w:pStyle w:val="FootnoteText"/>
        <w:ind w:firstLine="720"/>
      </w:pPr>
      <w:r>
        <w:rPr>
          <w:rStyle w:val="FootnoteReference"/>
        </w:rPr>
        <w:footnoteRef/>
      </w:r>
      <w:r>
        <w:t xml:space="preserve"> </w:t>
      </w:r>
      <w:r>
        <w:tab/>
      </w:r>
      <w:r w:rsidRPr="00C3402A">
        <w:rPr>
          <w:i/>
          <w:iCs/>
        </w:rPr>
        <w:t>Equitable Small Transportation Interveners v. Equitable Gas Company</w:t>
      </w:r>
      <w:r w:rsidRPr="007333EB">
        <w:t>, 1994 Pa. PUC LEXIS 69, Docket No. C-00935435 (July 18, 1994)</w:t>
      </w:r>
    </w:p>
  </w:footnote>
  <w:footnote w:id="3">
    <w:p w14:paraId="49FE3E48" w14:textId="77777777" w:rsidR="00EA153F" w:rsidRDefault="00EA153F" w:rsidP="00EA153F">
      <w:pPr>
        <w:pStyle w:val="FootnoteText"/>
        <w:ind w:firstLine="720"/>
      </w:pPr>
      <w:r>
        <w:rPr>
          <w:rStyle w:val="FootnoteReference"/>
        </w:rPr>
        <w:footnoteRef/>
      </w:r>
      <w:r>
        <w:t xml:space="preserve"> </w:t>
      </w:r>
      <w:r>
        <w:tab/>
      </w:r>
      <w:r w:rsidRPr="000064E5">
        <w:rPr>
          <w:i/>
          <w:iCs/>
        </w:rPr>
        <w:t>Johnson v. Wetzel</w:t>
      </w:r>
      <w:r w:rsidRPr="00CB3DE4">
        <w:t>, 271 A.3d 547 (Pa. Commw. Ct. 2021)</w:t>
      </w:r>
      <w:r>
        <w:t>.</w:t>
      </w:r>
    </w:p>
  </w:footnote>
  <w:footnote w:id="4">
    <w:p w14:paraId="39A828DF" w14:textId="77777777" w:rsidR="00EA153F" w:rsidRPr="000064E5" w:rsidRDefault="00EA153F" w:rsidP="00EA153F">
      <w:pPr>
        <w:pStyle w:val="FootnoteText"/>
        <w:ind w:firstLine="720"/>
        <w:rPr>
          <w:i/>
          <w:iCs/>
        </w:rPr>
      </w:pPr>
      <w:r>
        <w:rPr>
          <w:rStyle w:val="FootnoteReference"/>
        </w:rPr>
        <w:footnoteRef/>
      </w:r>
      <w:r>
        <w:t xml:space="preserve"> </w:t>
      </w:r>
      <w:r>
        <w:tab/>
      </w:r>
      <w:r>
        <w:rPr>
          <w:i/>
          <w:iCs/>
        </w:rPr>
        <w:t>Id.</w:t>
      </w:r>
    </w:p>
  </w:footnote>
  <w:footnote w:id="5">
    <w:p w14:paraId="28ECA34B" w14:textId="5FB838EF" w:rsidR="002B2416" w:rsidRDefault="002B2416" w:rsidP="006A6C5A">
      <w:pPr>
        <w:keepLines/>
        <w:autoSpaceDE w:val="0"/>
        <w:autoSpaceDN w:val="0"/>
        <w:adjustRightInd w:val="0"/>
        <w:spacing w:after="0" w:line="240" w:lineRule="auto"/>
        <w:ind w:firstLine="720"/>
        <w:rPr>
          <w:rFonts w:cs="Times New Roman"/>
          <w:sz w:val="20"/>
          <w:szCs w:val="20"/>
        </w:rPr>
      </w:pPr>
      <w:r>
        <w:rPr>
          <w:rStyle w:val="FootnoteReference"/>
        </w:rPr>
        <w:footnoteRef/>
      </w:r>
      <w:r>
        <w:t xml:space="preserve"> </w:t>
      </w:r>
      <w:r w:rsidR="006D0811">
        <w:tab/>
      </w:r>
      <w:r w:rsidR="00C477D2" w:rsidRPr="00C477D2">
        <w:rPr>
          <w:sz w:val="20"/>
          <w:szCs w:val="20"/>
        </w:rPr>
        <w:t xml:space="preserve">Commission </w:t>
      </w:r>
      <w:r w:rsidR="00C477D2">
        <w:rPr>
          <w:rFonts w:cs="Times New Roman"/>
          <w:sz w:val="20"/>
          <w:szCs w:val="20"/>
        </w:rPr>
        <w:t>records confirm</w:t>
      </w:r>
      <w:r w:rsidR="00C477D2" w:rsidRPr="00250D93">
        <w:rPr>
          <w:rFonts w:cs="Times New Roman"/>
          <w:sz w:val="20"/>
          <w:szCs w:val="20"/>
        </w:rPr>
        <w:t xml:space="preserve"> </w:t>
      </w:r>
      <w:r w:rsidR="00C477D2">
        <w:rPr>
          <w:rFonts w:cs="Times New Roman"/>
          <w:sz w:val="20"/>
          <w:szCs w:val="20"/>
        </w:rPr>
        <w:t>PGW’s assertion that o</w:t>
      </w:r>
      <w:r w:rsidR="00C477D2" w:rsidRPr="00250D93">
        <w:rPr>
          <w:rFonts w:cs="Times New Roman"/>
          <w:sz w:val="20"/>
          <w:szCs w:val="20"/>
        </w:rPr>
        <w:t>n January 11, 2023, Administrative Law Judge Heep issued an Initial Decision at Docket No. C-2022-3032428, denying the Complainant’s allegation that there were incorrect charges</w:t>
      </w:r>
      <w:r w:rsidR="00C477D2">
        <w:rPr>
          <w:rFonts w:cs="Times New Roman"/>
          <w:sz w:val="20"/>
          <w:szCs w:val="20"/>
        </w:rPr>
        <w:t xml:space="preserve"> </w:t>
      </w:r>
      <w:r w:rsidR="00C477D2" w:rsidRPr="00250D93">
        <w:rPr>
          <w:rFonts w:cs="Times New Roman"/>
          <w:sz w:val="20"/>
          <w:szCs w:val="20"/>
        </w:rPr>
        <w:t>on her bills for gas service</w:t>
      </w:r>
      <w:r w:rsidR="00C477D2">
        <w:rPr>
          <w:rFonts w:cs="Times New Roman"/>
          <w:sz w:val="20"/>
          <w:szCs w:val="20"/>
        </w:rPr>
        <w:t xml:space="preserve"> through the date the Formal Complaint was filed in that matter</w:t>
      </w:r>
      <w:r w:rsidR="00C477D2" w:rsidRPr="00250D93">
        <w:rPr>
          <w:rFonts w:cs="Times New Roman"/>
          <w:sz w:val="20"/>
          <w:szCs w:val="20"/>
        </w:rPr>
        <w:t>.  The Commission issued a Final Order at Docket No. C-2022-3032428, denying and dismissing the allegation that there were incorrect charges on the Complainant’s bills for gas service on February 21, 2023.  Docket No. C-2022-3032428 was closed on March 2</w:t>
      </w:r>
      <w:r w:rsidR="00C477D2">
        <w:rPr>
          <w:rFonts w:cs="Times New Roman"/>
          <w:sz w:val="20"/>
          <w:szCs w:val="20"/>
        </w:rPr>
        <w:t>, 2023.</w:t>
      </w:r>
    </w:p>
    <w:p w14:paraId="281FCD82" w14:textId="77777777" w:rsidR="00C477D2" w:rsidRDefault="00C477D2" w:rsidP="00C477D2">
      <w:pPr>
        <w:autoSpaceDE w:val="0"/>
        <w:autoSpaceDN w:val="0"/>
        <w:adjustRightInd w:val="0"/>
        <w:spacing w:after="0" w:line="240" w:lineRule="auto"/>
        <w:ind w:firstLine="720"/>
      </w:pPr>
    </w:p>
  </w:footnote>
  <w:footnote w:id="6">
    <w:p w14:paraId="1913D709" w14:textId="77777777" w:rsidR="00B0564B" w:rsidRDefault="00B0564B" w:rsidP="00B0564B">
      <w:pPr>
        <w:pStyle w:val="FootnoteText"/>
        <w:ind w:firstLine="720"/>
      </w:pPr>
      <w:r>
        <w:rPr>
          <w:rStyle w:val="FootnoteReference"/>
        </w:rPr>
        <w:footnoteRef/>
      </w:r>
      <w:r>
        <w:t xml:space="preserve"> </w:t>
      </w:r>
      <w:r>
        <w:tab/>
      </w:r>
      <w:r w:rsidRPr="00341E8F">
        <w:t>Docket No. F 00163617 (Order entered July 14, 1993),</w:t>
      </w:r>
      <w:r>
        <w:b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3F"/>
    <w:rsid w:val="00027C54"/>
    <w:rsid w:val="000427D2"/>
    <w:rsid w:val="00042844"/>
    <w:rsid w:val="000455AA"/>
    <w:rsid w:val="00074DC2"/>
    <w:rsid w:val="00080C1C"/>
    <w:rsid w:val="00092977"/>
    <w:rsid w:val="000A763D"/>
    <w:rsid w:val="000C4DE8"/>
    <w:rsid w:val="000D7613"/>
    <w:rsid w:val="000E0979"/>
    <w:rsid w:val="000F55DF"/>
    <w:rsid w:val="00146CB6"/>
    <w:rsid w:val="00181E52"/>
    <w:rsid w:val="001A6B16"/>
    <w:rsid w:val="001D6EF8"/>
    <w:rsid w:val="00203364"/>
    <w:rsid w:val="00203855"/>
    <w:rsid w:val="00214611"/>
    <w:rsid w:val="00226519"/>
    <w:rsid w:val="00226BBE"/>
    <w:rsid w:val="002345A4"/>
    <w:rsid w:val="002409BE"/>
    <w:rsid w:val="002515C3"/>
    <w:rsid w:val="0025300E"/>
    <w:rsid w:val="0027108F"/>
    <w:rsid w:val="002A3B09"/>
    <w:rsid w:val="002B2416"/>
    <w:rsid w:val="002B6349"/>
    <w:rsid w:val="002C3101"/>
    <w:rsid w:val="002E3527"/>
    <w:rsid w:val="0031529A"/>
    <w:rsid w:val="00325474"/>
    <w:rsid w:val="00325574"/>
    <w:rsid w:val="003778F9"/>
    <w:rsid w:val="003A01EF"/>
    <w:rsid w:val="003B4B0C"/>
    <w:rsid w:val="003E0A7A"/>
    <w:rsid w:val="00400079"/>
    <w:rsid w:val="00425C52"/>
    <w:rsid w:val="00427652"/>
    <w:rsid w:val="00453CAE"/>
    <w:rsid w:val="00473513"/>
    <w:rsid w:val="004928F6"/>
    <w:rsid w:val="004A0A08"/>
    <w:rsid w:val="004A116E"/>
    <w:rsid w:val="004C3924"/>
    <w:rsid w:val="004D30A6"/>
    <w:rsid w:val="004D7B2F"/>
    <w:rsid w:val="004F4F0A"/>
    <w:rsid w:val="00522673"/>
    <w:rsid w:val="00595E8A"/>
    <w:rsid w:val="005A429B"/>
    <w:rsid w:val="005B188D"/>
    <w:rsid w:val="005D3FAE"/>
    <w:rsid w:val="005E7F9D"/>
    <w:rsid w:val="00606949"/>
    <w:rsid w:val="00613564"/>
    <w:rsid w:val="0063028C"/>
    <w:rsid w:val="006472B7"/>
    <w:rsid w:val="00657D8C"/>
    <w:rsid w:val="00663BD9"/>
    <w:rsid w:val="0069605A"/>
    <w:rsid w:val="006A6C5A"/>
    <w:rsid w:val="006D0811"/>
    <w:rsid w:val="006D424F"/>
    <w:rsid w:val="006E0ABC"/>
    <w:rsid w:val="006E21B2"/>
    <w:rsid w:val="006E4DE2"/>
    <w:rsid w:val="00751852"/>
    <w:rsid w:val="007703E0"/>
    <w:rsid w:val="00785A5C"/>
    <w:rsid w:val="007911AB"/>
    <w:rsid w:val="007A4555"/>
    <w:rsid w:val="007C6375"/>
    <w:rsid w:val="008233D8"/>
    <w:rsid w:val="00870126"/>
    <w:rsid w:val="00874AB2"/>
    <w:rsid w:val="00884FCC"/>
    <w:rsid w:val="008A6587"/>
    <w:rsid w:val="008E68C5"/>
    <w:rsid w:val="00930596"/>
    <w:rsid w:val="00934E3A"/>
    <w:rsid w:val="00935E53"/>
    <w:rsid w:val="00957619"/>
    <w:rsid w:val="009C661C"/>
    <w:rsid w:val="009D2B79"/>
    <w:rsid w:val="009D55AA"/>
    <w:rsid w:val="009F61CE"/>
    <w:rsid w:val="00A406DE"/>
    <w:rsid w:val="00AA6316"/>
    <w:rsid w:val="00AA7609"/>
    <w:rsid w:val="00AB1233"/>
    <w:rsid w:val="00AB2250"/>
    <w:rsid w:val="00AC3B65"/>
    <w:rsid w:val="00AE1B69"/>
    <w:rsid w:val="00AE6B98"/>
    <w:rsid w:val="00AF43EE"/>
    <w:rsid w:val="00B0564B"/>
    <w:rsid w:val="00B26476"/>
    <w:rsid w:val="00B83547"/>
    <w:rsid w:val="00B83E9F"/>
    <w:rsid w:val="00B85803"/>
    <w:rsid w:val="00B873D0"/>
    <w:rsid w:val="00BA3A09"/>
    <w:rsid w:val="00BF5FD3"/>
    <w:rsid w:val="00C0165A"/>
    <w:rsid w:val="00C05FC6"/>
    <w:rsid w:val="00C179B5"/>
    <w:rsid w:val="00C2518C"/>
    <w:rsid w:val="00C45AB6"/>
    <w:rsid w:val="00C477D2"/>
    <w:rsid w:val="00C4795A"/>
    <w:rsid w:val="00C67AAC"/>
    <w:rsid w:val="00C830E1"/>
    <w:rsid w:val="00C87C5A"/>
    <w:rsid w:val="00CB7638"/>
    <w:rsid w:val="00CD41A7"/>
    <w:rsid w:val="00CD61A0"/>
    <w:rsid w:val="00CE1276"/>
    <w:rsid w:val="00CE52C7"/>
    <w:rsid w:val="00CE54A5"/>
    <w:rsid w:val="00CE6283"/>
    <w:rsid w:val="00D06CCE"/>
    <w:rsid w:val="00D11A43"/>
    <w:rsid w:val="00D13384"/>
    <w:rsid w:val="00D1611E"/>
    <w:rsid w:val="00D57D55"/>
    <w:rsid w:val="00D768CC"/>
    <w:rsid w:val="00D772C0"/>
    <w:rsid w:val="00D814C2"/>
    <w:rsid w:val="00D81694"/>
    <w:rsid w:val="00D8565F"/>
    <w:rsid w:val="00D90DAE"/>
    <w:rsid w:val="00D91FFC"/>
    <w:rsid w:val="00D95CBF"/>
    <w:rsid w:val="00DB55AC"/>
    <w:rsid w:val="00DF3F50"/>
    <w:rsid w:val="00E034B8"/>
    <w:rsid w:val="00E24C0A"/>
    <w:rsid w:val="00E30E8F"/>
    <w:rsid w:val="00E324C4"/>
    <w:rsid w:val="00E37194"/>
    <w:rsid w:val="00E4786A"/>
    <w:rsid w:val="00E711C8"/>
    <w:rsid w:val="00E730AB"/>
    <w:rsid w:val="00E96484"/>
    <w:rsid w:val="00EA153F"/>
    <w:rsid w:val="00EB474E"/>
    <w:rsid w:val="00EB7DBD"/>
    <w:rsid w:val="00EC31AF"/>
    <w:rsid w:val="00EF6352"/>
    <w:rsid w:val="00F059FC"/>
    <w:rsid w:val="00F147D6"/>
    <w:rsid w:val="00F36103"/>
    <w:rsid w:val="00F418D3"/>
    <w:rsid w:val="00F65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3922BC8"/>
  <w15:chartTrackingRefBased/>
  <w15:docId w15:val="{39FB3EDA-DF21-4C95-B6DA-81A386F4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53F"/>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autoRedefine/>
    <w:qFormat/>
    <w:rsid w:val="00EA153F"/>
    <w:pPr>
      <w:spacing w:line="240" w:lineRule="auto"/>
    </w:pPr>
    <w:rPr>
      <w:rFonts w:eastAsia="Times New Roman"/>
      <w:sz w:val="20"/>
    </w:rPr>
  </w:style>
  <w:style w:type="character" w:customStyle="1" w:styleId="FootnoteTextChar">
    <w:name w:val="Footnote Text Char"/>
    <w:aliases w:val="Car Char"/>
    <w:basedOn w:val="DefaultParagraphFont"/>
    <w:link w:val="FootnoteText"/>
    <w:rsid w:val="00EA153F"/>
    <w:rPr>
      <w:rFonts w:ascii="Times New Roman" w:eastAsia="Times New Roman" w:hAnsi="Times New Roman"/>
      <w:sz w:val="20"/>
    </w:rPr>
  </w:style>
  <w:style w:type="character" w:styleId="FootnoteReference">
    <w:name w:val="footnote reference"/>
    <w:basedOn w:val="DefaultParagraphFont"/>
    <w:uiPriority w:val="99"/>
    <w:unhideWhenUsed/>
    <w:rsid w:val="00EA153F"/>
    <w:rPr>
      <w:vertAlign w:val="superscript"/>
    </w:rPr>
  </w:style>
  <w:style w:type="paragraph" w:styleId="Footer">
    <w:name w:val="footer"/>
    <w:basedOn w:val="Normal"/>
    <w:link w:val="FooterChar"/>
    <w:uiPriority w:val="99"/>
    <w:unhideWhenUsed/>
    <w:rsid w:val="00EA1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53F"/>
    <w:rPr>
      <w:rFonts w:ascii="Times New Roman" w:hAnsi="Times New Roman"/>
      <w:sz w:val="24"/>
    </w:rPr>
  </w:style>
  <w:style w:type="paragraph" w:styleId="Header">
    <w:name w:val="header"/>
    <w:basedOn w:val="Normal"/>
    <w:link w:val="HeaderChar"/>
    <w:uiPriority w:val="99"/>
    <w:unhideWhenUsed/>
    <w:rsid w:val="00473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513"/>
    <w:rPr>
      <w:rFonts w:ascii="Times New Roman" w:hAnsi="Times New Roman"/>
      <w:sz w:val="24"/>
    </w:rPr>
  </w:style>
  <w:style w:type="paragraph" w:styleId="NoSpacing">
    <w:name w:val="No Spacing"/>
    <w:uiPriority w:val="1"/>
    <w:qFormat/>
    <w:rsid w:val="006D424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3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488D6-025C-4959-9883-A2BD318C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1324</Words>
  <Characters>7547</Characters>
  <Application>Microsoft Office Word</Application>
  <DocSecurity>0</DocSecurity>
  <Lines>62</Lines>
  <Paragraphs>17</Paragraphs>
  <ScaleCrop>false</ScaleCrop>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7</cp:revision>
  <dcterms:created xsi:type="dcterms:W3CDTF">2024-01-17T18:21:00Z</dcterms:created>
  <dcterms:modified xsi:type="dcterms:W3CDTF">2024-01-22T17:37:00Z</dcterms:modified>
</cp:coreProperties>
</file>