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4D35" w14:textId="77777777" w:rsidR="00A93F9E" w:rsidRDefault="00A93F9E" w:rsidP="00A93F9E">
      <w:pPr>
        <w:spacing w:after="0" w:line="240" w:lineRule="auto"/>
        <w:jc w:val="center"/>
        <w:rPr>
          <w:b/>
        </w:rPr>
      </w:pPr>
      <w:r>
        <w:rPr>
          <w:b/>
        </w:rPr>
        <w:t>BEFORE THE</w:t>
      </w:r>
    </w:p>
    <w:p w14:paraId="5B89A4FF" w14:textId="77777777" w:rsidR="00A93F9E" w:rsidRDefault="00A93F9E" w:rsidP="00A93F9E">
      <w:pPr>
        <w:spacing w:after="0" w:line="240" w:lineRule="auto"/>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14:paraId="4A8BB40F" w14:textId="77777777" w:rsidR="00A93F9E" w:rsidRDefault="00A93F9E" w:rsidP="00A93F9E">
      <w:pPr>
        <w:spacing w:after="0" w:line="240" w:lineRule="auto"/>
        <w:jc w:val="center"/>
        <w:rPr>
          <w:b/>
        </w:rPr>
      </w:pPr>
    </w:p>
    <w:p w14:paraId="6C879317" w14:textId="77777777" w:rsidR="00A93F9E" w:rsidRDefault="00A93F9E" w:rsidP="00A93F9E">
      <w:pPr>
        <w:spacing w:after="0" w:line="240" w:lineRule="auto"/>
        <w:rPr>
          <w:rFonts w:eastAsia="Calibri" w:cs="Times New Roman"/>
          <w:b/>
          <w:szCs w:val="24"/>
          <w:u w:val="single"/>
        </w:rPr>
      </w:pPr>
    </w:p>
    <w:p w14:paraId="2822CBEC" w14:textId="77777777" w:rsidR="00A93F9E" w:rsidRDefault="00A93F9E" w:rsidP="00A93F9E">
      <w:pPr>
        <w:spacing w:after="0" w:line="240" w:lineRule="auto"/>
        <w:rPr>
          <w:rFonts w:eastAsia="Calibri" w:cs="Times New Roman"/>
          <w:b/>
          <w:szCs w:val="24"/>
          <w:u w:val="single"/>
        </w:rPr>
      </w:pPr>
    </w:p>
    <w:p w14:paraId="59F5EC3B" w14:textId="77777777" w:rsidR="00A93F9E" w:rsidRDefault="00A93F9E" w:rsidP="00A93F9E">
      <w:pPr>
        <w:spacing w:after="0" w:line="240" w:lineRule="auto"/>
        <w:jc w:val="both"/>
        <w:rPr>
          <w:rFonts w:eastAsia="Calibri" w:cs="Times New Roman"/>
          <w:szCs w:val="24"/>
        </w:rPr>
      </w:pPr>
      <w:r>
        <w:rPr>
          <w:rFonts w:eastAsia="Calibri" w:cs="Times New Roman"/>
          <w:szCs w:val="24"/>
        </w:rPr>
        <w:t>Darlene Shedlock</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4A7488EC" w14:textId="77777777" w:rsidR="00A93F9E" w:rsidRDefault="00A93F9E" w:rsidP="00A93F9E">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73B59861" w14:textId="77777777" w:rsidR="00A93F9E" w:rsidRDefault="00A93F9E" w:rsidP="00A93F9E">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t>C-2018-3001414</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18A3A87E" w14:textId="77777777" w:rsidR="00A93F9E" w:rsidRDefault="00A93F9E" w:rsidP="00A93F9E">
      <w:pPr>
        <w:spacing w:after="0" w:line="240" w:lineRule="auto"/>
        <w:jc w:val="both"/>
        <w:rPr>
          <w:rFonts w:eastAsia="Calibri" w:cs="Times New Roman"/>
          <w:szCs w:val="24"/>
        </w:rPr>
      </w:pPr>
      <w:r>
        <w:rPr>
          <w:rFonts w:eastAsia="Calibri" w:cs="Times New Roman"/>
          <w:szCs w:val="24"/>
        </w:rPr>
        <w:t xml:space="preserve">Pennsylvania Electric Company     </w:t>
      </w:r>
      <w:r>
        <w:rPr>
          <w:rFonts w:eastAsia="Calibri" w:cs="Times New Roman"/>
          <w:szCs w:val="24"/>
        </w:rPr>
        <w:tab/>
      </w:r>
      <w:r>
        <w:rPr>
          <w:rFonts w:eastAsia="Calibri" w:cs="Times New Roman"/>
          <w:szCs w:val="24"/>
        </w:rPr>
        <w:tab/>
      </w:r>
      <w:r>
        <w:rPr>
          <w:rFonts w:eastAsia="Calibri" w:cs="Times New Roman"/>
          <w:szCs w:val="24"/>
        </w:rPr>
        <w:tab/>
        <w:t>:</w:t>
      </w:r>
    </w:p>
    <w:p w14:paraId="5983A8F0" w14:textId="77777777" w:rsidR="00A93F9E" w:rsidRPr="00885126" w:rsidRDefault="00A93F9E" w:rsidP="00A93F9E">
      <w:pPr>
        <w:spacing w:after="0" w:line="240" w:lineRule="auto"/>
        <w:jc w:val="center"/>
        <w:rPr>
          <w:rFonts w:eastAsia="Calibri" w:cs="Times New Roman"/>
          <w:b/>
          <w:szCs w:val="24"/>
          <w:u w:val="single"/>
        </w:rPr>
      </w:pPr>
    </w:p>
    <w:p w14:paraId="2AF4DDC0" w14:textId="77777777" w:rsidR="00A93F9E" w:rsidRDefault="00A93F9E" w:rsidP="00A93F9E">
      <w:pPr>
        <w:spacing w:after="0" w:line="240" w:lineRule="auto"/>
        <w:jc w:val="both"/>
        <w:rPr>
          <w:rFonts w:eastAsia="Calibri" w:cs="Times New Roman"/>
          <w:szCs w:val="24"/>
        </w:rPr>
      </w:pP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p>
    <w:p w14:paraId="0EEBCB12" w14:textId="77777777" w:rsidR="00A93F9E" w:rsidRPr="00885126" w:rsidRDefault="00A93F9E" w:rsidP="00A93F9E">
      <w:pPr>
        <w:spacing w:after="0" w:line="240" w:lineRule="auto"/>
        <w:jc w:val="both"/>
        <w:rPr>
          <w:rFonts w:eastAsia="Calibri" w:cs="Times New Roman"/>
          <w:szCs w:val="24"/>
        </w:rPr>
      </w:pPr>
    </w:p>
    <w:p w14:paraId="06DA2D7C" w14:textId="77777777" w:rsidR="00A93F9E" w:rsidRDefault="00A93F9E" w:rsidP="00A93F9E">
      <w:pPr>
        <w:spacing w:after="0" w:line="240" w:lineRule="auto"/>
        <w:jc w:val="center"/>
        <w:rPr>
          <w:b/>
        </w:rPr>
      </w:pPr>
      <w:r>
        <w:rPr>
          <w:b/>
        </w:rPr>
        <w:t>INTERIM ORDER</w:t>
      </w:r>
    </w:p>
    <w:p w14:paraId="7B0FAD82" w14:textId="40FB5687" w:rsidR="00A93F9E" w:rsidRPr="00A93F9E" w:rsidRDefault="00A93F9E" w:rsidP="00A93F9E">
      <w:pPr>
        <w:spacing w:after="0" w:line="240" w:lineRule="auto"/>
        <w:jc w:val="center"/>
        <w:rPr>
          <w:b/>
          <w:u w:val="single"/>
        </w:rPr>
      </w:pPr>
      <w:r>
        <w:rPr>
          <w:b/>
        </w:rPr>
        <w:t xml:space="preserve">SETTING DEADLINE TO OBJECT TO </w:t>
      </w:r>
      <w:r w:rsidR="00500517">
        <w:rPr>
          <w:b/>
        </w:rPr>
        <w:t xml:space="preserve">COMPLAINANT’S MAIN </w:t>
      </w:r>
      <w:r>
        <w:rPr>
          <w:b/>
        </w:rPr>
        <w:t xml:space="preserve">BRIEF AND </w:t>
      </w:r>
      <w:r w:rsidRPr="00A93F9E">
        <w:rPr>
          <w:b/>
          <w:u w:val="single"/>
        </w:rPr>
        <w:t xml:space="preserve">ATTACHMENT </w:t>
      </w:r>
      <w:r w:rsidR="00500517">
        <w:rPr>
          <w:b/>
          <w:u w:val="single"/>
        </w:rPr>
        <w:t>TO MAIN BRIEF</w:t>
      </w:r>
    </w:p>
    <w:p w14:paraId="23804EA9" w14:textId="77777777" w:rsidR="00A93F9E" w:rsidRPr="00A93F9E" w:rsidRDefault="00A93F9E" w:rsidP="00A93F9E">
      <w:pPr>
        <w:spacing w:after="0"/>
        <w:rPr>
          <w:b/>
          <w:u w:val="single"/>
        </w:rPr>
      </w:pPr>
    </w:p>
    <w:p w14:paraId="6CD5F366" w14:textId="40BA767B" w:rsidR="00A93F9E" w:rsidRDefault="00A93F9E" w:rsidP="00A93F9E">
      <w:pPr>
        <w:spacing w:after="0"/>
        <w:rPr>
          <w:b/>
        </w:rPr>
      </w:pPr>
      <w:r>
        <w:rPr>
          <w:b/>
        </w:rPr>
        <w:tab/>
      </w:r>
      <w:r>
        <w:rPr>
          <w:b/>
        </w:rPr>
        <w:tab/>
      </w:r>
    </w:p>
    <w:p w14:paraId="66E785EA" w14:textId="6FAD8CB1" w:rsidR="00A93F9E" w:rsidRDefault="00A93F9E" w:rsidP="00A93F9E">
      <w:pPr>
        <w:spacing w:after="0"/>
        <w:ind w:left="720" w:firstLine="720"/>
        <w:rPr>
          <w:bCs/>
        </w:rPr>
      </w:pPr>
      <w:r w:rsidRPr="004B368E">
        <w:rPr>
          <w:bCs/>
        </w:rPr>
        <w:t>A</w:t>
      </w:r>
      <w:r>
        <w:rPr>
          <w:bCs/>
        </w:rPr>
        <w:t xml:space="preserve"> telephonic evidentiary hearing was held in this proceeding as scheduled on September 4, 2020. </w:t>
      </w:r>
      <w:r>
        <w:rPr>
          <w:bCs/>
        </w:rPr>
        <w:tab/>
      </w:r>
    </w:p>
    <w:p w14:paraId="5B095792" w14:textId="77777777" w:rsidR="00A93F9E" w:rsidRDefault="00A93F9E" w:rsidP="00A93F9E">
      <w:pPr>
        <w:spacing w:after="0"/>
        <w:rPr>
          <w:bCs/>
        </w:rPr>
      </w:pPr>
      <w:r>
        <w:rPr>
          <w:bCs/>
        </w:rPr>
        <w:tab/>
      </w:r>
      <w:r>
        <w:rPr>
          <w:bCs/>
        </w:rPr>
        <w:tab/>
      </w:r>
    </w:p>
    <w:p w14:paraId="107155A8" w14:textId="355D8FDB" w:rsidR="00A93F9E" w:rsidRDefault="00A93F9E" w:rsidP="00A93F9E">
      <w:pPr>
        <w:pStyle w:val="ListNumber"/>
        <w:numPr>
          <w:ilvl w:val="0"/>
          <w:numId w:val="0"/>
        </w:numPr>
        <w:spacing w:line="360" w:lineRule="auto"/>
        <w:ind w:firstLine="1440"/>
        <w:jc w:val="left"/>
      </w:pPr>
      <w:r>
        <w:t xml:space="preserve">On October 8, 2020, the Commonwealth Court of Pennsylvania (Commonwealth </w:t>
      </w:r>
      <w:r w:rsidRPr="00B07415">
        <w:t xml:space="preserve">Court) issued an Opinion in </w:t>
      </w:r>
      <w:proofErr w:type="spellStart"/>
      <w:r w:rsidRPr="00B07415">
        <w:rPr>
          <w:i/>
          <w:iCs/>
        </w:rPr>
        <w:t>Povacz</w:t>
      </w:r>
      <w:proofErr w:type="spellEnd"/>
      <w:r w:rsidRPr="00B07415">
        <w:rPr>
          <w:i/>
          <w:iCs/>
        </w:rPr>
        <w:t>, et al. v. Pa. Public Utility Commission</w:t>
      </w:r>
      <w:r w:rsidRPr="00B07415">
        <w:t>,</w:t>
      </w:r>
      <w:r>
        <w:t xml:space="preserve"> </w:t>
      </w:r>
      <w:r>
        <w:rPr>
          <w:rStyle w:val="FootnoteReference"/>
        </w:rPr>
        <w:footnoteReference w:id="1"/>
      </w:r>
      <w:r w:rsidRPr="00B07415">
        <w:t xml:space="preserve"> </w:t>
      </w:r>
      <w:r w:rsidRPr="00C7398B">
        <w:t xml:space="preserve"> (</w:t>
      </w:r>
      <w:proofErr w:type="spellStart"/>
      <w:r w:rsidRPr="00C7398B">
        <w:rPr>
          <w:i/>
          <w:iCs/>
        </w:rPr>
        <w:t>Povacz</w:t>
      </w:r>
      <w:proofErr w:type="spellEnd"/>
      <w:r w:rsidRPr="00C7398B">
        <w:rPr>
          <w:i/>
          <w:iCs/>
        </w:rPr>
        <w:t xml:space="preserve"> I</w:t>
      </w:r>
      <w:r w:rsidRPr="00C7398B">
        <w:t>), the first of several appeals involving PECO Energy C</w:t>
      </w:r>
      <w:r>
        <w:t xml:space="preserve">ompany’s (PECO) deployment of smart meter technology pursuant to Act 129 of 2008 (Act 129), codified at 66 Pa. C.S. § 2807(f). In the </w:t>
      </w:r>
      <w:proofErr w:type="spellStart"/>
      <w:r w:rsidRPr="00EC7ED5">
        <w:rPr>
          <w:i/>
          <w:iCs/>
        </w:rPr>
        <w:t>Povacz</w:t>
      </w:r>
      <w:proofErr w:type="spellEnd"/>
      <w:r w:rsidRPr="00EC7ED5">
        <w:rPr>
          <w:i/>
          <w:iCs/>
        </w:rPr>
        <w:t xml:space="preserve"> I</w:t>
      </w:r>
      <w:r>
        <w:t xml:space="preserve"> consolidated opinion, the Commonwealth Court partially affirmed, and partially reversed and remanded, the Commission’s March 28, 2019, and May 9, 2019, Orders in Maria </w:t>
      </w:r>
      <w:proofErr w:type="spellStart"/>
      <w:r>
        <w:t>Povacz</w:t>
      </w:r>
      <w:proofErr w:type="spellEnd"/>
      <w:r>
        <w:t xml:space="preserve">, Laura Sunstein Murphy, and Cynthia Randall.  </w:t>
      </w:r>
      <w:proofErr w:type="spellStart"/>
      <w:r w:rsidRPr="00F07339">
        <w:rPr>
          <w:i/>
          <w:iCs/>
        </w:rPr>
        <w:t>Povacz</w:t>
      </w:r>
      <w:proofErr w:type="spellEnd"/>
      <w:r w:rsidRPr="00F07339">
        <w:rPr>
          <w:i/>
          <w:iCs/>
        </w:rPr>
        <w:t xml:space="preserve"> I</w:t>
      </w:r>
      <w:r>
        <w:t xml:space="preserve"> at 495.  Specifically, the Commonwealth Court, in </w:t>
      </w:r>
      <w:proofErr w:type="spellStart"/>
      <w:r w:rsidRPr="00E50CEA">
        <w:rPr>
          <w:i/>
          <w:iCs/>
        </w:rPr>
        <w:t>Povacz</w:t>
      </w:r>
      <w:proofErr w:type="spellEnd"/>
      <w:r w:rsidRPr="00E50CEA">
        <w:rPr>
          <w:i/>
          <w:iCs/>
        </w:rPr>
        <w:t xml:space="preserve"> I</w:t>
      </w:r>
      <w:r>
        <w:t>, held that Act 129 does not mandate the installation of smart meters, and that the Commission had the authority to grant customers accommodations based on their health concerns.</w:t>
      </w:r>
      <w:r>
        <w:rPr>
          <w:rStyle w:val="FootnoteReference"/>
        </w:rPr>
        <w:footnoteReference w:id="2"/>
      </w:r>
      <w:r>
        <w:t xml:space="preserve">   </w:t>
      </w:r>
    </w:p>
    <w:p w14:paraId="66EFCACC" w14:textId="77777777" w:rsidR="00A93F9E" w:rsidRDefault="00A93F9E" w:rsidP="00A93F9E">
      <w:pPr>
        <w:pStyle w:val="ListNumber"/>
        <w:numPr>
          <w:ilvl w:val="0"/>
          <w:numId w:val="0"/>
        </w:numPr>
        <w:spacing w:line="360" w:lineRule="auto"/>
        <w:ind w:firstLine="1440"/>
        <w:jc w:val="left"/>
      </w:pPr>
    </w:p>
    <w:p w14:paraId="1843D9DD" w14:textId="77777777" w:rsidR="00A93F9E" w:rsidRPr="0030330E" w:rsidRDefault="00A93F9E" w:rsidP="00A93F9E">
      <w:pPr>
        <w:pStyle w:val="ListNumber"/>
        <w:numPr>
          <w:ilvl w:val="0"/>
          <w:numId w:val="0"/>
        </w:numPr>
        <w:spacing w:line="360" w:lineRule="auto"/>
        <w:ind w:firstLine="1440"/>
        <w:jc w:val="left"/>
      </w:pPr>
      <w:r>
        <w:t xml:space="preserve">In light of the Commonwealth Court’s decision in </w:t>
      </w:r>
      <w:proofErr w:type="spellStart"/>
      <w:r w:rsidRPr="00E50CEA">
        <w:rPr>
          <w:i/>
          <w:iCs/>
        </w:rPr>
        <w:t>Povacz</w:t>
      </w:r>
      <w:proofErr w:type="spellEnd"/>
      <w:r w:rsidRPr="00E50CEA">
        <w:rPr>
          <w:i/>
          <w:iCs/>
        </w:rPr>
        <w:t xml:space="preserve"> I</w:t>
      </w:r>
      <w:r>
        <w:t xml:space="preserve">, the Commission entered an Order and Notice, at Docket No. M-2009-2092655, on November 4, 2020, pursuant to </w:t>
      </w:r>
      <w:r>
        <w:lastRenderedPageBreak/>
        <w:t>66 Pa. C.S. § 501, instituting a stay of certain formal complaint proceedings then-pending before the Commission involving challenges to EDC deployment of smart meter technology as being in violation of Section 1501 of the Code (</w:t>
      </w:r>
      <w:r w:rsidRPr="00861276">
        <w:rPr>
          <w:i/>
          <w:iCs/>
        </w:rPr>
        <w:t>November 4, 2020, Stay Order</w:t>
      </w:r>
      <w:r>
        <w:t xml:space="preserve">).  </w:t>
      </w:r>
      <w:r w:rsidRPr="000348A7">
        <w:rPr>
          <w:i/>
          <w:iCs/>
        </w:rPr>
        <w:t>The November 4, 2020, Stay Order</w:t>
      </w:r>
      <w: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861276">
        <w:rPr>
          <w:i/>
          <w:iCs/>
        </w:rPr>
        <w:t>November 4, 2020, Stay Order</w:t>
      </w:r>
      <w:r>
        <w:rPr>
          <w:i/>
          <w:iCs/>
        </w:rPr>
        <w:t xml:space="preserve"> </w:t>
      </w:r>
      <w:r>
        <w:t>applied to and was docketed at the instant case.</w:t>
      </w:r>
    </w:p>
    <w:p w14:paraId="7E09C062" w14:textId="77777777" w:rsidR="00A93F9E" w:rsidRDefault="00A93F9E" w:rsidP="00A93F9E">
      <w:pPr>
        <w:pStyle w:val="ListNumber"/>
        <w:numPr>
          <w:ilvl w:val="0"/>
          <w:numId w:val="0"/>
        </w:numPr>
        <w:spacing w:line="360" w:lineRule="auto"/>
        <w:ind w:firstLine="1440"/>
        <w:jc w:val="left"/>
      </w:pPr>
    </w:p>
    <w:p w14:paraId="57266C48" w14:textId="77777777" w:rsidR="00A93F9E" w:rsidRDefault="00A93F9E" w:rsidP="00A93F9E">
      <w:pPr>
        <w:pStyle w:val="ListNumber"/>
        <w:numPr>
          <w:ilvl w:val="0"/>
          <w:numId w:val="0"/>
        </w:numPr>
        <w:spacing w:line="360" w:lineRule="auto"/>
        <w:ind w:firstLine="1440"/>
        <w:jc w:val="left"/>
        <w:rPr>
          <w:rFonts w:eastAsia="Calibri"/>
          <w:szCs w:val="24"/>
        </w:rPr>
      </w:pPr>
      <w:r>
        <w:t xml:space="preserve">The Commission, as well as all other parties in </w:t>
      </w:r>
      <w:proofErr w:type="spellStart"/>
      <w:r w:rsidRPr="00DF112E">
        <w:rPr>
          <w:i/>
          <w:iCs/>
        </w:rPr>
        <w:t>Povacz</w:t>
      </w:r>
      <w:proofErr w:type="spellEnd"/>
      <w:r w:rsidRPr="00DF112E">
        <w:rPr>
          <w:i/>
          <w:iCs/>
        </w:rPr>
        <w:t xml:space="preserve"> I</w:t>
      </w:r>
      <w:r>
        <w:t xml:space="preserve"> subsequently sought and were granted review of the Commonwealth Court’s </w:t>
      </w:r>
      <w:proofErr w:type="spellStart"/>
      <w:r w:rsidRPr="00DF112E">
        <w:rPr>
          <w:i/>
          <w:iCs/>
        </w:rPr>
        <w:t>Povacz</w:t>
      </w:r>
      <w:proofErr w:type="spellEnd"/>
      <w:r w:rsidRPr="00DF112E">
        <w:rPr>
          <w:i/>
          <w:iCs/>
        </w:rPr>
        <w:t xml:space="preserve"> I</w:t>
      </w:r>
      <w:r>
        <w:t xml:space="preserve"> decision by the Supreme Court of Pennsylvania.</w:t>
      </w:r>
    </w:p>
    <w:p w14:paraId="7814E995" w14:textId="77777777" w:rsidR="00A93F9E" w:rsidRDefault="00A93F9E" w:rsidP="00A93F9E">
      <w:pPr>
        <w:pStyle w:val="ListNumber"/>
        <w:numPr>
          <w:ilvl w:val="0"/>
          <w:numId w:val="0"/>
        </w:numPr>
        <w:spacing w:line="360" w:lineRule="auto"/>
        <w:ind w:firstLine="1440"/>
        <w:jc w:val="left"/>
        <w:rPr>
          <w:rFonts w:eastAsia="Calibri"/>
          <w:szCs w:val="24"/>
        </w:rPr>
      </w:pPr>
    </w:p>
    <w:p w14:paraId="450DA13E" w14:textId="393F58E5" w:rsidR="00A93F9E" w:rsidRDefault="00A93F9E" w:rsidP="00A93F9E">
      <w:pPr>
        <w:pStyle w:val="ListNumber"/>
        <w:numPr>
          <w:ilvl w:val="0"/>
          <w:numId w:val="0"/>
        </w:numPr>
        <w:spacing w:line="360" w:lineRule="auto"/>
        <w:ind w:firstLine="1440"/>
        <w:jc w:val="left"/>
        <w:rPr>
          <w:i/>
          <w:iCs/>
        </w:rPr>
      </w:pPr>
      <w:r>
        <w:t xml:space="preserve">On August 16, 2022, the Supreme Court issued its Opinion in </w:t>
      </w:r>
      <w:proofErr w:type="spellStart"/>
      <w:r w:rsidRPr="0047302F">
        <w:rPr>
          <w:i/>
          <w:iCs/>
        </w:rPr>
        <w:t>Povacz</w:t>
      </w:r>
      <w:proofErr w:type="spellEnd"/>
      <w:r w:rsidRPr="0047302F">
        <w:rPr>
          <w:i/>
          <w:iCs/>
        </w:rPr>
        <w:t xml:space="preserve"> II</w:t>
      </w:r>
      <w:r>
        <w:t>, affirming 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Pa.C.S. § 1501.  The Supreme Court did, however, affirm the Commonwealth Court’s conclusion that the “Customers failed to meet their burden of proving, by a preponderance of the evidence</w:t>
      </w:r>
      <w:r w:rsidRPr="00B07415">
        <w:t>, a conclusive causal connection</w:t>
      </w:r>
      <w:r>
        <w:t xml:space="preserve"> between [radio frequency] emissions from smart meters and adverse human health effects.</w:t>
      </w:r>
      <w:r>
        <w:rPr>
          <w:rStyle w:val="FootnoteReference"/>
        </w:rPr>
        <w:footnoteReference w:id="3"/>
      </w:r>
      <w:r>
        <w:t xml:space="preserve">     </w:t>
      </w:r>
    </w:p>
    <w:p w14:paraId="36EFAD47" w14:textId="77777777" w:rsidR="00A93F9E" w:rsidRDefault="00A93F9E" w:rsidP="00A93F9E">
      <w:pPr>
        <w:pStyle w:val="ListNumber"/>
        <w:numPr>
          <w:ilvl w:val="0"/>
          <w:numId w:val="0"/>
        </w:numPr>
        <w:spacing w:line="360" w:lineRule="auto"/>
        <w:ind w:firstLine="1440"/>
        <w:jc w:val="left"/>
        <w:rPr>
          <w:i/>
          <w:iCs/>
        </w:rPr>
      </w:pPr>
    </w:p>
    <w:p w14:paraId="23D749E5" w14:textId="6AB14CE5" w:rsidR="00A93F9E" w:rsidRPr="009433E0" w:rsidRDefault="00A93F9E" w:rsidP="00A93F9E">
      <w:pPr>
        <w:pStyle w:val="ListNumber"/>
        <w:numPr>
          <w:ilvl w:val="0"/>
          <w:numId w:val="0"/>
        </w:numPr>
        <w:spacing w:line="360" w:lineRule="auto"/>
        <w:ind w:firstLine="1440"/>
        <w:jc w:val="left"/>
      </w:pPr>
      <w:r>
        <w:t xml:space="preserve">The Supreme Court noted that while Act 129 does not provide customers with the right to opt-out of smart meter installation at their residence, they may file a complaint with the Commission raising a claim that installation of a smart meter violates Section 1501 of the Code, 66 Pa.C.S. § 1501.    </w:t>
      </w:r>
    </w:p>
    <w:p w14:paraId="153AAC83" w14:textId="77777777" w:rsidR="00A93F9E" w:rsidRDefault="00A93F9E" w:rsidP="00A93F9E">
      <w:pPr>
        <w:pStyle w:val="ListNumber"/>
        <w:numPr>
          <w:ilvl w:val="0"/>
          <w:numId w:val="0"/>
        </w:numPr>
        <w:spacing w:line="360" w:lineRule="auto"/>
        <w:ind w:firstLine="1440"/>
        <w:jc w:val="left"/>
        <w:rPr>
          <w:i/>
          <w:iCs/>
        </w:rPr>
      </w:pPr>
    </w:p>
    <w:p w14:paraId="06F8DAA9" w14:textId="3842AE72" w:rsidR="00A93F9E" w:rsidRDefault="00A93F9E" w:rsidP="00A93F9E">
      <w:pPr>
        <w:pStyle w:val="ListNumber"/>
        <w:numPr>
          <w:ilvl w:val="0"/>
          <w:numId w:val="0"/>
        </w:numPr>
        <w:spacing w:line="360" w:lineRule="auto"/>
        <w:ind w:firstLine="1440"/>
        <w:jc w:val="left"/>
      </w:pPr>
      <w:r>
        <w:t xml:space="preserve">   </w:t>
      </w:r>
      <w:r w:rsidRPr="008154DF">
        <w:rPr>
          <w:i/>
          <w:iCs/>
        </w:rPr>
        <w:t xml:space="preserve">  </w:t>
      </w:r>
      <w:r>
        <w:rPr>
          <w:i/>
          <w:iCs/>
        </w:rPr>
        <w:t xml:space="preserve"> </w:t>
      </w:r>
    </w:p>
    <w:p w14:paraId="13E93A4C" w14:textId="77777777" w:rsidR="00A93F9E" w:rsidRDefault="00A93F9E" w:rsidP="00A93F9E">
      <w:pPr>
        <w:pStyle w:val="ListNumber"/>
        <w:numPr>
          <w:ilvl w:val="0"/>
          <w:numId w:val="0"/>
        </w:numPr>
        <w:spacing w:line="360" w:lineRule="auto"/>
        <w:ind w:firstLine="1440"/>
        <w:jc w:val="left"/>
      </w:pPr>
    </w:p>
    <w:p w14:paraId="756E3239" w14:textId="77777777" w:rsidR="00A93F9E" w:rsidRDefault="00A93F9E" w:rsidP="00A93F9E">
      <w:pPr>
        <w:pStyle w:val="ListNumber"/>
        <w:numPr>
          <w:ilvl w:val="0"/>
          <w:numId w:val="0"/>
        </w:numPr>
        <w:spacing w:line="360" w:lineRule="auto"/>
        <w:ind w:firstLine="1440"/>
        <w:jc w:val="left"/>
        <w:rPr>
          <w:i/>
          <w:iCs/>
        </w:rPr>
      </w:pPr>
      <w:r>
        <w:lastRenderedPageBreak/>
        <w:t xml:space="preserve">Given the Supreme Court’s decision in </w:t>
      </w:r>
      <w:proofErr w:type="spellStart"/>
      <w:r w:rsidRPr="00256FD6">
        <w:rPr>
          <w:i/>
          <w:iCs/>
        </w:rPr>
        <w:t>Povacz</w:t>
      </w:r>
      <w:proofErr w:type="spellEnd"/>
      <w:r w:rsidRPr="00256FD6">
        <w:rPr>
          <w:i/>
          <w:iCs/>
        </w:rPr>
        <w:t xml:space="preserve"> II</w:t>
      </w:r>
      <w:r>
        <w:t xml:space="preserve">, the Commission lifted the stay implemented by the </w:t>
      </w:r>
      <w:r w:rsidRPr="00DC0FF2">
        <w:rPr>
          <w:i/>
          <w:iCs/>
        </w:rPr>
        <w:t>November 4, 2020</w:t>
      </w:r>
      <w:r>
        <w:rPr>
          <w:i/>
          <w:iCs/>
        </w:rPr>
        <w:t>,</w:t>
      </w:r>
      <w:r w:rsidRPr="00DC0FF2">
        <w:rPr>
          <w:i/>
          <w:iCs/>
        </w:rPr>
        <w:t xml:space="preserve"> Stay Order</w:t>
      </w:r>
      <w:r>
        <w:t xml:space="preserve"> on November 9, 2023.  The Commission entered an Order at Docket No. M-2009-2092655, explaining that cases pending before the Office of Administrative Law Judge, such as the instant case, would proceed as directed by the assigned presiding officer. </w:t>
      </w:r>
    </w:p>
    <w:p w14:paraId="1F89B2E3" w14:textId="77777777" w:rsidR="00A93F9E" w:rsidRDefault="00A93F9E" w:rsidP="00A93F9E">
      <w:pPr>
        <w:pStyle w:val="ListNumber"/>
        <w:numPr>
          <w:ilvl w:val="0"/>
          <w:numId w:val="0"/>
        </w:numPr>
        <w:spacing w:line="360" w:lineRule="auto"/>
        <w:ind w:firstLine="1440"/>
        <w:jc w:val="left"/>
        <w:rPr>
          <w:i/>
          <w:iCs/>
        </w:rPr>
      </w:pPr>
    </w:p>
    <w:p w14:paraId="383256AE" w14:textId="7B3EAEF7" w:rsidR="00A93F9E" w:rsidRDefault="00A93F9E" w:rsidP="00A93F9E">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T</w:t>
      </w:r>
      <w:r>
        <w:t xml:space="preserve">he Commission entered an Order and Notice, at Docket No. M-2009-2092655, staying the proceeding, on November 4, 2020.  The stay was lifted by Order of the Commission on November 9, 2023.     Under the circumstances, </w:t>
      </w:r>
      <w:r>
        <w:rPr>
          <w:rFonts w:eastAsia="Calibri"/>
          <w:szCs w:val="24"/>
        </w:rPr>
        <w:t xml:space="preserve">it is appropriate to provide the parties with a briefing schedule to file briefs and to consider appropriate requests for relief, if any, and to proceed with the disposition of this proceeding consistent with the Commonwealth Court and Supreme Court rulings discussed above.  </w:t>
      </w:r>
    </w:p>
    <w:p w14:paraId="7E341475" w14:textId="77777777" w:rsidR="00A93F9E" w:rsidRDefault="00A93F9E" w:rsidP="00A93F9E">
      <w:pPr>
        <w:pStyle w:val="ListNumber"/>
        <w:numPr>
          <w:ilvl w:val="0"/>
          <w:numId w:val="0"/>
        </w:numPr>
        <w:spacing w:line="360" w:lineRule="auto"/>
        <w:ind w:firstLine="1440"/>
        <w:jc w:val="left"/>
        <w:rPr>
          <w:rFonts w:eastAsia="Calibri"/>
          <w:szCs w:val="24"/>
        </w:rPr>
      </w:pPr>
    </w:p>
    <w:p w14:paraId="75E4E7E7" w14:textId="4E627F76" w:rsidR="008158C6" w:rsidRDefault="008158C6" w:rsidP="00A93F9E">
      <w:pPr>
        <w:pStyle w:val="ListNumber"/>
        <w:numPr>
          <w:ilvl w:val="0"/>
          <w:numId w:val="0"/>
        </w:numPr>
        <w:spacing w:line="360" w:lineRule="auto"/>
        <w:ind w:firstLine="1440"/>
        <w:jc w:val="left"/>
        <w:rPr>
          <w:rFonts w:eastAsia="Calibri"/>
          <w:szCs w:val="24"/>
        </w:rPr>
      </w:pPr>
      <w:r>
        <w:rPr>
          <w:rFonts w:eastAsia="Calibri"/>
          <w:szCs w:val="24"/>
        </w:rPr>
        <w:t xml:space="preserve">On November 27, 2023, an interim order was entered permitting the parties to  </w:t>
      </w:r>
    </w:p>
    <w:p w14:paraId="30A21E00" w14:textId="60F3D89C" w:rsidR="008158C6" w:rsidRDefault="008158C6" w:rsidP="00AC6F89">
      <w:pPr>
        <w:spacing w:after="0"/>
      </w:pPr>
      <w:r>
        <w:t xml:space="preserve">file main </w:t>
      </w:r>
      <w:r w:rsidRPr="00564E22">
        <w:t>briefs</w:t>
      </w:r>
      <w:r>
        <w:t xml:space="preserve"> and </w:t>
      </w:r>
      <w:r w:rsidRPr="004A7560">
        <w:t xml:space="preserve">any other appropriate requests for relief, </w:t>
      </w:r>
      <w:r>
        <w:t>on or before January 17, 2024</w:t>
      </w:r>
      <w:r w:rsidRPr="00564E22">
        <w:t>.</w:t>
      </w:r>
      <w:r>
        <w:t xml:space="preserve">  The order further provided that </w:t>
      </w:r>
      <w:r w:rsidR="00500517">
        <w:t xml:space="preserve">a </w:t>
      </w:r>
      <w:r w:rsidR="00500517" w:rsidRPr="008158C6">
        <w:rPr>
          <w:szCs w:val="24"/>
        </w:rPr>
        <w:t>copy</w:t>
      </w:r>
      <w:r w:rsidRPr="008158C6">
        <w:rPr>
          <w:szCs w:val="24"/>
        </w:rPr>
        <w:t xml:space="preserve"> of all briefs</w:t>
      </w:r>
      <w:r>
        <w:rPr>
          <w:szCs w:val="24"/>
        </w:rPr>
        <w:t xml:space="preserve">, </w:t>
      </w:r>
      <w:r w:rsidRPr="00564E22">
        <w:t xml:space="preserve">documents </w:t>
      </w:r>
      <w:r>
        <w:t xml:space="preserve">or </w:t>
      </w:r>
      <w:r w:rsidRPr="00564E22">
        <w:t>request</w:t>
      </w:r>
      <w:r>
        <w:t>s</w:t>
      </w:r>
      <w:r w:rsidRPr="00564E22">
        <w:t xml:space="preserve"> for relief must be sent to </w:t>
      </w:r>
      <w:r>
        <w:t xml:space="preserve">the </w:t>
      </w:r>
      <w:r w:rsidRPr="00564E22">
        <w:t>legal assistant</w:t>
      </w:r>
      <w:r>
        <w:t xml:space="preserve"> for the undersigned presiding officer, </w:t>
      </w:r>
      <w:r w:rsidRPr="00564E22">
        <w:t>by email</w:t>
      </w:r>
      <w:r>
        <w:t xml:space="preserve">, </w:t>
      </w:r>
      <w:r w:rsidRPr="00564E22">
        <w:t>to every party.</w:t>
      </w:r>
    </w:p>
    <w:p w14:paraId="182A1088" w14:textId="77777777" w:rsidR="008158C6" w:rsidRDefault="008158C6" w:rsidP="00AC6F89">
      <w:pPr>
        <w:spacing w:after="0"/>
      </w:pPr>
    </w:p>
    <w:p w14:paraId="2D9C891B" w14:textId="09CC4EC3" w:rsidR="008158C6" w:rsidRDefault="008158C6" w:rsidP="00AC6F89">
      <w:pPr>
        <w:spacing w:after="0"/>
        <w:ind w:firstLine="1440"/>
      </w:pPr>
      <w:r>
        <w:t xml:space="preserve">On January 16, 2023, Complainant provided an email to the legal assistant of the undersigned presiding officer along with a </w:t>
      </w:r>
      <w:r w:rsidR="00670EC6">
        <w:t>one-page</w:t>
      </w:r>
      <w:r>
        <w:t xml:space="preserve"> letter and a </w:t>
      </w:r>
      <w:r w:rsidR="00670EC6">
        <w:t>two-page</w:t>
      </w:r>
      <w:r>
        <w:t xml:space="preserve"> attachment.</w:t>
      </w:r>
      <w:r w:rsidRPr="00564E22">
        <w:t> </w:t>
      </w:r>
    </w:p>
    <w:p w14:paraId="345C6E97" w14:textId="77777777" w:rsidR="008158C6" w:rsidRDefault="00670EC6" w:rsidP="003438BC">
      <w:pPr>
        <w:spacing w:after="0"/>
      </w:pPr>
      <w:r>
        <w:t>The one-page letter appears to be a summary of the argument to support Complainant’s Complaint.  The two-page article attached to the letter appears to be a newspaper or magazine article entitled “EMF The Invisible Hazard”.  The documents were provided by email directed to the legal assistant to the undersigned presiding officer and does not indicate that the attachments were filed or that a copy was provided to counsel for Respondent.</w:t>
      </w:r>
    </w:p>
    <w:p w14:paraId="68559AAE" w14:textId="77777777" w:rsidR="003438BC" w:rsidRDefault="003438BC" w:rsidP="003438BC">
      <w:pPr>
        <w:spacing w:after="0"/>
      </w:pPr>
    </w:p>
    <w:p w14:paraId="77699E9C" w14:textId="371C05DD" w:rsidR="00B43CAB" w:rsidRDefault="00B43CAB" w:rsidP="003438BC">
      <w:pPr>
        <w:spacing w:after="0"/>
        <w:ind w:firstLine="1440"/>
      </w:pPr>
      <w:r>
        <w:t xml:space="preserve">Under the circumstances, </w:t>
      </w:r>
      <w:proofErr w:type="gramStart"/>
      <w:r>
        <w:t>the email</w:t>
      </w:r>
      <w:proofErr w:type="gramEnd"/>
      <w:r>
        <w:t xml:space="preserve"> communication will be treated as a cover page and the one-page letter from Complainant will be treated as argument, specifically as the main brief for Complainant.  The </w:t>
      </w:r>
      <w:r w:rsidR="00500517">
        <w:t>two-page</w:t>
      </w:r>
      <w:r>
        <w:t xml:space="preserve"> article will be treated as an attachment to the main brief of Complainant.  </w:t>
      </w:r>
    </w:p>
    <w:p w14:paraId="79A0237C" w14:textId="77777777" w:rsidR="00B43CAB" w:rsidRDefault="00B43CAB" w:rsidP="00B53328">
      <w:pPr>
        <w:spacing w:after="0"/>
      </w:pPr>
    </w:p>
    <w:p w14:paraId="129C0651" w14:textId="1C961CB9" w:rsidR="00B43CAB" w:rsidRDefault="00B43CAB" w:rsidP="003438BC">
      <w:pPr>
        <w:ind w:firstLine="1440"/>
      </w:pPr>
      <w:r>
        <w:lastRenderedPageBreak/>
        <w:t>Accordingly, the following order will be entered.</w:t>
      </w:r>
    </w:p>
    <w:p w14:paraId="02C72213" w14:textId="77777777" w:rsidR="008158C6" w:rsidRDefault="008158C6" w:rsidP="007639C6">
      <w:pPr>
        <w:pStyle w:val="ListNumber"/>
        <w:numPr>
          <w:ilvl w:val="0"/>
          <w:numId w:val="0"/>
        </w:numPr>
        <w:spacing w:line="360" w:lineRule="auto"/>
        <w:ind w:firstLine="1440"/>
        <w:jc w:val="center"/>
        <w:rPr>
          <w:rFonts w:eastAsia="Calibri"/>
          <w:szCs w:val="24"/>
        </w:rPr>
      </w:pPr>
    </w:p>
    <w:p w14:paraId="1384CC89" w14:textId="77777777" w:rsidR="008158C6" w:rsidRDefault="008158C6" w:rsidP="00A93F9E">
      <w:pPr>
        <w:pStyle w:val="ListNumber"/>
        <w:numPr>
          <w:ilvl w:val="0"/>
          <w:numId w:val="0"/>
        </w:numPr>
        <w:spacing w:line="360" w:lineRule="auto"/>
        <w:ind w:firstLine="1440"/>
        <w:jc w:val="left"/>
        <w:rPr>
          <w:rFonts w:eastAsia="Calibri"/>
          <w:szCs w:val="24"/>
        </w:rPr>
      </w:pPr>
    </w:p>
    <w:p w14:paraId="4D0D5084" w14:textId="23BB9847" w:rsidR="00A93F9E" w:rsidRDefault="008158C6" w:rsidP="00A93F9E">
      <w:pPr>
        <w:spacing w:after="0"/>
        <w:ind w:left="720" w:firstLine="720"/>
        <w:rPr>
          <w:rFonts w:cs="Times New Roman"/>
          <w:szCs w:val="24"/>
        </w:rPr>
      </w:pPr>
      <w:r>
        <w:rPr>
          <w:rFonts w:cs="Times New Roman"/>
          <w:szCs w:val="24"/>
        </w:rPr>
        <w:t>T</w:t>
      </w:r>
      <w:r w:rsidR="00A93F9E">
        <w:rPr>
          <w:rFonts w:cs="Times New Roman"/>
          <w:szCs w:val="24"/>
        </w:rPr>
        <w:t xml:space="preserve">HEREFORE, </w:t>
      </w:r>
    </w:p>
    <w:p w14:paraId="12D6B564" w14:textId="77777777" w:rsidR="00A93F9E" w:rsidRDefault="00A93F9E" w:rsidP="00A93F9E">
      <w:pPr>
        <w:spacing w:after="0"/>
        <w:rPr>
          <w:rFonts w:cs="Times New Roman"/>
          <w:szCs w:val="24"/>
        </w:rPr>
      </w:pPr>
    </w:p>
    <w:p w14:paraId="51F98436" w14:textId="77777777" w:rsidR="00A93F9E" w:rsidRDefault="00A93F9E" w:rsidP="00A93F9E">
      <w:pPr>
        <w:spacing w:after="0"/>
        <w:rPr>
          <w:rFonts w:cs="Times New Roman"/>
          <w:szCs w:val="24"/>
        </w:rPr>
      </w:pPr>
      <w:r>
        <w:rPr>
          <w:rFonts w:cs="Times New Roman"/>
          <w:szCs w:val="24"/>
        </w:rPr>
        <w:tab/>
      </w:r>
      <w:r>
        <w:rPr>
          <w:rFonts w:cs="Times New Roman"/>
          <w:szCs w:val="24"/>
        </w:rPr>
        <w:tab/>
        <w:t>IT IS ORDERED:</w:t>
      </w:r>
    </w:p>
    <w:p w14:paraId="6C51DF03" w14:textId="77777777" w:rsidR="00A93F9E" w:rsidRDefault="00A93F9E" w:rsidP="00A93F9E">
      <w:pPr>
        <w:spacing w:after="0"/>
        <w:rPr>
          <w:rFonts w:cs="Times New Roman"/>
          <w:szCs w:val="24"/>
        </w:rPr>
      </w:pPr>
    </w:p>
    <w:p w14:paraId="0ADAED15" w14:textId="2B3F2797" w:rsidR="00E91468" w:rsidRDefault="00A93F9E" w:rsidP="00E91468">
      <w:pPr>
        <w:pStyle w:val="ListParagraph"/>
        <w:ind w:left="0" w:firstLine="1440"/>
      </w:pPr>
      <w:r w:rsidRPr="00564E22">
        <w:t xml:space="preserve">That the </w:t>
      </w:r>
      <w:r w:rsidR="007639C6">
        <w:t xml:space="preserve">one-page letter from Complainant provided by Complainant to the office of the undersigned presiding officer on January 16, </w:t>
      </w:r>
      <w:r w:rsidR="00E91468">
        <w:t>2024,</w:t>
      </w:r>
      <w:r w:rsidR="007639C6">
        <w:t xml:space="preserve"> will be treated as  the main brief for Complainant and the  two page article will be treated as an attachment to the main brief of Complainant.  The email message will be treated as a cover letter from Complainant.</w:t>
      </w:r>
    </w:p>
    <w:p w14:paraId="6399881C" w14:textId="77777777" w:rsidR="00E91468" w:rsidRDefault="00E91468" w:rsidP="00E91468"/>
    <w:p w14:paraId="774CCD84" w14:textId="6607967B" w:rsidR="007639C6" w:rsidRDefault="007639C6" w:rsidP="00E91468">
      <w:pPr>
        <w:pStyle w:val="ListParagraph"/>
        <w:ind w:left="0" w:firstLine="1440"/>
      </w:pPr>
      <w:r>
        <w:t xml:space="preserve">That Respondent may file any appropriate motions or objections to the main brief and attachment to the main brief </w:t>
      </w:r>
      <w:r w:rsidR="00A93F9E">
        <w:t xml:space="preserve">on or before </w:t>
      </w:r>
      <w:r w:rsidR="00866AE4">
        <w:t>February 5</w:t>
      </w:r>
      <w:r w:rsidR="00A93F9E">
        <w:t>, 2024</w:t>
      </w:r>
      <w:r w:rsidR="00A93F9E" w:rsidRPr="00564E22">
        <w:t>.</w:t>
      </w:r>
    </w:p>
    <w:p w14:paraId="48BD9816" w14:textId="77777777" w:rsidR="00E91468" w:rsidRDefault="00E91468" w:rsidP="00E91468">
      <w:pPr>
        <w:pStyle w:val="ListParagraph"/>
        <w:numPr>
          <w:ilvl w:val="0"/>
          <w:numId w:val="0"/>
        </w:numPr>
        <w:ind w:left="720"/>
      </w:pPr>
    </w:p>
    <w:p w14:paraId="6314D342" w14:textId="5F1CA7B0" w:rsidR="00A93F9E" w:rsidRDefault="007639C6" w:rsidP="00E91468">
      <w:pPr>
        <w:pStyle w:val="ListParagraph"/>
        <w:ind w:left="0" w:firstLine="1440"/>
      </w:pPr>
      <w:r>
        <w:t xml:space="preserve">That Complainant may file any response the objections or motion of Respondent, if any, </w:t>
      </w:r>
      <w:r w:rsidR="006C045C">
        <w:t xml:space="preserve">objecting to the main brief or attachment of Complainant, </w:t>
      </w:r>
      <w:r>
        <w:t>on or before</w:t>
      </w:r>
      <w:r w:rsidR="006C045C">
        <w:t xml:space="preserve"> February </w:t>
      </w:r>
      <w:r w:rsidR="00866AE4">
        <w:t>12</w:t>
      </w:r>
      <w:r w:rsidR="006C045C">
        <w:t>, 2024</w:t>
      </w:r>
      <w:r w:rsidR="00161413">
        <w:t xml:space="preserve">.  </w:t>
      </w:r>
      <w:r w:rsidR="006C045C">
        <w:t xml:space="preserve">That </w:t>
      </w:r>
      <w:r w:rsidR="00A93F9E" w:rsidRPr="00577A89">
        <w:t xml:space="preserve">electronic form of the </w:t>
      </w:r>
      <w:r w:rsidR="006C045C">
        <w:t>pleadings identified above</w:t>
      </w:r>
      <w:r w:rsidR="00A93F9E" w:rsidRPr="00577A89">
        <w:t xml:space="preserve"> shall be submitted to the undersigned Presiding Officer in WORD format.  </w:t>
      </w:r>
    </w:p>
    <w:p w14:paraId="30F96D82" w14:textId="77777777" w:rsidR="00A93F9E" w:rsidRPr="0065274D" w:rsidRDefault="00A93F9E" w:rsidP="00E91468">
      <w:pPr>
        <w:spacing w:after="0"/>
        <w:ind w:firstLine="1440"/>
      </w:pPr>
    </w:p>
    <w:p w14:paraId="6BEAE898" w14:textId="684F0903" w:rsidR="00A93F9E" w:rsidRDefault="00A93F9E" w:rsidP="00E91468">
      <w:pPr>
        <w:pStyle w:val="ListParagraph"/>
        <w:ind w:left="0" w:firstLine="1440"/>
      </w:pPr>
      <w:r w:rsidRPr="00564E22">
        <w:rPr>
          <w:szCs w:val="24"/>
        </w:rPr>
        <w:t xml:space="preserve">A copy of all </w:t>
      </w:r>
      <w:r w:rsidR="006C045C">
        <w:rPr>
          <w:szCs w:val="24"/>
        </w:rPr>
        <w:t xml:space="preserve">pleadings filed by any party </w:t>
      </w:r>
      <w:r w:rsidRPr="00564E22">
        <w:t xml:space="preserve">must be </w:t>
      </w:r>
      <w:r w:rsidR="006C045C">
        <w:t xml:space="preserve">filed with the Commission Secretary, and </w:t>
      </w:r>
      <w:r w:rsidR="007D7D95">
        <w:t>me at</w:t>
      </w:r>
      <w:r w:rsidR="00E91468">
        <w:t xml:space="preserve"> Jeffrey A. Watson, Presiding Officer, </w:t>
      </w:r>
      <w:hyperlink r:id="rId7" w:history="1">
        <w:r w:rsidR="00E91468" w:rsidRPr="00B93AAB">
          <w:rPr>
            <w:rStyle w:val="Hyperlink"/>
            <w:rFonts w:eastAsia="Times New Roman"/>
          </w:rPr>
          <w:t>jeffwatson@pa.gov</w:t>
        </w:r>
      </w:hyperlink>
      <w:r w:rsidR="00E91468">
        <w:rPr>
          <w:rFonts w:eastAsia="Times New Roman"/>
        </w:rPr>
        <w:t xml:space="preserve"> </w:t>
      </w:r>
      <w:r w:rsidRPr="00564E22">
        <w:rPr>
          <w:u w:val="single"/>
        </w:rPr>
        <w:t>with a copy of the email transmission and attachments copied by email</w:t>
      </w:r>
      <w:r w:rsidRPr="00564E22">
        <w:t xml:space="preserve"> to every other party</w:t>
      </w:r>
      <w:r w:rsidR="006C045C">
        <w:t>, or their legal counsel, if represented</w:t>
      </w:r>
      <w:r w:rsidRPr="00564E22">
        <w:t>. </w:t>
      </w:r>
    </w:p>
    <w:p w14:paraId="0422B181" w14:textId="77777777" w:rsidR="006C045C" w:rsidRDefault="006C045C" w:rsidP="00BB229A">
      <w:pPr>
        <w:spacing w:after="0"/>
        <w:ind w:left="720"/>
      </w:pPr>
    </w:p>
    <w:p w14:paraId="6CD613A7" w14:textId="77777777" w:rsidR="006C045C" w:rsidRDefault="006C045C" w:rsidP="00165212">
      <w:pPr>
        <w:pStyle w:val="ListParagraph"/>
        <w:ind w:left="0" w:firstLine="1440"/>
      </w:pPr>
      <w:r>
        <w:t xml:space="preserve">In addition, a certificate of service must be filed with the Commission Secretary and served upon the parties and the undersigned presiding officer contemporaneously with the filing of the pleading.  </w:t>
      </w:r>
    </w:p>
    <w:p w14:paraId="4966AF33" w14:textId="77777777" w:rsidR="007D7D95" w:rsidRDefault="007D7D95" w:rsidP="007D7D95">
      <w:pPr>
        <w:pStyle w:val="ListParagraph"/>
        <w:numPr>
          <w:ilvl w:val="0"/>
          <w:numId w:val="0"/>
        </w:numPr>
        <w:ind w:left="720"/>
      </w:pPr>
    </w:p>
    <w:p w14:paraId="19C5EF71" w14:textId="7EFEC8B2" w:rsidR="00A93F9E" w:rsidRDefault="006C045C" w:rsidP="00165212">
      <w:pPr>
        <w:pStyle w:val="ListParagraph"/>
        <w:ind w:left="0" w:firstLine="1440"/>
      </w:pPr>
      <w:r>
        <w:lastRenderedPageBreak/>
        <w:t xml:space="preserve">That no consideration will be given to any pleading or other communication that is not filed with the Commission Secretary and served upon the opposing party and the undersigned presiding officer as directed above. </w:t>
      </w:r>
    </w:p>
    <w:p w14:paraId="158E3C5C" w14:textId="77777777" w:rsidR="007D7D95" w:rsidRDefault="007D7D95" w:rsidP="007D7D95">
      <w:pPr>
        <w:pStyle w:val="ListParagraph"/>
        <w:numPr>
          <w:ilvl w:val="0"/>
          <w:numId w:val="0"/>
        </w:numPr>
        <w:ind w:left="720"/>
      </w:pPr>
    </w:p>
    <w:p w14:paraId="04A6D348" w14:textId="54EDF10C" w:rsidR="00A93F9E" w:rsidRPr="004A7560" w:rsidRDefault="006C045C" w:rsidP="00165212">
      <w:pPr>
        <w:pStyle w:val="ListParagraph"/>
        <w:ind w:left="0" w:firstLine="1440"/>
        <w:rPr>
          <w:b/>
          <w:bCs/>
        </w:rPr>
      </w:pPr>
      <w:r>
        <w:t>I</w:t>
      </w:r>
      <w:r w:rsidR="00A93F9E" w:rsidRPr="004A7560">
        <w:t>n addition, any document that you file or any request for relief filed in this proceeding must be sent electronically to the undersigned presiding officer, directed to</w:t>
      </w:r>
      <w:r w:rsidR="00F508C9">
        <w:t xml:space="preserve"> Jeffrey A. Watson</w:t>
      </w:r>
      <w:r w:rsidR="001B224C">
        <w:t xml:space="preserve">, Presiding Officer, at </w:t>
      </w:r>
      <w:hyperlink r:id="rId8" w:history="1">
        <w:r w:rsidR="001B224C" w:rsidRPr="00B93AAB">
          <w:rPr>
            <w:rStyle w:val="Hyperlink"/>
            <w:rFonts w:eastAsia="Times New Roman"/>
          </w:rPr>
          <w:t>jeffwatson@pa.gov</w:t>
        </w:r>
      </w:hyperlink>
      <w:r w:rsidR="001B224C">
        <w:rPr>
          <w:rFonts w:eastAsia="Times New Roman"/>
        </w:rPr>
        <w:t xml:space="preserve">. </w:t>
      </w:r>
      <w:r w:rsidR="00A93F9E" w:rsidRPr="004A7560">
        <w:t xml:space="preserve"> All parties must be copied on any emails sent to me. </w:t>
      </w:r>
    </w:p>
    <w:p w14:paraId="0F042B01" w14:textId="77777777" w:rsidR="00A93F9E" w:rsidRPr="00564E22" w:rsidRDefault="00A93F9E" w:rsidP="00A93F9E">
      <w:pPr>
        <w:ind w:left="1440"/>
      </w:pPr>
    </w:p>
    <w:p w14:paraId="2DF28188" w14:textId="1E46EB32" w:rsidR="00A93F9E" w:rsidRPr="001B10F2" w:rsidRDefault="00A93F9E" w:rsidP="00A93F9E">
      <w:pPr>
        <w:widowControl w:val="0"/>
        <w:tabs>
          <w:tab w:val="left" w:pos="0"/>
        </w:tabs>
        <w:autoSpaceDE w:val="0"/>
        <w:autoSpaceDN w:val="0"/>
        <w:adjustRightInd w:val="0"/>
        <w:spacing w:after="0" w:line="240" w:lineRule="auto"/>
        <w:jc w:val="both"/>
        <w:rPr>
          <w:rFonts w:eastAsia="Times New Roman" w:cs="Times New Roman"/>
          <w:szCs w:val="24"/>
        </w:rPr>
      </w:pPr>
      <w:r w:rsidRPr="001B10F2">
        <w:rPr>
          <w:rFonts w:eastAsia="Times New Roman" w:cs="Times New Roman"/>
          <w:szCs w:val="24"/>
        </w:rPr>
        <w:t xml:space="preserve">Date:  </w:t>
      </w:r>
      <w:r w:rsidR="00500517" w:rsidRPr="00165212">
        <w:rPr>
          <w:rFonts w:eastAsia="Times New Roman" w:cs="Times New Roman"/>
          <w:szCs w:val="24"/>
          <w:u w:val="single"/>
        </w:rPr>
        <w:t>January 17, 2024</w:t>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u w:val="single"/>
        </w:rPr>
        <w:tab/>
      </w:r>
      <w:r w:rsidRPr="001B10F2">
        <w:rPr>
          <w:rFonts w:eastAsia="Times New Roman" w:cs="Times New Roman"/>
          <w:szCs w:val="24"/>
          <w:u w:val="single"/>
        </w:rPr>
        <w:tab/>
        <w:t>/s/</w:t>
      </w:r>
      <w:r w:rsidRPr="001B10F2">
        <w:rPr>
          <w:rFonts w:eastAsia="Times New Roman" w:cs="Times New Roman"/>
          <w:szCs w:val="24"/>
          <w:u w:val="single"/>
        </w:rPr>
        <w:tab/>
      </w:r>
      <w:r w:rsidRPr="001B10F2">
        <w:rPr>
          <w:rFonts w:eastAsia="Times New Roman" w:cs="Times New Roman"/>
          <w:szCs w:val="24"/>
          <w:u w:val="single"/>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Pr>
          <w:rFonts w:eastAsia="Times New Roman" w:cs="Times New Roman"/>
          <w:szCs w:val="24"/>
        </w:rPr>
        <w:t xml:space="preserve">                </w:t>
      </w:r>
      <w:r w:rsidRPr="001B10F2">
        <w:rPr>
          <w:rFonts w:eastAsia="Times New Roman" w:cs="Times New Roman"/>
          <w:szCs w:val="24"/>
        </w:rPr>
        <w:t>Jeffrey A. Watson</w:t>
      </w:r>
    </w:p>
    <w:p w14:paraId="4B6012C6" w14:textId="77777777" w:rsidR="00A93F9E" w:rsidRPr="001B10F2" w:rsidRDefault="00A93F9E" w:rsidP="00A93F9E">
      <w:pPr>
        <w:widowControl w:val="0"/>
        <w:tabs>
          <w:tab w:val="left" w:pos="0"/>
        </w:tabs>
        <w:autoSpaceDE w:val="0"/>
        <w:autoSpaceDN w:val="0"/>
        <w:adjustRightInd w:val="0"/>
        <w:spacing w:line="240" w:lineRule="auto"/>
        <w:jc w:val="both"/>
        <w:rPr>
          <w:rFonts w:eastAsia="Times New Roman" w:cs="Times New Roman"/>
          <w:szCs w:val="24"/>
        </w:rPr>
      </w:pP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sidRPr="001B10F2">
        <w:rPr>
          <w:rFonts w:eastAsia="Times New Roman" w:cs="Times New Roman"/>
          <w:szCs w:val="24"/>
        </w:rPr>
        <w:tab/>
      </w:r>
      <w:r>
        <w:rPr>
          <w:rFonts w:eastAsia="Times New Roman" w:cs="Times New Roman"/>
          <w:szCs w:val="24"/>
        </w:rPr>
        <w:t xml:space="preserve">    </w:t>
      </w:r>
      <w:r w:rsidRPr="001B10F2">
        <w:rPr>
          <w:rFonts w:eastAsia="Times New Roman" w:cs="Times New Roman"/>
          <w:szCs w:val="24"/>
        </w:rPr>
        <w:t>Administrative Law Judge</w:t>
      </w:r>
    </w:p>
    <w:p w14:paraId="3FBD2400" w14:textId="77777777" w:rsidR="00A93F9E" w:rsidRPr="004A7560" w:rsidRDefault="00A93F9E" w:rsidP="00A93F9E">
      <w:pPr>
        <w:autoSpaceDE w:val="0"/>
        <w:autoSpaceDN w:val="0"/>
        <w:spacing w:after="0"/>
        <w:rPr>
          <w:rFonts w:cs="Times New Roman"/>
          <w:b/>
          <w:bCs/>
          <w:szCs w:val="24"/>
        </w:rPr>
      </w:pPr>
    </w:p>
    <w:p w14:paraId="561AE752" w14:textId="77777777" w:rsidR="00A93F9E" w:rsidRDefault="00A93F9E" w:rsidP="00A93F9E">
      <w:pPr>
        <w:tabs>
          <w:tab w:val="left" w:pos="0"/>
        </w:tabs>
        <w:spacing w:after="0"/>
        <w:rPr>
          <w:rFonts w:eastAsia="Times New Roman" w:cs="Times New Roman"/>
          <w:szCs w:val="24"/>
        </w:rPr>
      </w:pPr>
    </w:p>
    <w:p w14:paraId="54EF31E6" w14:textId="77777777" w:rsidR="00F64D44" w:rsidRDefault="00F64D44">
      <w:pPr>
        <w:sectPr w:rsidR="00F64D44">
          <w:pgSz w:w="12240" w:h="15840"/>
          <w:pgMar w:top="1440" w:right="1440" w:bottom="1440" w:left="1440" w:header="720" w:footer="720" w:gutter="0"/>
          <w:cols w:space="720"/>
          <w:docGrid w:linePitch="360"/>
        </w:sectPr>
      </w:pPr>
    </w:p>
    <w:p w14:paraId="3269F4A3" w14:textId="77777777" w:rsidR="00F64D44" w:rsidRDefault="00F64D44" w:rsidP="00F64D44">
      <w:pPr>
        <w:spacing w:after="0"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C-2018-3001414 - DARLENE SHEDLOCK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ABA66C8" w14:textId="77777777" w:rsidR="00F64D44" w:rsidRDefault="00F64D44" w:rsidP="00F64D44">
      <w:pPr>
        <w:spacing w:after="0" w:line="240" w:lineRule="auto"/>
        <w:rPr>
          <w:rFonts w:ascii="Microsoft Sans Serif" w:eastAsia="Microsoft Sans Serif" w:hAnsi="Microsoft Sans Serif" w:cs="Microsoft Sans Serif"/>
          <w:b/>
          <w:u w:val="single"/>
        </w:rPr>
      </w:pPr>
    </w:p>
    <w:p w14:paraId="775A1F24" w14:textId="25DAECC7" w:rsidR="00F64D44" w:rsidRDefault="00F64D44" w:rsidP="00F64D44">
      <w:pPr>
        <w:spacing w:after="0"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DARLENE SHEDLOCK</w:t>
      </w:r>
      <w:r>
        <w:rPr>
          <w:rFonts w:ascii="Microsoft Sans Serif" w:eastAsia="Microsoft Sans Serif" w:hAnsi="Microsoft Sans Serif" w:cs="Microsoft Sans Serif"/>
        </w:rPr>
        <w:cr/>
        <w:t>226 KRAYN ROAD</w:t>
      </w:r>
      <w:r>
        <w:rPr>
          <w:rFonts w:ascii="Microsoft Sans Serif" w:eastAsia="Microsoft Sans Serif" w:hAnsi="Microsoft Sans Serif" w:cs="Microsoft Sans Serif"/>
        </w:rPr>
        <w:cr/>
        <w:t>WINDBER PA  15963</w:t>
      </w:r>
      <w:r>
        <w:rPr>
          <w:rFonts w:ascii="Microsoft Sans Serif" w:eastAsia="Microsoft Sans Serif" w:hAnsi="Microsoft Sans Serif" w:cs="Microsoft Sans Serif"/>
        </w:rPr>
        <w:cr/>
      </w:r>
      <w:r w:rsidRPr="002B4A9E">
        <w:rPr>
          <w:rFonts w:ascii="Microsoft Sans Serif" w:eastAsia="Microsoft Sans Serif" w:hAnsi="Microsoft Sans Serif" w:cs="Microsoft Sans Serif"/>
          <w:b/>
        </w:rPr>
        <w:t>814.487.5852</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Served by USPS Mail</w:t>
      </w:r>
    </w:p>
    <w:p w14:paraId="4B7BF789" w14:textId="77777777" w:rsidR="00F64D44" w:rsidRPr="00E802D3" w:rsidRDefault="00F64D44" w:rsidP="00F64D44">
      <w:pPr>
        <w:spacing w:after="0" w:line="240" w:lineRule="auto"/>
        <w:rPr>
          <w:rFonts w:ascii="Microsoft Sans Serif" w:eastAsia="Microsoft Sans Serif" w:hAnsi="Microsoft Sans Serif" w:cs="Microsoft Sans Serif"/>
          <w:i/>
          <w:iCs/>
        </w:rPr>
      </w:pPr>
    </w:p>
    <w:p w14:paraId="57699912" w14:textId="77777777" w:rsidR="00F64D44" w:rsidRDefault="00F64D44" w:rsidP="00F64D44">
      <w:pPr>
        <w:spacing w:after="0" w:line="240" w:lineRule="auto"/>
        <w:rPr>
          <w:szCs w:val="24"/>
        </w:rPr>
      </w:pP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br/>
        <w:t>TORI L GIESLER ESQUIRE</w:t>
      </w:r>
      <w:r>
        <w:rPr>
          <w:rFonts w:ascii="Microsoft Sans Serif" w:eastAsia="Microsoft Sans Serif" w:hAnsi="Microsoft Sans Serif" w:cs="Microsoft Sans Serif"/>
        </w:rPr>
        <w:br/>
        <w:t>FIRSTENERGY SERVICES CO</w:t>
      </w:r>
      <w:r>
        <w:rPr>
          <w:szCs w:val="24"/>
        </w:rPr>
        <w:t>MPANY</w:t>
      </w:r>
      <w:r>
        <w:rPr>
          <w:szCs w:val="24"/>
        </w:rPr>
        <w:br/>
      </w:r>
      <w:r>
        <w:rPr>
          <w:rFonts w:ascii="Microsoft Sans Serif" w:eastAsia="Microsoft Sans Serif" w:hAnsi="Microsoft Sans Serif" w:cs="Microsoft Sans Serif"/>
        </w:rPr>
        <w:t>2800 POTTSVILLE PIKE</w:t>
      </w:r>
      <w:r>
        <w:rPr>
          <w:rFonts w:ascii="Microsoft Sans Serif" w:eastAsia="Microsoft Sans Serif" w:hAnsi="Microsoft Sans Serif" w:cs="Microsoft Sans Serif"/>
        </w:rPr>
        <w:br/>
        <w:t>PO BOX 16001</w:t>
      </w:r>
      <w:r>
        <w:rPr>
          <w:rFonts w:ascii="Microsoft Sans Serif" w:eastAsia="Microsoft Sans Serif" w:hAnsi="Microsoft Sans Serif" w:cs="Microsoft Sans Serif"/>
        </w:rPr>
        <w:br/>
        <w:t>READING PA  1961</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610.921.6203</w:t>
      </w:r>
      <w:r>
        <w:rPr>
          <w:rFonts w:ascii="Microsoft Sans Serif" w:eastAsia="Microsoft Sans Serif" w:hAnsi="Microsoft Sans Serif" w:cs="Microsoft Sans Serif"/>
          <w:b/>
          <w:bCs/>
        </w:rPr>
        <w:br/>
        <w:t>610.921.6658</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Pr>
          <w:szCs w:val="24"/>
        </w:rPr>
        <w:t xml:space="preserve"> </w:t>
      </w:r>
    </w:p>
    <w:p w14:paraId="09221E16" w14:textId="77777777" w:rsidR="00F64D44" w:rsidRPr="00E802D3" w:rsidRDefault="00021555" w:rsidP="00F64D44">
      <w:pPr>
        <w:spacing w:after="0" w:line="240" w:lineRule="auto"/>
        <w:rPr>
          <w:rFonts w:ascii="Microsoft Sans Serif" w:eastAsia="Microsoft Sans Serif" w:hAnsi="Microsoft Sans Serif" w:cs="Microsoft Sans Serif"/>
        </w:rPr>
      </w:pPr>
      <w:hyperlink r:id="rId9" w:history="1">
        <w:r w:rsidR="00F64D44" w:rsidRPr="00686939">
          <w:rPr>
            <w:rStyle w:val="Hyperlink"/>
            <w:rFonts w:ascii="Arial" w:eastAsia="Times New Roman" w:hAnsi="Arial" w:cs="Arial"/>
          </w:rPr>
          <w:t>tgiesler@firstenergycorp.com</w:t>
        </w:r>
      </w:hyperlink>
      <w:r w:rsidR="00F64D44">
        <w:rPr>
          <w:rFonts w:ascii="Arial" w:eastAsia="Times New Roman" w:hAnsi="Arial" w:cs="Arial"/>
        </w:rPr>
        <w:t xml:space="preserve"> </w:t>
      </w:r>
    </w:p>
    <w:p w14:paraId="7CE8DD99" w14:textId="77777777" w:rsidR="00F64D44" w:rsidRDefault="00021555" w:rsidP="00F64D44">
      <w:pPr>
        <w:spacing w:after="0" w:line="240" w:lineRule="auto"/>
        <w:rPr>
          <w:rFonts w:ascii="Arial" w:eastAsia="Times New Roman" w:hAnsi="Arial" w:cs="Arial"/>
        </w:rPr>
      </w:pPr>
      <w:hyperlink r:id="rId10" w:history="1">
        <w:r w:rsidR="00F64D44" w:rsidRPr="00686939">
          <w:rPr>
            <w:rStyle w:val="Hyperlink"/>
            <w:rFonts w:ascii="Arial" w:eastAsia="Times New Roman" w:hAnsi="Arial" w:cs="Arial"/>
          </w:rPr>
          <w:t>llepkoski@firstenergycorp.com</w:t>
        </w:r>
      </w:hyperlink>
    </w:p>
    <w:p w14:paraId="0C8A2BD9" w14:textId="77777777" w:rsidR="00F64D44" w:rsidRPr="007525E1" w:rsidRDefault="00F64D44" w:rsidP="00F64D44">
      <w:pPr>
        <w:spacing w:after="0" w:line="240" w:lineRule="auto"/>
        <w:rPr>
          <w:rFonts w:ascii="Microsoft Sans Serif" w:eastAsia="Microsoft Sans Serif" w:hAnsi="Microsoft Sans Serif" w:cs="Microsoft Sans Serif"/>
          <w:i/>
          <w:iCs/>
        </w:rPr>
      </w:pPr>
      <w:r w:rsidRPr="007525E1">
        <w:rPr>
          <w:rFonts w:ascii="Arial" w:eastAsia="Times New Roman" w:hAnsi="Arial" w:cs="Arial"/>
          <w:i/>
          <w:iCs/>
        </w:rPr>
        <w:t>(Counsel for Pennsylvania Electric Company)</w:t>
      </w:r>
    </w:p>
    <w:p w14:paraId="50DEA7EA" w14:textId="77777777" w:rsidR="007706B6" w:rsidRDefault="007706B6"/>
    <w:sectPr w:rsidR="007706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C5E5" w14:textId="77777777" w:rsidR="00E53C3A" w:rsidRDefault="00E53C3A" w:rsidP="00A93F9E">
      <w:pPr>
        <w:spacing w:after="0" w:line="240" w:lineRule="auto"/>
      </w:pPr>
      <w:r>
        <w:separator/>
      </w:r>
    </w:p>
  </w:endnote>
  <w:endnote w:type="continuationSeparator" w:id="0">
    <w:p w14:paraId="7FB30302" w14:textId="77777777" w:rsidR="00E53C3A" w:rsidRDefault="00E53C3A" w:rsidP="00A9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45FF" w14:textId="77777777" w:rsidR="00E53C3A" w:rsidRDefault="00E53C3A" w:rsidP="00A93F9E">
      <w:pPr>
        <w:spacing w:after="0" w:line="240" w:lineRule="auto"/>
      </w:pPr>
      <w:r>
        <w:separator/>
      </w:r>
    </w:p>
  </w:footnote>
  <w:footnote w:type="continuationSeparator" w:id="0">
    <w:p w14:paraId="007F350E" w14:textId="77777777" w:rsidR="00E53C3A" w:rsidRDefault="00E53C3A" w:rsidP="00A93F9E">
      <w:pPr>
        <w:spacing w:after="0" w:line="240" w:lineRule="auto"/>
      </w:pPr>
      <w:r>
        <w:continuationSeparator/>
      </w:r>
    </w:p>
  </w:footnote>
  <w:footnote w:id="1">
    <w:p w14:paraId="61290E07" w14:textId="77777777" w:rsidR="00A93F9E" w:rsidRDefault="00A93F9E" w:rsidP="00A93F9E">
      <w:pPr>
        <w:pStyle w:val="FootnoteText"/>
        <w:tabs>
          <w:tab w:val="left" w:pos="720"/>
        </w:tabs>
        <w:rPr>
          <w:rFonts w:ascii="Times New Roman" w:hAnsi="Times New Roman" w:cs="Times New Roman"/>
        </w:rPr>
      </w:pPr>
      <w:r>
        <w:rPr>
          <w:rFonts w:ascii="Times New Roman" w:hAnsi="Times New Roman" w:cs="Times New Roman"/>
        </w:rPr>
        <w:tab/>
      </w:r>
      <w:r w:rsidRPr="005F7364">
        <w:rPr>
          <w:rStyle w:val="FootnoteReference"/>
          <w:rFonts w:ascii="Times New Roman" w:hAnsi="Times New Roman" w:cs="Times New Roman"/>
        </w:rPr>
        <w:footnoteRef/>
      </w:r>
      <w:r w:rsidRPr="005F7364">
        <w:rPr>
          <w:rFonts w:ascii="Times New Roman" w:hAnsi="Times New Roman" w:cs="Times New Roman"/>
        </w:rPr>
        <w:t xml:space="preserve"> </w:t>
      </w:r>
      <w:r w:rsidRPr="005F7364">
        <w:rPr>
          <w:rFonts w:ascii="Times New Roman" w:hAnsi="Times New Roman" w:cs="Times New Roman"/>
        </w:rPr>
        <w:tab/>
      </w:r>
      <w:proofErr w:type="spellStart"/>
      <w:r w:rsidRPr="005F7364">
        <w:rPr>
          <w:rFonts w:ascii="Times New Roman" w:hAnsi="Times New Roman" w:cs="Times New Roman"/>
          <w:i/>
          <w:iCs/>
        </w:rPr>
        <w:t>Povacz</w:t>
      </w:r>
      <w:proofErr w:type="spellEnd"/>
      <w:r w:rsidRPr="005F7364">
        <w:rPr>
          <w:rFonts w:ascii="Times New Roman" w:hAnsi="Times New Roman" w:cs="Times New Roman"/>
          <w:i/>
          <w:iCs/>
        </w:rPr>
        <w:t>, et al. v. Pa. Public Utility Commission</w:t>
      </w:r>
      <w:r w:rsidRPr="005F7364">
        <w:rPr>
          <w:rFonts w:ascii="Times New Roman" w:hAnsi="Times New Roman" w:cs="Times New Roman"/>
        </w:rPr>
        <w:t>, 241 A.3d 481 (Pa. Cmwlth. 2020).</w:t>
      </w:r>
    </w:p>
    <w:p w14:paraId="7F0C0931" w14:textId="77777777" w:rsidR="00A93F9E" w:rsidRPr="005F7364" w:rsidRDefault="00A93F9E" w:rsidP="00A93F9E">
      <w:pPr>
        <w:pStyle w:val="FootnoteText"/>
        <w:tabs>
          <w:tab w:val="left" w:pos="720"/>
        </w:tabs>
        <w:rPr>
          <w:rFonts w:ascii="Times New Roman" w:hAnsi="Times New Roman" w:cs="Times New Roman"/>
        </w:rPr>
      </w:pPr>
    </w:p>
  </w:footnote>
  <w:footnote w:id="2">
    <w:p w14:paraId="0BC9972A" w14:textId="77777777" w:rsidR="00A93F9E" w:rsidRPr="005F7364" w:rsidRDefault="00A93F9E" w:rsidP="00A93F9E">
      <w:pPr>
        <w:pStyle w:val="FootnoteText"/>
        <w:tabs>
          <w:tab w:val="left" w:pos="720"/>
        </w:tabs>
        <w:rPr>
          <w:rFonts w:ascii="Times New Roman" w:hAnsi="Times New Roman" w:cs="Times New Roman"/>
        </w:rPr>
      </w:pPr>
      <w:r>
        <w:rPr>
          <w:rFonts w:ascii="Times New Roman" w:hAnsi="Times New Roman" w:cs="Times New Roman"/>
        </w:rPr>
        <w:tab/>
      </w:r>
      <w:r w:rsidRPr="005F7364">
        <w:rPr>
          <w:rStyle w:val="FootnoteReference"/>
          <w:rFonts w:ascii="Times New Roman" w:hAnsi="Times New Roman" w:cs="Times New Roman"/>
        </w:rPr>
        <w:footnoteRef/>
      </w:r>
      <w:r w:rsidRPr="005F7364">
        <w:rPr>
          <w:rFonts w:ascii="Times New Roman" w:hAnsi="Times New Roman" w:cs="Times New Roman"/>
        </w:rPr>
        <w:t xml:space="preserve"> </w:t>
      </w:r>
      <w:r w:rsidRPr="005F7364">
        <w:rPr>
          <w:rFonts w:ascii="Times New Roman" w:hAnsi="Times New Roman" w:cs="Times New Roman"/>
        </w:rPr>
        <w:tab/>
      </w:r>
      <w:r w:rsidRPr="005F7364">
        <w:rPr>
          <w:rFonts w:ascii="Times New Roman" w:hAnsi="Times New Roman" w:cs="Times New Roman"/>
          <w:i/>
          <w:iCs/>
        </w:rPr>
        <w:t>Id.</w:t>
      </w:r>
      <w:r w:rsidRPr="005F7364">
        <w:rPr>
          <w:rFonts w:ascii="Times New Roman" w:hAnsi="Times New Roman" w:cs="Times New Roman"/>
        </w:rPr>
        <w:t xml:space="preserve"> at 490.  </w:t>
      </w:r>
    </w:p>
  </w:footnote>
  <w:footnote w:id="3">
    <w:p w14:paraId="404E27BC" w14:textId="77777777" w:rsidR="00A93F9E" w:rsidRPr="005F7364" w:rsidRDefault="00A93F9E" w:rsidP="00A93F9E">
      <w:pPr>
        <w:pStyle w:val="FootnoteText"/>
        <w:tabs>
          <w:tab w:val="left" w:pos="720"/>
        </w:tabs>
        <w:rPr>
          <w:rFonts w:ascii="Times New Roman" w:hAnsi="Times New Roman" w:cs="Times New Roman"/>
        </w:rPr>
      </w:pPr>
      <w:r>
        <w:rPr>
          <w:rFonts w:ascii="Times New Roman" w:hAnsi="Times New Roman" w:cs="Times New Roman"/>
        </w:rPr>
        <w:tab/>
      </w:r>
      <w:r w:rsidRPr="005F7364">
        <w:rPr>
          <w:rStyle w:val="FootnoteReference"/>
          <w:rFonts w:ascii="Times New Roman" w:hAnsi="Times New Roman" w:cs="Times New Roman"/>
        </w:rPr>
        <w:footnoteRef/>
      </w:r>
      <w:r w:rsidRPr="005F7364">
        <w:rPr>
          <w:rFonts w:ascii="Times New Roman" w:hAnsi="Times New Roman" w:cs="Times New Roman"/>
        </w:rPr>
        <w:t xml:space="preserve"> </w:t>
      </w:r>
      <w:r w:rsidRPr="005F7364">
        <w:rPr>
          <w:rFonts w:ascii="Times New Roman" w:hAnsi="Times New Roman" w:cs="Times New Roman"/>
        </w:rPr>
        <w:tab/>
      </w:r>
      <w:r w:rsidRPr="005F7364">
        <w:rPr>
          <w:rFonts w:ascii="Times New Roman" w:hAnsi="Times New Roman" w:cs="Times New Roman"/>
          <w:i/>
          <w:iCs/>
        </w:rPr>
        <w:t xml:space="preserve">Id. </w:t>
      </w:r>
      <w:r w:rsidRPr="005F7364">
        <w:rPr>
          <w:rFonts w:ascii="Times New Roman" w:hAnsi="Times New Roman" w:cs="Times New Roman"/>
        </w:rPr>
        <w:t xml:space="preserve">at 1014. </w:t>
      </w:r>
    </w:p>
    <w:p w14:paraId="11572A52" w14:textId="77777777" w:rsidR="00A93F9E" w:rsidRPr="005F7364" w:rsidRDefault="00A93F9E" w:rsidP="00A93F9E">
      <w:pPr>
        <w:pStyle w:val="FootnoteText"/>
        <w:tabs>
          <w:tab w:val="left" w:pos="720"/>
        </w:tab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655044"/>
    <w:multiLevelType w:val="hybridMultilevel"/>
    <w:tmpl w:val="D70690D0"/>
    <w:lvl w:ilvl="0" w:tplc="EAD8038C">
      <w:start w:val="1"/>
      <w:numFmt w:val="decimal"/>
      <w:pStyle w:val="ListParagraph"/>
      <w:lvlText w:val="%1."/>
      <w:lvlJc w:val="left"/>
      <w:pPr>
        <w:ind w:left="720" w:hanging="360"/>
      </w:pPr>
      <w:rPr>
        <w:rFonts w:ascii="Times New Roman" w:eastAsiaTheme="minorHAnsi" w:hAnsi="Times New Roman"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597563">
    <w:abstractNumId w:val="0"/>
  </w:num>
  <w:num w:numId="2" w16cid:durableId="163722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9E"/>
    <w:rsid w:val="00021555"/>
    <w:rsid w:val="00161413"/>
    <w:rsid w:val="00165212"/>
    <w:rsid w:val="001B224C"/>
    <w:rsid w:val="003438BC"/>
    <w:rsid w:val="00500517"/>
    <w:rsid w:val="00670EC6"/>
    <w:rsid w:val="006C045C"/>
    <w:rsid w:val="007639C6"/>
    <w:rsid w:val="007706B6"/>
    <w:rsid w:val="007B5C79"/>
    <w:rsid w:val="007D7D95"/>
    <w:rsid w:val="008158C6"/>
    <w:rsid w:val="00866AE4"/>
    <w:rsid w:val="009B01C3"/>
    <w:rsid w:val="00A20F11"/>
    <w:rsid w:val="00A93F9E"/>
    <w:rsid w:val="00AA144F"/>
    <w:rsid w:val="00AC6F89"/>
    <w:rsid w:val="00B43CAB"/>
    <w:rsid w:val="00B53328"/>
    <w:rsid w:val="00BB229A"/>
    <w:rsid w:val="00BC4FBE"/>
    <w:rsid w:val="00C05DAB"/>
    <w:rsid w:val="00E53C3A"/>
    <w:rsid w:val="00E91468"/>
    <w:rsid w:val="00F508C9"/>
    <w:rsid w:val="00F64D44"/>
    <w:rsid w:val="00F8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3FCFAF"/>
  <w15:chartTrackingRefBased/>
  <w15:docId w15:val="{4683928C-DD74-49AB-B31F-7A68B475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9E"/>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3F9E"/>
    <w:rPr>
      <w:color w:val="0000FF"/>
      <w:u w:val="single"/>
    </w:rPr>
  </w:style>
  <w:style w:type="paragraph" w:styleId="ListParagraph">
    <w:name w:val="List Paragraph"/>
    <w:basedOn w:val="Normal"/>
    <w:autoRedefine/>
    <w:uiPriority w:val="34"/>
    <w:qFormat/>
    <w:rsid w:val="00165212"/>
    <w:pPr>
      <w:numPr>
        <w:numId w:val="2"/>
      </w:numPr>
      <w:spacing w:after="0"/>
      <w:contextualSpacing/>
    </w:pPr>
  </w:style>
  <w:style w:type="paragraph" w:styleId="ListNumber">
    <w:name w:val="List Number"/>
    <w:basedOn w:val="Normal"/>
    <w:uiPriority w:val="99"/>
    <w:unhideWhenUsed/>
    <w:rsid w:val="00A93F9E"/>
    <w:pPr>
      <w:numPr>
        <w:numId w:val="1"/>
      </w:numPr>
      <w:spacing w:after="0" w:line="480" w:lineRule="auto"/>
      <w:contextualSpacing/>
      <w:jc w:val="both"/>
    </w:pPr>
    <w:rPr>
      <w:rFonts w:eastAsia="Times New Roman" w:cs="Times New Roman"/>
      <w:szCs w:val="20"/>
    </w:rPr>
  </w:style>
  <w:style w:type="paragraph" w:styleId="FootnoteText">
    <w:name w:val="footnote text"/>
    <w:basedOn w:val="Normal"/>
    <w:link w:val="FootnoteTextChar"/>
    <w:uiPriority w:val="99"/>
    <w:semiHidden/>
    <w:unhideWhenUsed/>
    <w:rsid w:val="00A93F9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93F9E"/>
    <w:rPr>
      <w:sz w:val="20"/>
      <w:szCs w:val="20"/>
    </w:rPr>
  </w:style>
  <w:style w:type="character" w:styleId="FootnoteReference">
    <w:name w:val="footnote reference"/>
    <w:aliases w:val="o,fr"/>
    <w:basedOn w:val="DefaultParagraphFont"/>
    <w:uiPriority w:val="99"/>
    <w:semiHidden/>
    <w:unhideWhenUsed/>
    <w:rsid w:val="00A93F9E"/>
    <w:rPr>
      <w:vertAlign w:val="superscript"/>
    </w:rPr>
  </w:style>
  <w:style w:type="character" w:styleId="UnresolvedMention">
    <w:name w:val="Unresolved Mention"/>
    <w:basedOn w:val="DefaultParagraphFont"/>
    <w:uiPriority w:val="99"/>
    <w:semiHidden/>
    <w:unhideWhenUsed/>
    <w:rsid w:val="001B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atson@pa.gov" TargetMode="Externa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lepkoski@firstenergycorp.com" TargetMode="External"/><Relationship Id="rId4" Type="http://schemas.openxmlformats.org/officeDocument/2006/relationships/webSettings" Target="webSettings.xml"/><Relationship Id="rId9"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2024-01-23T16:47:00Z</dcterms:created>
  <dcterms:modified xsi:type="dcterms:W3CDTF">2024-01-23T16:47:00Z</dcterms:modified>
</cp:coreProperties>
</file>