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463E" w14:textId="29C8AA8B" w:rsidR="00A37BEE" w:rsidRPr="00A37BEE" w:rsidRDefault="00A37BEE" w:rsidP="00624EBA">
      <w:pPr>
        <w:tabs>
          <w:tab w:val="center" w:pos="4680"/>
        </w:tabs>
        <w:autoSpaceDE/>
        <w:autoSpaceDN/>
        <w:jc w:val="center"/>
        <w:rPr>
          <w:rFonts w:cs="Times New Roman"/>
          <w:b/>
        </w:rPr>
      </w:pPr>
      <w:r w:rsidRPr="00A37BEE">
        <w:rPr>
          <w:rFonts w:cs="Times New Roman"/>
          <w:b/>
        </w:rPr>
        <w:t>BEFORE THE</w:t>
      </w:r>
    </w:p>
    <w:p w14:paraId="5B79888C" w14:textId="77777777" w:rsidR="00A37BEE" w:rsidRPr="00A37BEE" w:rsidRDefault="00A37BEE" w:rsidP="00A37BEE">
      <w:pPr>
        <w:tabs>
          <w:tab w:val="center" w:pos="4680"/>
        </w:tabs>
        <w:autoSpaceDE/>
        <w:autoSpaceDN/>
        <w:jc w:val="both"/>
        <w:rPr>
          <w:rFonts w:cs="Times New Roman"/>
          <w:b/>
        </w:rPr>
      </w:pPr>
      <w:r w:rsidRPr="00A37BEE">
        <w:rPr>
          <w:rFonts w:cs="Times New Roman"/>
          <w:b/>
        </w:rPr>
        <w:tab/>
        <w:t>PENNSYLVANIA PUBLIC UTILITY COMMISSION</w:t>
      </w:r>
    </w:p>
    <w:p w14:paraId="60783C66" w14:textId="77777777" w:rsidR="00A37BEE" w:rsidRPr="00A37BEE" w:rsidRDefault="00A37BEE" w:rsidP="00A37BEE">
      <w:pPr>
        <w:tabs>
          <w:tab w:val="center" w:pos="4680"/>
        </w:tabs>
        <w:autoSpaceDE/>
        <w:autoSpaceDN/>
        <w:jc w:val="both"/>
        <w:rPr>
          <w:rFonts w:cs="Times New Roman"/>
        </w:rPr>
      </w:pPr>
    </w:p>
    <w:p w14:paraId="7FB1F137" w14:textId="77777777" w:rsidR="00A37BEE" w:rsidRPr="00A37BEE" w:rsidRDefault="00A37BEE" w:rsidP="00A37BEE">
      <w:pPr>
        <w:autoSpaceDE/>
        <w:autoSpaceDN/>
        <w:jc w:val="both"/>
        <w:rPr>
          <w:rFonts w:cs="Times New Roman"/>
        </w:rPr>
      </w:pPr>
    </w:p>
    <w:p w14:paraId="687FB4DA" w14:textId="77777777" w:rsidR="00A37BEE" w:rsidRPr="00A37BEE" w:rsidRDefault="00A37BEE" w:rsidP="00A37BEE">
      <w:pPr>
        <w:tabs>
          <w:tab w:val="left" w:pos="5040"/>
        </w:tabs>
        <w:autoSpaceDE/>
        <w:autoSpaceDN/>
        <w:jc w:val="both"/>
        <w:rPr>
          <w:rFonts w:cs="Times New Roman"/>
        </w:rPr>
      </w:pPr>
    </w:p>
    <w:p w14:paraId="69B6D78A" w14:textId="652BBF6C" w:rsidR="00430F67" w:rsidRDefault="00A37BEE" w:rsidP="00430F67">
      <w:pPr>
        <w:tabs>
          <w:tab w:val="left" w:pos="5040"/>
        </w:tabs>
        <w:autoSpaceDE/>
        <w:autoSpaceDN/>
        <w:jc w:val="both"/>
        <w:rPr>
          <w:rFonts w:cs="Times New Roman"/>
        </w:rPr>
      </w:pPr>
      <w:r w:rsidRPr="00A37BEE">
        <w:rPr>
          <w:rFonts w:cs="Times New Roman"/>
        </w:rPr>
        <w:t>Pennsylvania Public Utility Commission</w:t>
      </w:r>
      <w:r w:rsidRPr="00A37BEE">
        <w:rPr>
          <w:rFonts w:cs="Times New Roman"/>
        </w:rPr>
        <w:tab/>
        <w:t>:</w:t>
      </w:r>
      <w:r w:rsidRPr="00A37BEE">
        <w:rPr>
          <w:rFonts w:cs="Times New Roman"/>
        </w:rPr>
        <w:tab/>
      </w:r>
      <w:r w:rsidRPr="00A37BEE">
        <w:rPr>
          <w:rFonts w:cs="Times New Roman"/>
        </w:rPr>
        <w:tab/>
      </w:r>
      <w:r w:rsidR="00327D89" w:rsidRPr="00327D89">
        <w:rPr>
          <w:rFonts w:cs="Times New Roman"/>
        </w:rPr>
        <w:t>C-2023-3044238</w:t>
      </w:r>
    </w:p>
    <w:p w14:paraId="7444FB27" w14:textId="62621FF8" w:rsidR="002A2932" w:rsidRDefault="00430F67" w:rsidP="00430F67">
      <w:pPr>
        <w:tabs>
          <w:tab w:val="left" w:pos="5040"/>
        </w:tabs>
        <w:autoSpaceDE/>
        <w:autoSpaceDN/>
        <w:jc w:val="both"/>
        <w:rPr>
          <w:rFonts w:cs="Times New Roman"/>
        </w:rPr>
      </w:pPr>
      <w:r>
        <w:rPr>
          <w:rFonts w:cs="Times New Roman"/>
        </w:rPr>
        <w:t>Bureau of Investigation and Enforcement</w:t>
      </w:r>
      <w:r w:rsidR="00A37BEE" w:rsidRPr="00A37BEE">
        <w:rPr>
          <w:rFonts w:cs="Times New Roman"/>
        </w:rPr>
        <w:tab/>
        <w:t>:</w:t>
      </w:r>
      <w:r w:rsidR="002A2932">
        <w:rPr>
          <w:rFonts w:cs="Times New Roman"/>
        </w:rPr>
        <w:tab/>
      </w:r>
      <w:r w:rsidR="002A2932">
        <w:rPr>
          <w:rFonts w:cs="Times New Roman"/>
        </w:rPr>
        <w:tab/>
      </w:r>
      <w:r w:rsidR="00A37BEE" w:rsidRPr="00A37BEE">
        <w:rPr>
          <w:rFonts w:cs="Times New Roman"/>
        </w:rPr>
        <w:tab/>
      </w:r>
    </w:p>
    <w:p w14:paraId="6049643A" w14:textId="4A5B2443" w:rsidR="00A37BEE" w:rsidRPr="00A37BEE" w:rsidRDefault="006A0A81" w:rsidP="00A37BEE">
      <w:pPr>
        <w:tabs>
          <w:tab w:val="left" w:pos="720"/>
          <w:tab w:val="left" w:pos="5040"/>
        </w:tabs>
        <w:autoSpaceDE/>
        <w:autoSpaceDN/>
        <w:jc w:val="both"/>
        <w:rPr>
          <w:rFonts w:cs="Times New Roman"/>
        </w:rPr>
      </w:pPr>
      <w:r>
        <w:rPr>
          <w:rFonts w:cs="Times New Roman"/>
        </w:rPr>
        <w:tab/>
      </w:r>
      <w:r w:rsidR="002A2932">
        <w:rPr>
          <w:rFonts w:cs="Times New Roman"/>
        </w:rPr>
        <w:tab/>
        <w:t>:</w:t>
      </w:r>
      <w:r w:rsidR="00A37BEE" w:rsidRPr="00A37BEE">
        <w:rPr>
          <w:rFonts w:cs="Times New Roman"/>
        </w:rPr>
        <w:tab/>
      </w:r>
      <w:r w:rsidR="00A37BEE" w:rsidRPr="00A37BEE">
        <w:rPr>
          <w:rFonts w:cs="Times New Roman"/>
        </w:rPr>
        <w:tab/>
      </w:r>
    </w:p>
    <w:p w14:paraId="7A96F8FB" w14:textId="7FDB1E41" w:rsidR="00A37BEE" w:rsidRPr="00A37BEE" w:rsidRDefault="00A37BEE" w:rsidP="00A37BEE">
      <w:pPr>
        <w:tabs>
          <w:tab w:val="left" w:pos="720"/>
          <w:tab w:val="left" w:pos="5040"/>
        </w:tabs>
        <w:autoSpaceDE/>
        <w:autoSpaceDN/>
        <w:jc w:val="both"/>
        <w:rPr>
          <w:rFonts w:cs="Times New Roman"/>
        </w:rPr>
      </w:pPr>
      <w:r w:rsidRPr="00A37BEE">
        <w:rPr>
          <w:rFonts w:cs="Times New Roman"/>
        </w:rPr>
        <w:tab/>
        <w:t>v.</w:t>
      </w:r>
      <w:r w:rsidRPr="00A37BEE">
        <w:rPr>
          <w:rFonts w:cs="Times New Roman"/>
        </w:rPr>
        <w:tab/>
        <w:t>:</w:t>
      </w:r>
      <w:r w:rsidRPr="00A37BEE">
        <w:rPr>
          <w:rFonts w:cs="Times New Roman"/>
        </w:rPr>
        <w:tab/>
      </w:r>
    </w:p>
    <w:p w14:paraId="0CDAB550" w14:textId="77777777" w:rsidR="00A37BEE" w:rsidRPr="00A37BEE" w:rsidRDefault="00A37BEE" w:rsidP="00A37BEE">
      <w:pPr>
        <w:tabs>
          <w:tab w:val="left" w:pos="720"/>
          <w:tab w:val="left" w:pos="5040"/>
        </w:tabs>
        <w:autoSpaceDE/>
        <w:autoSpaceDN/>
        <w:jc w:val="both"/>
        <w:rPr>
          <w:rFonts w:cs="Times New Roman"/>
          <w:b/>
        </w:rPr>
      </w:pPr>
      <w:r w:rsidRPr="00A37BEE">
        <w:rPr>
          <w:rFonts w:cs="Times New Roman"/>
        </w:rPr>
        <w:tab/>
      </w:r>
      <w:r w:rsidRPr="00A37BEE">
        <w:rPr>
          <w:rFonts w:cs="Times New Roman"/>
        </w:rPr>
        <w:tab/>
        <w:t xml:space="preserve">:           </w:t>
      </w:r>
      <w:r w:rsidRPr="00A37BEE">
        <w:rPr>
          <w:rFonts w:cs="Times New Roman"/>
        </w:rPr>
        <w:tab/>
      </w:r>
    </w:p>
    <w:p w14:paraId="3D6A88EB" w14:textId="3C8AD93E" w:rsidR="00A37BEE" w:rsidRPr="00A37BEE" w:rsidRDefault="00327D89" w:rsidP="00A37BEE">
      <w:pPr>
        <w:autoSpaceDE/>
        <w:autoSpaceDN/>
        <w:jc w:val="both"/>
        <w:rPr>
          <w:rFonts w:cs="Times New Roman"/>
        </w:rPr>
      </w:pPr>
      <w:r>
        <w:rPr>
          <w:rFonts w:cs="Times New Roman"/>
        </w:rPr>
        <w:t>Matcon</w:t>
      </w:r>
      <w:r w:rsidR="00716EE1">
        <w:rPr>
          <w:rFonts w:cs="Times New Roman"/>
        </w:rPr>
        <w:t xml:space="preserve"> Diamond</w:t>
      </w:r>
      <w:r>
        <w:rPr>
          <w:rFonts w:cs="Times New Roman"/>
        </w:rPr>
        <w:t>, Inc.</w:t>
      </w:r>
      <w:r>
        <w:rPr>
          <w:rFonts w:cs="Times New Roman"/>
        </w:rPr>
        <w:tab/>
      </w:r>
      <w:r>
        <w:rPr>
          <w:rFonts w:cs="Times New Roman"/>
        </w:rPr>
        <w:tab/>
      </w:r>
      <w:r w:rsidR="00430F67">
        <w:rPr>
          <w:rFonts w:cs="Times New Roman"/>
        </w:rPr>
        <w:tab/>
      </w:r>
      <w:r w:rsidR="00A37BEE" w:rsidRPr="00A37BEE">
        <w:rPr>
          <w:rFonts w:cs="Times New Roman"/>
        </w:rPr>
        <w:tab/>
        <w:t>:</w:t>
      </w:r>
    </w:p>
    <w:p w14:paraId="3B136475" w14:textId="77777777" w:rsidR="00E47286" w:rsidRPr="00E47286" w:rsidRDefault="00E47286" w:rsidP="00E47286">
      <w:pPr>
        <w:autoSpaceDE/>
        <w:autoSpaceDN/>
        <w:rPr>
          <w:rFonts w:eastAsia="SimSun" w:cs="Times New Roman"/>
          <w:szCs w:val="20"/>
        </w:rPr>
      </w:pPr>
    </w:p>
    <w:p w14:paraId="43B5028F" w14:textId="77777777" w:rsidR="00E47286" w:rsidRDefault="00E47286" w:rsidP="00E47286">
      <w:pPr>
        <w:autoSpaceDE/>
        <w:autoSpaceDN/>
        <w:rPr>
          <w:rFonts w:eastAsia="SimSun" w:cs="Times New Roman"/>
          <w:szCs w:val="20"/>
        </w:rPr>
      </w:pPr>
    </w:p>
    <w:p w14:paraId="0F3896C6" w14:textId="77777777" w:rsidR="006A159D" w:rsidRPr="00E47286" w:rsidRDefault="006A159D" w:rsidP="00E47286">
      <w:pPr>
        <w:autoSpaceDE/>
        <w:autoSpaceDN/>
        <w:rPr>
          <w:rFonts w:eastAsia="SimSun" w:cs="Times New Roman"/>
          <w:szCs w:val="20"/>
        </w:rPr>
      </w:pPr>
    </w:p>
    <w:p w14:paraId="5FF0D94B" w14:textId="72ED7147" w:rsidR="008F4521" w:rsidRPr="008370FE" w:rsidRDefault="008370FE" w:rsidP="00D0153E">
      <w:pPr>
        <w:tabs>
          <w:tab w:val="center" w:pos="4680"/>
        </w:tabs>
        <w:suppressAutoHyphens/>
        <w:jc w:val="center"/>
        <w:rPr>
          <w:rFonts w:cs="Times New Roman"/>
          <w:b/>
          <w:bCs/>
          <w:spacing w:val="-3"/>
          <w:u w:val="single"/>
        </w:rPr>
      </w:pPr>
      <w:r w:rsidRPr="008370FE">
        <w:rPr>
          <w:rFonts w:cs="Times New Roman"/>
          <w:b/>
          <w:bCs/>
          <w:spacing w:val="-3"/>
          <w:u w:val="single"/>
        </w:rPr>
        <w:t>PREHEARING CONFERENCE</w:t>
      </w:r>
      <w:r w:rsidR="00430F67" w:rsidRPr="008370FE">
        <w:rPr>
          <w:rFonts w:cs="Times New Roman"/>
          <w:b/>
          <w:bCs/>
          <w:spacing w:val="-3"/>
          <w:u w:val="single"/>
        </w:rPr>
        <w:t xml:space="preserve"> ORDER</w:t>
      </w:r>
      <w:r w:rsidR="008F4521" w:rsidRPr="008370FE">
        <w:rPr>
          <w:rFonts w:cs="Times New Roman"/>
          <w:b/>
          <w:bCs/>
          <w:spacing w:val="-3"/>
          <w:u w:val="single"/>
        </w:rPr>
        <w:t xml:space="preserve"> </w:t>
      </w:r>
    </w:p>
    <w:p w14:paraId="56B5F492" w14:textId="77777777" w:rsidR="003D3D02" w:rsidRDefault="003D3D02" w:rsidP="0019593D">
      <w:pPr>
        <w:tabs>
          <w:tab w:val="center" w:pos="4680"/>
        </w:tabs>
        <w:suppressAutoHyphens/>
        <w:spacing w:line="360" w:lineRule="auto"/>
        <w:rPr>
          <w:rFonts w:cs="Times New Roman"/>
          <w:spacing w:val="-3"/>
          <w:u w:val="single"/>
        </w:rPr>
      </w:pPr>
    </w:p>
    <w:p w14:paraId="3C2234D2" w14:textId="75C443E4" w:rsidR="00430F67" w:rsidRDefault="00430F67" w:rsidP="00D0153E">
      <w:pPr>
        <w:tabs>
          <w:tab w:val="left" w:pos="-720"/>
        </w:tabs>
        <w:suppressAutoHyphens/>
        <w:spacing w:line="360" w:lineRule="auto"/>
        <w:ind w:firstLine="1440"/>
      </w:pPr>
      <w:r>
        <w:rPr>
          <w:rFonts w:cs="Times New Roman"/>
          <w:spacing w:val="-3"/>
        </w:rPr>
        <w:t xml:space="preserve">On </w:t>
      </w:r>
      <w:r w:rsidR="00D5371D">
        <w:rPr>
          <w:rFonts w:cs="Times New Roman"/>
          <w:spacing w:val="-3"/>
        </w:rPr>
        <w:t>November 15</w:t>
      </w:r>
      <w:r>
        <w:rPr>
          <w:rFonts w:cs="Times New Roman"/>
          <w:spacing w:val="-3"/>
        </w:rPr>
        <w:t xml:space="preserve">, 2023, the Bureau of Investigation and Enforcement (I&amp;E) of the Pennsylvania Public Utility Commission (Commission) filed a Formal Complaint (Complaint) against </w:t>
      </w:r>
      <w:r w:rsidR="00D5371D">
        <w:rPr>
          <w:rFonts w:cs="Times New Roman"/>
          <w:spacing w:val="-3"/>
        </w:rPr>
        <w:t>Matcon Diamond</w:t>
      </w:r>
      <w:r>
        <w:rPr>
          <w:rFonts w:cs="Times New Roman"/>
          <w:spacing w:val="-3"/>
        </w:rPr>
        <w:t>, Inc. (</w:t>
      </w:r>
      <w:r w:rsidR="00E72C84">
        <w:rPr>
          <w:rFonts w:cs="Times New Roman"/>
          <w:spacing w:val="-3"/>
        </w:rPr>
        <w:t>Matcon</w:t>
      </w:r>
      <w:r>
        <w:rPr>
          <w:rFonts w:cs="Times New Roman"/>
          <w:spacing w:val="-3"/>
        </w:rPr>
        <w:t xml:space="preserve">, Respondent, or Company), alleging </w:t>
      </w:r>
      <w:r w:rsidR="00DC6760">
        <w:rPr>
          <w:rFonts w:cs="Times New Roman"/>
          <w:spacing w:val="-3"/>
        </w:rPr>
        <w:t xml:space="preserve">multiple </w:t>
      </w:r>
      <w:r>
        <w:rPr>
          <w:rFonts w:cs="Times New Roman"/>
          <w:spacing w:val="-3"/>
        </w:rPr>
        <w:t xml:space="preserve">violations of the </w:t>
      </w:r>
      <w:r w:rsidR="00684D5B">
        <w:rPr>
          <w:rFonts w:cs="Times New Roman"/>
          <w:spacing w:val="-3"/>
        </w:rPr>
        <w:t>PA One Call</w:t>
      </w:r>
      <w:r w:rsidR="009131D0">
        <w:rPr>
          <w:rFonts w:cs="Times New Roman"/>
          <w:spacing w:val="-3"/>
        </w:rPr>
        <w:t xml:space="preserve"> Law in connection to an alleged strike on a Peoples Natural </w:t>
      </w:r>
      <w:r w:rsidR="00A03AA6">
        <w:rPr>
          <w:rFonts w:cs="Times New Roman"/>
          <w:spacing w:val="-3"/>
        </w:rPr>
        <w:t xml:space="preserve">Gas Line while allegedly excavating on February 15, 2022, at </w:t>
      </w:r>
      <w:r w:rsidR="00DD42CA">
        <w:rPr>
          <w:rFonts w:cs="Times New Roman"/>
          <w:spacing w:val="-3"/>
        </w:rPr>
        <w:t>7049 Willard Street, near S. Lang Ave. and Lloyd Street, Pittsburgh, PA</w:t>
      </w:r>
      <w:r w:rsidR="00DC6760">
        <w:rPr>
          <w:rFonts w:cs="Times New Roman"/>
          <w:spacing w:val="-3"/>
        </w:rPr>
        <w:t xml:space="preserve">, Allegheny County.  </w:t>
      </w:r>
      <w:r>
        <w:t xml:space="preserve">As relief, I&amp;E </w:t>
      </w:r>
      <w:proofErr w:type="gramStart"/>
      <w:r w:rsidR="002C2B8E">
        <w:t>proposes</w:t>
      </w:r>
      <w:proofErr w:type="gramEnd"/>
      <w:r>
        <w:t xml:space="preserve"> Columbia </w:t>
      </w:r>
      <w:r w:rsidR="002C2B8E">
        <w:t xml:space="preserve">pay a civil penalty and take various corrective actions.  </w:t>
      </w:r>
    </w:p>
    <w:p w14:paraId="129651A0" w14:textId="77777777" w:rsidR="002C2B8E" w:rsidRDefault="002C2B8E" w:rsidP="00D0153E">
      <w:pPr>
        <w:tabs>
          <w:tab w:val="left" w:pos="-720"/>
        </w:tabs>
        <w:suppressAutoHyphens/>
        <w:spacing w:line="360" w:lineRule="auto"/>
        <w:ind w:firstLine="1440"/>
      </w:pPr>
    </w:p>
    <w:p w14:paraId="6AC92E2D" w14:textId="6A03BB07" w:rsidR="002C2B8E" w:rsidRDefault="002C2B8E" w:rsidP="00D0153E">
      <w:pPr>
        <w:tabs>
          <w:tab w:val="left" w:pos="-720"/>
        </w:tabs>
        <w:suppressAutoHyphens/>
        <w:spacing w:line="360" w:lineRule="auto"/>
        <w:ind w:firstLine="1440"/>
      </w:pPr>
      <w:r>
        <w:t xml:space="preserve">On </w:t>
      </w:r>
      <w:r w:rsidR="008251E5">
        <w:t>December 5</w:t>
      </w:r>
      <w:r>
        <w:t xml:space="preserve">, 2023, </w:t>
      </w:r>
      <w:r w:rsidR="00204FEB">
        <w:t>Matcon</w:t>
      </w:r>
      <w:r>
        <w:t xml:space="preserve"> filed a </w:t>
      </w:r>
      <w:r w:rsidR="005C5932">
        <w:t xml:space="preserve">Request for Extension of Time to respond to the Complaint.  </w:t>
      </w:r>
      <w:r>
        <w:t xml:space="preserve"> By Secretarial Letter dated </w:t>
      </w:r>
      <w:r w:rsidR="00E31F71">
        <w:t>December 6</w:t>
      </w:r>
      <w:r w:rsidR="00523197">
        <w:t xml:space="preserve">, 2023, the Commission’s Secretary’s Bureau granted </w:t>
      </w:r>
      <w:r w:rsidR="00E31F71">
        <w:t>Matcon’s</w:t>
      </w:r>
      <w:r w:rsidR="00523197">
        <w:t xml:space="preserve"> request, extending the deadline for </w:t>
      </w:r>
      <w:r w:rsidR="00E31F71">
        <w:t>it</w:t>
      </w:r>
      <w:r w:rsidR="00523197">
        <w:t xml:space="preserve"> to file a response to </w:t>
      </w:r>
      <w:r w:rsidR="00E04EDA">
        <w:t>January 4, 2024</w:t>
      </w:r>
      <w:r w:rsidR="00523197">
        <w:t xml:space="preserve">.  </w:t>
      </w:r>
    </w:p>
    <w:p w14:paraId="26E1F7FC" w14:textId="77777777" w:rsidR="00523197" w:rsidRDefault="00523197" w:rsidP="00D0153E">
      <w:pPr>
        <w:tabs>
          <w:tab w:val="left" w:pos="-720"/>
        </w:tabs>
        <w:suppressAutoHyphens/>
        <w:spacing w:line="360" w:lineRule="auto"/>
        <w:ind w:firstLine="1440"/>
      </w:pPr>
    </w:p>
    <w:p w14:paraId="369F00E8" w14:textId="2D8B5FC1" w:rsidR="00402BA2" w:rsidRPr="00A0335C" w:rsidRDefault="00523197" w:rsidP="00D0153E">
      <w:pPr>
        <w:tabs>
          <w:tab w:val="left" w:pos="-720"/>
        </w:tabs>
        <w:suppressAutoHyphens/>
        <w:spacing w:line="360" w:lineRule="auto"/>
        <w:ind w:firstLine="1440"/>
        <w:rPr>
          <w:b/>
          <w:bCs/>
        </w:rPr>
      </w:pPr>
      <w:r>
        <w:t xml:space="preserve">On </w:t>
      </w:r>
      <w:r w:rsidR="000715C2">
        <w:t>January 4, 2024</w:t>
      </w:r>
      <w:r>
        <w:t xml:space="preserve">, </w:t>
      </w:r>
      <w:r w:rsidR="000715C2">
        <w:t>Matcon</w:t>
      </w:r>
      <w:r>
        <w:t xml:space="preserve"> filed an Answer to the Complaint, denying th</w:t>
      </w:r>
      <w:r w:rsidR="008D31BE">
        <w:t>at</w:t>
      </w:r>
      <w:r>
        <w:t xml:space="preserve"> </w:t>
      </w:r>
      <w:r w:rsidR="001C448C">
        <w:t>Matcon</w:t>
      </w:r>
      <w:r w:rsidR="00C140F9">
        <w:t xml:space="preserve"> had violated the </w:t>
      </w:r>
      <w:r w:rsidR="00C140F9">
        <w:rPr>
          <w:rFonts w:cs="Times New Roman"/>
          <w:spacing w:val="-3"/>
        </w:rPr>
        <w:t>PA One Call Law</w:t>
      </w:r>
      <w:r w:rsidR="008D31BE">
        <w:rPr>
          <w:rFonts w:cs="Times New Roman"/>
          <w:spacing w:val="-3"/>
        </w:rPr>
        <w:t xml:space="preserve">, because, </w:t>
      </w:r>
      <w:r w:rsidR="008D31BE">
        <w:rPr>
          <w:rFonts w:cs="Times New Roman"/>
          <w:i/>
          <w:iCs/>
          <w:spacing w:val="-3"/>
        </w:rPr>
        <w:t>inter alia</w:t>
      </w:r>
      <w:r w:rsidR="008D31BE">
        <w:rPr>
          <w:rFonts w:cs="Times New Roman"/>
          <w:spacing w:val="-3"/>
        </w:rPr>
        <w:t xml:space="preserve">, it was not </w:t>
      </w:r>
      <w:r w:rsidR="00A0335C">
        <w:rPr>
          <w:rFonts w:cs="Times New Roman"/>
          <w:spacing w:val="-3"/>
        </w:rPr>
        <w:t xml:space="preserve">engaged in excavation work as defined by the PA One Call Law.  </w:t>
      </w:r>
    </w:p>
    <w:p w14:paraId="4F89C0E3" w14:textId="77777777" w:rsidR="00402BA2" w:rsidRDefault="00402BA2" w:rsidP="00D0153E">
      <w:pPr>
        <w:tabs>
          <w:tab w:val="left" w:pos="-720"/>
        </w:tabs>
        <w:suppressAutoHyphens/>
        <w:spacing w:line="360" w:lineRule="auto"/>
        <w:ind w:firstLine="1440"/>
      </w:pPr>
    </w:p>
    <w:p w14:paraId="7EB734CC" w14:textId="000FD49E" w:rsidR="00402BA2" w:rsidRDefault="00402BA2" w:rsidP="00D0153E">
      <w:pPr>
        <w:tabs>
          <w:tab w:val="left" w:pos="-720"/>
        </w:tabs>
        <w:suppressAutoHyphens/>
        <w:spacing w:line="360" w:lineRule="auto"/>
        <w:ind w:firstLine="1440"/>
      </w:pPr>
      <w:r>
        <w:t xml:space="preserve">On </w:t>
      </w:r>
      <w:r w:rsidR="00A0335C">
        <w:t>January 24, 2024</w:t>
      </w:r>
      <w:r>
        <w:t xml:space="preserve">, the Commission issued a Hearing Notice, assigning this matter to me and scheduling an evidentiary hearing for </w:t>
      </w:r>
      <w:r w:rsidR="00A0335C">
        <w:t>March 5,</w:t>
      </w:r>
      <w:r>
        <w:t xml:space="preserve"> 2024. </w:t>
      </w:r>
    </w:p>
    <w:p w14:paraId="7D7E4540" w14:textId="77777777" w:rsidR="00402BA2" w:rsidRDefault="00402BA2" w:rsidP="00D0153E">
      <w:pPr>
        <w:tabs>
          <w:tab w:val="left" w:pos="-720"/>
        </w:tabs>
        <w:suppressAutoHyphens/>
        <w:spacing w:line="360" w:lineRule="auto"/>
        <w:ind w:firstLine="1440"/>
      </w:pPr>
    </w:p>
    <w:p w14:paraId="1E097F66" w14:textId="7958259C" w:rsidR="00523197" w:rsidRDefault="00402BA2" w:rsidP="00D0153E">
      <w:pPr>
        <w:tabs>
          <w:tab w:val="left" w:pos="-720"/>
        </w:tabs>
        <w:suppressAutoHyphens/>
        <w:spacing w:line="360" w:lineRule="auto"/>
        <w:ind w:firstLine="1440"/>
        <w:rPr>
          <w:rFonts w:cs="Times New Roman"/>
          <w:spacing w:val="-3"/>
        </w:rPr>
      </w:pPr>
      <w:r>
        <w:lastRenderedPageBreak/>
        <w:t xml:space="preserve">After reviewing the filings in this matter and consulting with the parties, I have determined it is appropriate to convert the </w:t>
      </w:r>
      <w:r w:rsidR="00A0335C">
        <w:t>March 5</w:t>
      </w:r>
      <w:r>
        <w:t xml:space="preserve">, 2024, proceeding into a Prehearing Conference.    </w:t>
      </w:r>
      <w:r w:rsidR="00523197">
        <w:t xml:space="preserve"> </w:t>
      </w:r>
    </w:p>
    <w:p w14:paraId="72B94D8D" w14:textId="77777777" w:rsidR="00430F67" w:rsidRDefault="00430F67" w:rsidP="00D0153E">
      <w:pPr>
        <w:tabs>
          <w:tab w:val="left" w:pos="-720"/>
        </w:tabs>
        <w:suppressAutoHyphens/>
        <w:spacing w:line="360" w:lineRule="auto"/>
        <w:ind w:firstLine="1440"/>
        <w:rPr>
          <w:rFonts w:cs="Times New Roman"/>
          <w:spacing w:val="-3"/>
        </w:rPr>
      </w:pPr>
    </w:p>
    <w:p w14:paraId="1D746EEA" w14:textId="0A9D3DB5" w:rsidR="00910F21" w:rsidRDefault="003D3D02" w:rsidP="00D0153E">
      <w:pPr>
        <w:tabs>
          <w:tab w:val="left" w:pos="-720"/>
        </w:tabs>
        <w:suppressAutoHyphens/>
        <w:spacing w:line="360" w:lineRule="auto"/>
        <w:ind w:firstLine="1440"/>
      </w:pPr>
      <w:r>
        <w:rPr>
          <w:rFonts w:cs="Times New Roman"/>
          <w:spacing w:val="-3"/>
        </w:rPr>
        <w:t xml:space="preserve"> </w:t>
      </w:r>
      <w:r w:rsidR="00402BA2">
        <w:rPr>
          <w:rFonts w:cs="Times New Roman"/>
          <w:spacing w:val="-3"/>
        </w:rPr>
        <w:t xml:space="preserve">The </w:t>
      </w:r>
      <w:r>
        <w:rPr>
          <w:rFonts w:cs="Times New Roman"/>
          <w:spacing w:val="-3"/>
        </w:rPr>
        <w:t xml:space="preserve">Prehearing Conference is scheduled </w:t>
      </w:r>
      <w:r w:rsidRPr="007D2CE0">
        <w:rPr>
          <w:rFonts w:cs="Times New Roman"/>
          <w:spacing w:val="-3"/>
        </w:rPr>
        <w:t xml:space="preserve">for </w:t>
      </w:r>
      <w:r w:rsidR="00A0335C">
        <w:rPr>
          <w:rFonts w:eastAsia="SimSun"/>
          <w:b/>
        </w:rPr>
        <w:t>March 5</w:t>
      </w:r>
      <w:r w:rsidR="00A37BEE">
        <w:rPr>
          <w:rFonts w:eastAsia="SimSun"/>
          <w:b/>
        </w:rPr>
        <w:t>, 20</w:t>
      </w:r>
      <w:r w:rsidR="005035A5">
        <w:rPr>
          <w:rFonts w:eastAsia="SimSun"/>
          <w:b/>
        </w:rPr>
        <w:t>2</w:t>
      </w:r>
      <w:r w:rsidR="008F4521">
        <w:rPr>
          <w:rFonts w:eastAsia="SimSun"/>
          <w:b/>
        </w:rPr>
        <w:t>4</w:t>
      </w:r>
      <w:r w:rsidR="00A37BEE" w:rsidRPr="006C7CA9">
        <w:rPr>
          <w:rFonts w:eastAsia="SimSun"/>
          <w:b/>
        </w:rPr>
        <w:t>, at 1</w:t>
      </w:r>
      <w:r w:rsidR="00A37BEE">
        <w:rPr>
          <w:rFonts w:eastAsia="SimSun"/>
          <w:b/>
        </w:rPr>
        <w:t>0</w:t>
      </w:r>
      <w:r w:rsidR="00A37BEE" w:rsidRPr="006C7CA9">
        <w:rPr>
          <w:rFonts w:eastAsia="SimSun"/>
          <w:b/>
        </w:rPr>
        <w:t xml:space="preserve">:00 </w:t>
      </w:r>
      <w:r w:rsidR="002A2932" w:rsidRPr="002A2932">
        <w:rPr>
          <w:rFonts w:eastAsia="SimSun"/>
          <w:b/>
        </w:rPr>
        <w:t>a</w:t>
      </w:r>
      <w:r w:rsidR="00A37BEE" w:rsidRPr="002A2932">
        <w:rPr>
          <w:rFonts w:eastAsia="SimSun"/>
          <w:b/>
        </w:rPr>
        <w:t>.m</w:t>
      </w:r>
      <w:r w:rsidR="005035A5">
        <w:rPr>
          <w:rFonts w:eastAsia="SimSun"/>
          <w:b/>
        </w:rPr>
        <w:t xml:space="preserve">.  </w:t>
      </w:r>
      <w:r w:rsidR="00910F21" w:rsidRPr="00802D85">
        <w:t xml:space="preserve">To participate in the hearing, you must dial the toll-free number listed below.  You will be prompted to enter a PIN number, which is also listed below.  You will be asked to </w:t>
      </w:r>
      <w:proofErr w:type="gramStart"/>
      <w:r w:rsidR="00910F21" w:rsidRPr="00802D85">
        <w:t>speak</w:t>
      </w:r>
      <w:proofErr w:type="gramEnd"/>
      <w:r w:rsidR="00910F21" w:rsidRPr="00802D85">
        <w:t xml:space="preserve"> your name and then the telephone system will connect you to the </w:t>
      </w:r>
      <w:r w:rsidR="005035A5">
        <w:t>conference</w:t>
      </w:r>
      <w:r w:rsidR="00910F21" w:rsidRPr="00802D85">
        <w:t xml:space="preserve">. </w:t>
      </w:r>
      <w:r w:rsidR="00910F21">
        <w:t xml:space="preserve"> </w:t>
      </w:r>
    </w:p>
    <w:p w14:paraId="16CFD3BD" w14:textId="77777777" w:rsidR="00A37BEE" w:rsidRDefault="00910F21" w:rsidP="00A37BEE">
      <w:pPr>
        <w:tabs>
          <w:tab w:val="left" w:pos="0"/>
        </w:tabs>
        <w:spacing w:line="360" w:lineRule="auto"/>
        <w:jc w:val="center"/>
      </w:pPr>
      <w:r>
        <w:tab/>
      </w:r>
      <w:r>
        <w:tab/>
      </w:r>
      <w:r>
        <w:tab/>
      </w:r>
    </w:p>
    <w:p w14:paraId="3DFAAD23" w14:textId="190B15E1" w:rsidR="00A37BEE" w:rsidRPr="00A37BEE" w:rsidRDefault="00A37BEE" w:rsidP="00A37BEE">
      <w:pPr>
        <w:tabs>
          <w:tab w:val="left" w:pos="0"/>
        </w:tabs>
        <w:spacing w:line="360" w:lineRule="auto"/>
        <w:jc w:val="center"/>
        <w:rPr>
          <w:rFonts w:cs="Times New Roman"/>
          <w:b/>
        </w:rPr>
      </w:pPr>
      <w:r w:rsidRPr="00A37BEE">
        <w:rPr>
          <w:rFonts w:cs="Times New Roman"/>
          <w:b/>
          <w:u w:val="single"/>
        </w:rPr>
        <w:t xml:space="preserve"> </w:t>
      </w:r>
      <w:bookmarkStart w:id="0" w:name="_Hlk5109067"/>
      <w:r w:rsidRPr="00A37BEE">
        <w:rPr>
          <w:rFonts w:cs="Times New Roman"/>
          <w:b/>
          <w:u w:val="single"/>
        </w:rPr>
        <w:t>C</w:t>
      </w:r>
      <w:r w:rsidR="00A031FE">
        <w:rPr>
          <w:rFonts w:cs="Times New Roman"/>
          <w:b/>
          <w:u w:val="single"/>
        </w:rPr>
        <w:t>ALL</w:t>
      </w:r>
      <w:r w:rsidR="00B73A67">
        <w:rPr>
          <w:rFonts w:cs="Times New Roman"/>
          <w:b/>
          <w:u w:val="single"/>
        </w:rPr>
        <w:t>-IN</w:t>
      </w:r>
      <w:r w:rsidRPr="00A37BEE">
        <w:rPr>
          <w:rFonts w:cs="Times New Roman"/>
          <w:b/>
          <w:u w:val="single"/>
        </w:rPr>
        <w:t xml:space="preserve"> </w:t>
      </w:r>
      <w:bookmarkEnd w:id="0"/>
      <w:r w:rsidRPr="00A37BEE">
        <w:rPr>
          <w:rFonts w:cs="Times New Roman"/>
          <w:b/>
          <w:u w:val="single"/>
        </w:rPr>
        <w:t>INFORMATIO</w:t>
      </w:r>
      <w:r w:rsidR="005035A5">
        <w:rPr>
          <w:rFonts w:cs="Times New Roman"/>
          <w:b/>
          <w:u w:val="single"/>
        </w:rPr>
        <w:t>N</w:t>
      </w:r>
    </w:p>
    <w:p w14:paraId="54D0E963" w14:textId="202837D9" w:rsidR="00A37BEE" w:rsidRPr="00413C8F" w:rsidRDefault="00A37BEE" w:rsidP="00000FDF">
      <w:pPr>
        <w:autoSpaceDE/>
        <w:autoSpaceDN/>
        <w:rPr>
          <w:rFonts w:cs="Times New Roman"/>
        </w:rPr>
      </w:pPr>
      <w:r w:rsidRPr="00A37BEE">
        <w:rPr>
          <w:rFonts w:cs="Times New Roman"/>
        </w:rPr>
        <w:tab/>
      </w:r>
      <w:r w:rsidRPr="00A37BEE">
        <w:rPr>
          <w:rFonts w:cs="Times New Roman"/>
        </w:rPr>
        <w:tab/>
      </w:r>
      <w:r w:rsidRPr="00A37BEE">
        <w:rPr>
          <w:rFonts w:cs="Times New Roman"/>
        </w:rPr>
        <w:tab/>
      </w:r>
      <w:r w:rsidRPr="00413C8F">
        <w:rPr>
          <w:rFonts w:cs="Times New Roman"/>
        </w:rPr>
        <w:t xml:space="preserve">Toll-free Bridge Number:  </w:t>
      </w:r>
      <w:r w:rsidR="008B2BF9" w:rsidRPr="00413C8F">
        <w:rPr>
          <w:rFonts w:cs="Times New Roman"/>
        </w:rPr>
        <w:t>1-</w:t>
      </w:r>
      <w:r w:rsidR="00960837" w:rsidRPr="00413C8F">
        <w:t xml:space="preserve"> </w:t>
      </w:r>
      <w:r w:rsidR="00960837" w:rsidRPr="00413C8F">
        <w:rPr>
          <w:rFonts w:cs="Times New Roman"/>
        </w:rPr>
        <w:t>888-547-8922</w:t>
      </w:r>
    </w:p>
    <w:p w14:paraId="6D96545A" w14:textId="2798BC03" w:rsidR="00A37BEE" w:rsidRPr="00A37BEE" w:rsidRDefault="00A37BEE" w:rsidP="00000FDF">
      <w:pPr>
        <w:autoSpaceDE/>
        <w:autoSpaceDN/>
        <w:rPr>
          <w:rFonts w:cs="Times New Roman"/>
        </w:rPr>
      </w:pPr>
      <w:r w:rsidRPr="00413C8F">
        <w:rPr>
          <w:rFonts w:cs="Times New Roman"/>
        </w:rPr>
        <w:tab/>
      </w:r>
      <w:r w:rsidRPr="00413C8F">
        <w:rPr>
          <w:rFonts w:cs="Times New Roman"/>
        </w:rPr>
        <w:tab/>
      </w:r>
      <w:r w:rsidRPr="00413C8F">
        <w:rPr>
          <w:rFonts w:cs="Times New Roman"/>
        </w:rPr>
        <w:tab/>
        <w:t xml:space="preserve">PIN Number:  </w:t>
      </w:r>
      <w:r w:rsidR="00960837" w:rsidRPr="00413C8F">
        <w:rPr>
          <w:rFonts w:cs="Times New Roman"/>
        </w:rPr>
        <w:t>74903461</w:t>
      </w:r>
    </w:p>
    <w:p w14:paraId="3B2EF549" w14:textId="77777777" w:rsidR="00910F21" w:rsidRDefault="00910F21" w:rsidP="00A37BEE">
      <w:pPr>
        <w:spacing w:line="360" w:lineRule="auto"/>
      </w:pPr>
    </w:p>
    <w:p w14:paraId="1384BD46" w14:textId="23B4C4BD" w:rsidR="00910F21" w:rsidRDefault="00910F21" w:rsidP="00D0153E">
      <w:pPr>
        <w:spacing w:line="360" w:lineRule="auto"/>
        <w:rPr>
          <w:b/>
          <w:u w:val="single"/>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p>
    <w:p w14:paraId="665DF268" w14:textId="77777777" w:rsidR="00910F21" w:rsidRPr="00760CA7" w:rsidRDefault="00910F21" w:rsidP="00D0153E">
      <w:pPr>
        <w:tabs>
          <w:tab w:val="left" w:pos="-720"/>
        </w:tabs>
        <w:suppressAutoHyphens/>
        <w:spacing w:line="360" w:lineRule="auto"/>
        <w:ind w:firstLine="1440"/>
        <w:rPr>
          <w:rFonts w:cs="Times New Roman"/>
          <w:spacing w:val="-3"/>
        </w:rPr>
      </w:pPr>
    </w:p>
    <w:p w14:paraId="3D2960AA" w14:textId="77777777" w:rsidR="003D3D02" w:rsidRPr="00760CA7" w:rsidRDefault="003D3D02" w:rsidP="00D0153E">
      <w:pPr>
        <w:tabs>
          <w:tab w:val="left" w:pos="-720"/>
        </w:tabs>
        <w:suppressAutoHyphens/>
        <w:spacing w:line="360" w:lineRule="auto"/>
        <w:ind w:firstLine="1440"/>
        <w:rPr>
          <w:rFonts w:cs="Times New Roman"/>
          <w:spacing w:val="-3"/>
        </w:rPr>
      </w:pPr>
      <w:r w:rsidRPr="00760CA7">
        <w:rPr>
          <w:rFonts w:cs="Times New Roman"/>
          <w:spacing w:val="-3"/>
        </w:rPr>
        <w:t>The parties are hereby directed to comply with the following requirements:</w:t>
      </w:r>
    </w:p>
    <w:p w14:paraId="776E2E46" w14:textId="77777777" w:rsidR="003D3D02" w:rsidRPr="00760CA7" w:rsidRDefault="003D3D02" w:rsidP="00E9324C"/>
    <w:p w14:paraId="58F22F6F" w14:textId="23C9A947" w:rsidR="003D3D02" w:rsidRPr="00760CA7" w:rsidRDefault="003D3D02" w:rsidP="00D0153E">
      <w:pPr>
        <w:numPr>
          <w:ilvl w:val="0"/>
          <w:numId w:val="8"/>
        </w:numPr>
        <w:tabs>
          <w:tab w:val="clear" w:pos="2160"/>
          <w:tab w:val="num" w:pos="0"/>
        </w:tabs>
        <w:autoSpaceDE/>
        <w:autoSpaceDN/>
        <w:spacing w:line="360" w:lineRule="auto"/>
        <w:ind w:left="0" w:firstLine="1440"/>
        <w:rPr>
          <w:u w:val="single"/>
        </w:rPr>
      </w:pPr>
      <w:r w:rsidRPr="00760CA7">
        <w:t xml:space="preserve">Each party must file and serve, </w:t>
      </w:r>
      <w:r w:rsidRPr="00760CA7">
        <w:rPr>
          <w:b/>
          <w:bCs/>
        </w:rPr>
        <w:t xml:space="preserve">prior to </w:t>
      </w:r>
      <w:r w:rsidR="005035A5" w:rsidRPr="00760CA7">
        <w:rPr>
          <w:b/>
          <w:bCs/>
        </w:rPr>
        <w:t>12</w:t>
      </w:r>
      <w:r w:rsidR="002A2932" w:rsidRPr="00760CA7">
        <w:rPr>
          <w:b/>
          <w:bCs/>
        </w:rPr>
        <w:t xml:space="preserve">:00 </w:t>
      </w:r>
      <w:r w:rsidR="005035A5" w:rsidRPr="00760CA7">
        <w:rPr>
          <w:b/>
          <w:bCs/>
        </w:rPr>
        <w:t>p</w:t>
      </w:r>
      <w:r w:rsidR="002A2932" w:rsidRPr="00760CA7">
        <w:rPr>
          <w:b/>
          <w:bCs/>
        </w:rPr>
        <w:t>.m.</w:t>
      </w:r>
      <w:r w:rsidR="005035A5" w:rsidRPr="00760CA7">
        <w:rPr>
          <w:b/>
          <w:bCs/>
        </w:rPr>
        <w:t xml:space="preserve"> noon</w:t>
      </w:r>
      <w:r w:rsidR="002A2932" w:rsidRPr="00760CA7">
        <w:rPr>
          <w:b/>
          <w:bCs/>
        </w:rPr>
        <w:t xml:space="preserve"> </w:t>
      </w:r>
      <w:r w:rsidR="008F4521">
        <w:rPr>
          <w:b/>
          <w:bCs/>
        </w:rPr>
        <w:t xml:space="preserve">on </w:t>
      </w:r>
      <w:r w:rsidR="00D33F09">
        <w:rPr>
          <w:b/>
          <w:bCs/>
        </w:rPr>
        <w:t>March 4</w:t>
      </w:r>
      <w:r w:rsidR="008F4521">
        <w:rPr>
          <w:b/>
          <w:bCs/>
        </w:rPr>
        <w:t>, 2024</w:t>
      </w:r>
      <w:r w:rsidRPr="00760CA7">
        <w:rPr>
          <w:rFonts w:cs="Times New Roman"/>
          <w:spacing w:val="-3"/>
        </w:rPr>
        <w:t>, a Prehearing Conference Memorandum which sets forth a proposed plan and schedule of discovery, a listing of your proposed witnesses and the subject of their testimony, and a proposed litigation schedule, agreed to by all parties if possible</w:t>
      </w:r>
      <w:r w:rsidR="0079215B" w:rsidRPr="00760CA7">
        <w:rPr>
          <w:rFonts w:cs="Times New Roman"/>
          <w:spacing w:val="-3"/>
        </w:rPr>
        <w:t>.</w:t>
      </w:r>
      <w:r w:rsidR="007B7482" w:rsidRPr="00760CA7">
        <w:rPr>
          <w:rFonts w:cs="Times New Roman"/>
          <w:spacing w:val="-3"/>
        </w:rPr>
        <w:t xml:space="preserve"> </w:t>
      </w:r>
      <w:r w:rsidRPr="00760CA7">
        <w:t xml:space="preserve"> 52 </w:t>
      </w:r>
      <w:proofErr w:type="spellStart"/>
      <w:proofErr w:type="gramStart"/>
      <w:r w:rsidRPr="00760CA7">
        <w:t>Pa.Code</w:t>
      </w:r>
      <w:proofErr w:type="spellEnd"/>
      <w:proofErr w:type="gramEnd"/>
      <w:r w:rsidRPr="00760CA7">
        <w:t xml:space="preserve"> §</w:t>
      </w:r>
      <w:r w:rsidR="004554F6" w:rsidRPr="00760CA7">
        <w:t xml:space="preserve"> </w:t>
      </w:r>
      <w:r w:rsidRPr="00760CA7">
        <w:t xml:space="preserve">5.222(d).  </w:t>
      </w:r>
      <w:r w:rsidR="005035A5" w:rsidRPr="00760CA7">
        <w:t xml:space="preserve">The undesigned may be served by email at </w:t>
      </w:r>
      <w:hyperlink r:id="rId8" w:history="1">
        <w:r w:rsidR="005035A5" w:rsidRPr="00760CA7">
          <w:rPr>
            <w:rStyle w:val="Hyperlink"/>
          </w:rPr>
          <w:t>edevoe@pa.gov</w:t>
        </w:r>
      </w:hyperlink>
      <w:r w:rsidR="005035A5" w:rsidRPr="00760CA7">
        <w:t>, and there is no need to follow email service by hard copy until further notice</w:t>
      </w:r>
      <w:r w:rsidRPr="00760CA7">
        <w:t>.</w:t>
      </w:r>
      <w:r w:rsidR="00E359D4" w:rsidRPr="00760CA7">
        <w:t xml:space="preserve">  </w:t>
      </w:r>
      <w:r w:rsidR="008F4521">
        <w:rPr>
          <w:b/>
          <w:bCs/>
          <w:u w:val="single"/>
        </w:rPr>
        <w:t xml:space="preserve">If a Party is </w:t>
      </w:r>
      <w:r w:rsidR="00E359D4" w:rsidRPr="00760CA7">
        <w:rPr>
          <w:b/>
          <w:bCs/>
          <w:u w:val="single"/>
        </w:rPr>
        <w:t>represented by multiple attorneys</w:t>
      </w:r>
      <w:r w:rsidR="008F4521">
        <w:rPr>
          <w:b/>
          <w:bCs/>
          <w:u w:val="single"/>
        </w:rPr>
        <w:t>, it</w:t>
      </w:r>
      <w:r w:rsidR="00E359D4" w:rsidRPr="00760CA7">
        <w:rPr>
          <w:b/>
          <w:bCs/>
          <w:u w:val="single"/>
        </w:rPr>
        <w:t xml:space="preserve"> should designate </w:t>
      </w:r>
      <w:r w:rsidR="005035A5" w:rsidRPr="00760CA7">
        <w:rPr>
          <w:b/>
          <w:bCs/>
          <w:u w:val="single"/>
        </w:rPr>
        <w:t xml:space="preserve">in their prehearing memorandum </w:t>
      </w:r>
      <w:r w:rsidR="00E359D4" w:rsidRPr="00760CA7">
        <w:rPr>
          <w:b/>
          <w:bCs/>
          <w:u w:val="single"/>
        </w:rPr>
        <w:t>a lead representative for the purposes of the prehearing conference.</w:t>
      </w:r>
    </w:p>
    <w:p w14:paraId="5E12A6D7" w14:textId="77777777" w:rsidR="003D3D02" w:rsidRPr="00760CA7" w:rsidRDefault="003D3D02" w:rsidP="00D0153E">
      <w:pPr>
        <w:pStyle w:val="ParaTab1"/>
        <w:spacing w:line="360" w:lineRule="auto"/>
        <w:ind w:firstLine="0"/>
        <w:rPr>
          <w:rFonts w:ascii="Times New Roman" w:hAnsi="Times New Roman" w:cs="Times New Roman"/>
          <w:spacing w:val="-3"/>
        </w:rPr>
      </w:pPr>
    </w:p>
    <w:p w14:paraId="20478782" w14:textId="77777777" w:rsidR="00760CA7" w:rsidRDefault="003D3D02" w:rsidP="00760CA7">
      <w:pPr>
        <w:numPr>
          <w:ilvl w:val="0"/>
          <w:numId w:val="8"/>
        </w:numPr>
        <w:tabs>
          <w:tab w:val="clear" w:pos="2160"/>
          <w:tab w:val="num" w:pos="0"/>
        </w:tabs>
        <w:autoSpaceDE/>
        <w:autoSpaceDN/>
        <w:spacing w:line="360" w:lineRule="auto"/>
        <w:ind w:left="0" w:firstLine="1440"/>
      </w:pPr>
      <w:r w:rsidRPr="00760CA7">
        <w:rPr>
          <w:rFonts w:cs="Times New Roman"/>
          <w:spacing w:val="-3"/>
        </w:rPr>
        <w:t xml:space="preserve">A request for a change of the scheduled Prehearing Conference date must state the agreement or opposition of other parties and must be submitted </w:t>
      </w:r>
      <w:r w:rsidR="005035A5" w:rsidRPr="00760CA7">
        <w:rPr>
          <w:rFonts w:cs="Times New Roman"/>
          <w:spacing w:val="-3"/>
        </w:rPr>
        <w:t xml:space="preserve">by email to the undersigned </w:t>
      </w:r>
      <w:r w:rsidRPr="00760CA7">
        <w:rPr>
          <w:rFonts w:cs="Times New Roman"/>
          <w:spacing w:val="-3"/>
        </w:rPr>
        <w:t xml:space="preserve">no later than </w:t>
      </w:r>
      <w:r w:rsidR="005035A5" w:rsidRPr="00760CA7">
        <w:rPr>
          <w:rFonts w:cs="Times New Roman"/>
          <w:spacing w:val="-3"/>
        </w:rPr>
        <w:t>three</w:t>
      </w:r>
      <w:r w:rsidRPr="00760CA7">
        <w:rPr>
          <w:rFonts w:cs="Times New Roman"/>
          <w:spacing w:val="-3"/>
        </w:rPr>
        <w:t xml:space="preserve"> (</w:t>
      </w:r>
      <w:r w:rsidR="005035A5" w:rsidRPr="00760CA7">
        <w:rPr>
          <w:rFonts w:cs="Times New Roman"/>
          <w:spacing w:val="-3"/>
        </w:rPr>
        <w:t>3</w:t>
      </w:r>
      <w:r w:rsidRPr="00760CA7">
        <w:rPr>
          <w:rFonts w:cs="Times New Roman"/>
          <w:spacing w:val="-3"/>
        </w:rPr>
        <w:t xml:space="preserve">) days prior to the Prehearing Conference.  52 </w:t>
      </w:r>
      <w:proofErr w:type="spellStart"/>
      <w:proofErr w:type="gramStart"/>
      <w:r w:rsidRPr="00760CA7">
        <w:rPr>
          <w:rFonts w:cs="Times New Roman"/>
          <w:spacing w:val="-3"/>
        </w:rPr>
        <w:t>Pa.Code</w:t>
      </w:r>
      <w:proofErr w:type="spellEnd"/>
      <w:proofErr w:type="gramEnd"/>
      <w:r w:rsidRPr="00760CA7">
        <w:rPr>
          <w:rFonts w:cs="Times New Roman"/>
          <w:spacing w:val="-3"/>
        </w:rPr>
        <w:t xml:space="preserve"> §</w:t>
      </w:r>
      <w:r w:rsidR="004554F6" w:rsidRPr="00760CA7">
        <w:rPr>
          <w:rFonts w:cs="Times New Roman"/>
          <w:spacing w:val="-3"/>
        </w:rPr>
        <w:t xml:space="preserve"> </w:t>
      </w:r>
      <w:r w:rsidRPr="00760CA7">
        <w:rPr>
          <w:rFonts w:cs="Times New Roman"/>
          <w:spacing w:val="-3"/>
        </w:rPr>
        <w:t xml:space="preserve">1.15(b).  </w:t>
      </w:r>
      <w:r w:rsidRPr="00760CA7">
        <w:t xml:space="preserve">Only the </w:t>
      </w:r>
      <w:r w:rsidRPr="00760CA7">
        <w:lastRenderedPageBreak/>
        <w:t>under</w:t>
      </w:r>
      <w:r w:rsidR="00DB683B" w:rsidRPr="00760CA7">
        <w:t>signed Administrative Law Judge</w:t>
      </w:r>
      <w:r w:rsidRPr="00760CA7">
        <w:t xml:space="preserve"> or </w:t>
      </w:r>
      <w:r w:rsidR="005035A5" w:rsidRPr="00760CA7">
        <w:t xml:space="preserve">the </w:t>
      </w:r>
      <w:r w:rsidRPr="00760CA7">
        <w:t xml:space="preserve">Office of Administrative Law Judge Scheduling Unit may grant a request for a change of a prehearing conference.  Such changes are granted only in rare situations where sufficient cause exists.  Requests for changes of subsequent </w:t>
      </w:r>
      <w:r w:rsidR="005035A5" w:rsidRPr="00760CA7">
        <w:t>p</w:t>
      </w:r>
      <w:r w:rsidRPr="00760CA7">
        <w:t xml:space="preserve">rehearing </w:t>
      </w:r>
      <w:r w:rsidR="005035A5" w:rsidRPr="00760CA7">
        <w:t>c</w:t>
      </w:r>
      <w:r w:rsidRPr="00760CA7">
        <w:t xml:space="preserve">onferences or hearings, if any, should also be served directly </w:t>
      </w:r>
      <w:proofErr w:type="gramStart"/>
      <w:r w:rsidRPr="00760CA7">
        <w:t>on</w:t>
      </w:r>
      <w:proofErr w:type="gramEnd"/>
      <w:r w:rsidRPr="00760CA7">
        <w:t xml:space="preserve"> the pre</w:t>
      </w:r>
      <w:r w:rsidR="00DB683B" w:rsidRPr="00760CA7">
        <w:t>siding Administrative Law Judge</w:t>
      </w:r>
      <w:r w:rsidRPr="00760CA7">
        <w:t xml:space="preserve">. </w:t>
      </w:r>
    </w:p>
    <w:p w14:paraId="2759AC4D" w14:textId="2FBA7C83" w:rsidR="003D3D02" w:rsidRPr="00760CA7" w:rsidRDefault="003D3D02" w:rsidP="00760CA7">
      <w:pPr>
        <w:autoSpaceDE/>
        <w:autoSpaceDN/>
        <w:spacing w:line="360" w:lineRule="auto"/>
        <w:ind w:left="1440"/>
      </w:pPr>
      <w:r w:rsidRPr="00760CA7">
        <w:t xml:space="preserve"> </w:t>
      </w:r>
    </w:p>
    <w:p w14:paraId="3633D77F" w14:textId="77777777" w:rsidR="003D3D02" w:rsidRDefault="003D3D02" w:rsidP="00D0153E">
      <w:pPr>
        <w:tabs>
          <w:tab w:val="left" w:pos="-1440"/>
          <w:tab w:val="left" w:pos="-720"/>
          <w:tab w:val="left" w:pos="0"/>
          <w:tab w:val="left" w:pos="720"/>
          <w:tab w:val="left" w:pos="1440"/>
          <w:tab w:val="left" w:pos="2160"/>
        </w:tabs>
        <w:spacing w:line="360" w:lineRule="auto"/>
        <w:ind w:firstLine="1440"/>
        <w:rPr>
          <w:rFonts w:cs="Times New Roman"/>
          <w:spacing w:val="-3"/>
        </w:rPr>
      </w:pPr>
      <w:r w:rsidRPr="00760CA7">
        <w:rPr>
          <w:rFonts w:cs="Times New Roman"/>
          <w:spacing w:val="-3"/>
        </w:rPr>
        <w:t>In accordance with the foregoing, absent a continuance</w:t>
      </w:r>
      <w:r w:rsidRPr="00795433">
        <w:rPr>
          <w:rFonts w:cs="Times New Roman"/>
          <w:spacing w:val="-3"/>
        </w:rPr>
        <w:t xml:space="preserv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7DDEEE96" w14:textId="77777777" w:rsidR="00DB683B" w:rsidRDefault="00DB683B" w:rsidP="00D0153E">
      <w:pPr>
        <w:tabs>
          <w:tab w:val="left" w:pos="-1440"/>
          <w:tab w:val="left" w:pos="-720"/>
          <w:tab w:val="left" w:pos="0"/>
          <w:tab w:val="left" w:pos="720"/>
          <w:tab w:val="left" w:pos="1440"/>
          <w:tab w:val="left" w:pos="2160"/>
        </w:tabs>
        <w:spacing w:line="360" w:lineRule="auto"/>
        <w:ind w:firstLine="1440"/>
        <w:rPr>
          <w:rFonts w:cs="Times New Roman"/>
          <w:spacing w:val="-3"/>
        </w:rPr>
      </w:pPr>
    </w:p>
    <w:p w14:paraId="7ACD0977" w14:textId="5A5E5A6E" w:rsidR="003D3D02" w:rsidRDefault="005035A5" w:rsidP="00D0153E">
      <w:pPr>
        <w:tabs>
          <w:tab w:val="left" w:pos="-1440"/>
          <w:tab w:val="left" w:pos="-720"/>
          <w:tab w:val="left" w:pos="0"/>
          <w:tab w:val="left" w:pos="720"/>
          <w:tab w:val="left" w:pos="1440"/>
          <w:tab w:val="left" w:pos="2160"/>
        </w:tabs>
        <w:spacing w:line="360" w:lineRule="auto"/>
        <w:ind w:firstLine="1440"/>
      </w:pPr>
      <w:r>
        <w:rPr>
          <w:rFonts w:cs="Times New Roman"/>
          <w:spacing w:val="-3"/>
        </w:rPr>
        <w:t>3</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736783">
        <w:t> </w:t>
      </w:r>
      <w:proofErr w:type="spellStart"/>
      <w:proofErr w:type="gramStart"/>
      <w:r w:rsidR="003D3D02">
        <w:t>Pa.Code</w:t>
      </w:r>
      <w:proofErr w:type="spellEnd"/>
      <w:proofErr w:type="gramEnd"/>
      <w:r w:rsidR="003D3D02">
        <w:t xml:space="preserv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14:paraId="26F112CB" w14:textId="77777777" w:rsidR="003D3D02" w:rsidRPr="00795433" w:rsidRDefault="003D3D02" w:rsidP="004554F6">
      <w:pPr>
        <w:pStyle w:val="ParaTab1"/>
        <w:ind w:firstLine="0"/>
        <w:rPr>
          <w:rFonts w:ascii="Times New Roman" w:hAnsi="Times New Roman" w:cs="Times New Roman"/>
          <w:spacing w:val="-3"/>
        </w:rPr>
      </w:pPr>
    </w:p>
    <w:p w14:paraId="096AB344" w14:textId="77777777" w:rsidR="003D3D02" w:rsidRDefault="003D3D02" w:rsidP="00D0153E">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14:paraId="5D6BF00C" w14:textId="77777777" w:rsidR="0093780B" w:rsidRDefault="0093780B" w:rsidP="00D0153E">
      <w:pPr>
        <w:pStyle w:val="ParaTab1"/>
        <w:numPr>
          <w:ilvl w:val="12"/>
          <w:numId w:val="0"/>
        </w:numPr>
        <w:tabs>
          <w:tab w:val="left" w:pos="0"/>
          <w:tab w:val="left" w:pos="720"/>
        </w:tabs>
        <w:ind w:left="1440" w:right="1440"/>
        <w:rPr>
          <w:rFonts w:ascii="Times New Roman" w:hAnsi="Times New Roman" w:cs="Times New Roman"/>
          <w:spacing w:val="-3"/>
        </w:rPr>
      </w:pPr>
    </w:p>
    <w:p w14:paraId="10E4ECFB" w14:textId="77777777" w:rsidR="003D3D02" w:rsidRPr="00D549E7" w:rsidRDefault="003D3D02" w:rsidP="00D015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14:paraId="39640CE3" w14:textId="77777777" w:rsidR="003D3D02" w:rsidRPr="00D549E7" w:rsidRDefault="003D3D02" w:rsidP="00D0153E">
      <w:pPr>
        <w:ind w:left="1440" w:right="1440" w:firstLine="720"/>
      </w:pPr>
    </w:p>
    <w:p w14:paraId="4E4F20AE" w14:textId="77777777" w:rsidR="003D3D02" w:rsidRDefault="003D3D02" w:rsidP="00D0153E">
      <w:pPr>
        <w:tabs>
          <w:tab w:val="left" w:pos="2880"/>
        </w:tabs>
        <w:ind w:left="2880" w:right="1440" w:hanging="720"/>
      </w:pPr>
      <w:r>
        <w:tab/>
      </w:r>
      <w:r w:rsidRPr="00D549E7">
        <w:t>(</w:t>
      </w:r>
      <w:proofErr w:type="spellStart"/>
      <w:r w:rsidRPr="00D549E7">
        <w:t>i</w:t>
      </w:r>
      <w:proofErr w:type="spellEnd"/>
      <w:r w:rsidRPr="00D549E7">
        <w:t>)</w:t>
      </w:r>
      <w:r>
        <w:t xml:space="preserve"> </w:t>
      </w:r>
      <w:r w:rsidRPr="00D549E7">
        <w:t>The presently identified issues.</w:t>
      </w:r>
    </w:p>
    <w:p w14:paraId="4CA5803D" w14:textId="77777777" w:rsidR="003D3D02" w:rsidRPr="00D549E7" w:rsidRDefault="003D3D02" w:rsidP="00D0153E">
      <w:pPr>
        <w:ind w:left="2160" w:right="1440" w:firstLine="360"/>
      </w:pPr>
    </w:p>
    <w:p w14:paraId="04357383" w14:textId="77777777" w:rsidR="003D3D02" w:rsidRDefault="003D3D02" w:rsidP="00D0153E">
      <w:pPr>
        <w:tabs>
          <w:tab w:val="left" w:pos="2880"/>
        </w:tabs>
        <w:ind w:left="2880" w:right="1440" w:hanging="720"/>
      </w:pPr>
      <w:r>
        <w:tab/>
      </w:r>
      <w:r w:rsidRPr="00D549E7">
        <w:t>(ii)</w:t>
      </w:r>
      <w:r>
        <w:t xml:space="preserve"> </w:t>
      </w:r>
      <w:r w:rsidRPr="00D549E7">
        <w:t>The names and addresses of the witnesses.</w:t>
      </w:r>
    </w:p>
    <w:p w14:paraId="119D29C8" w14:textId="77777777" w:rsidR="003D3D02" w:rsidRDefault="003D3D02" w:rsidP="00D0153E">
      <w:pPr>
        <w:tabs>
          <w:tab w:val="left" w:pos="2880"/>
        </w:tabs>
        <w:ind w:left="2880" w:right="1440"/>
      </w:pPr>
    </w:p>
    <w:p w14:paraId="5558922E" w14:textId="77777777" w:rsidR="003D3D02" w:rsidRPr="00D549E7" w:rsidRDefault="003D3D02" w:rsidP="00D0153E">
      <w:pPr>
        <w:tabs>
          <w:tab w:val="left" w:pos="2880"/>
        </w:tabs>
        <w:ind w:left="2880" w:right="1440"/>
      </w:pPr>
      <w:r w:rsidRPr="00D549E7">
        <w:t>(iii)</w:t>
      </w:r>
      <w:r>
        <w:t xml:space="preserve"> </w:t>
      </w:r>
      <w:r w:rsidRPr="00D549E7">
        <w:t>The proposed area of testimony of each witness.</w:t>
      </w:r>
    </w:p>
    <w:p w14:paraId="41ECD537" w14:textId="77777777" w:rsidR="003D3D02" w:rsidRPr="00D549E7" w:rsidRDefault="003D3D02" w:rsidP="00D0153E">
      <w:pPr>
        <w:ind w:left="2880" w:right="1440" w:firstLine="360"/>
      </w:pPr>
    </w:p>
    <w:p w14:paraId="35BC650A" w14:textId="77777777" w:rsidR="003D3D02" w:rsidRDefault="003D3D02" w:rsidP="00D015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14:paraId="177D041B" w14:textId="77777777" w:rsidR="003D3D02" w:rsidRPr="00D549E7" w:rsidRDefault="003D3D02" w:rsidP="00D0153E">
      <w:pPr>
        <w:tabs>
          <w:tab w:val="left" w:pos="2430"/>
          <w:tab w:val="left" w:pos="2520"/>
        </w:tabs>
        <w:ind w:left="2880" w:right="1440" w:hanging="1080"/>
      </w:pPr>
    </w:p>
    <w:p w14:paraId="3213409F" w14:textId="77777777" w:rsidR="003D3D02" w:rsidRDefault="003D3D02" w:rsidP="00D0153E">
      <w:pPr>
        <w:tabs>
          <w:tab w:val="left" w:pos="2880"/>
        </w:tabs>
        <w:ind w:left="2880" w:right="1440" w:hanging="720"/>
      </w:pPr>
      <w:r>
        <w:tab/>
        <w:t>(</w:t>
      </w:r>
      <w:proofErr w:type="spellStart"/>
      <w:r>
        <w:t>i</w:t>
      </w:r>
      <w:proofErr w:type="spellEnd"/>
      <w:r>
        <w:t xml:space="preserve">) </w:t>
      </w:r>
      <w:r w:rsidRPr="00D549E7">
        <w:t>Development of a proposed procedural schedule.</w:t>
      </w:r>
    </w:p>
    <w:p w14:paraId="27A2F22C" w14:textId="77777777" w:rsidR="003D3D02" w:rsidRPr="00D549E7" w:rsidRDefault="003D3D02" w:rsidP="00D0153E">
      <w:pPr>
        <w:ind w:left="2880" w:right="1440" w:hanging="360"/>
      </w:pPr>
    </w:p>
    <w:p w14:paraId="313156BB" w14:textId="77777777" w:rsidR="003D3D02" w:rsidRDefault="003D3D02" w:rsidP="00D0153E">
      <w:pPr>
        <w:tabs>
          <w:tab w:val="left" w:pos="2880"/>
        </w:tabs>
        <w:ind w:left="2880" w:right="1440" w:hanging="720"/>
      </w:pPr>
      <w:r>
        <w:tab/>
        <w:t xml:space="preserve">(ii) </w:t>
      </w:r>
      <w:r w:rsidRPr="00D549E7">
        <w:t>Advance study of all relevant materials.</w:t>
      </w:r>
    </w:p>
    <w:p w14:paraId="4CD9081E" w14:textId="77777777" w:rsidR="00171844" w:rsidRDefault="00171844" w:rsidP="00D0153E">
      <w:pPr>
        <w:tabs>
          <w:tab w:val="left" w:pos="2880"/>
        </w:tabs>
        <w:ind w:left="2880" w:right="1440" w:hanging="720"/>
      </w:pPr>
    </w:p>
    <w:p w14:paraId="3D194BFA" w14:textId="77777777" w:rsidR="003D3D02" w:rsidRPr="00D549E7" w:rsidRDefault="003D3D02" w:rsidP="00D015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w:t>
      </w:r>
      <w:r w:rsidR="00736783">
        <w:br/>
      </w:r>
      <w:r w:rsidR="00736783">
        <w:br/>
      </w:r>
      <w:r w:rsidR="00736783">
        <w:br/>
      </w:r>
      <w:r w:rsidRPr="00D549E7">
        <w:t xml:space="preserve">information, to the extent it appears feasible and desirable.  </w:t>
      </w:r>
    </w:p>
    <w:p w14:paraId="0E8490F0" w14:textId="77777777" w:rsidR="003D3D02" w:rsidRPr="00D549E7" w:rsidRDefault="003D3D02" w:rsidP="00D0153E">
      <w:pPr>
        <w:ind w:left="2880" w:right="1440"/>
      </w:pPr>
    </w:p>
    <w:p w14:paraId="0EB8F5DF" w14:textId="77777777" w:rsidR="003D3D02" w:rsidRPr="00D549E7" w:rsidRDefault="0093780B" w:rsidP="0093780B">
      <w:pPr>
        <w:tabs>
          <w:tab w:val="left" w:pos="1440"/>
        </w:tabs>
        <w:ind w:right="1440"/>
      </w:pPr>
      <w:r>
        <w:tab/>
      </w:r>
      <w:r w:rsidR="003D3D02" w:rsidRPr="00D549E7">
        <w:t>(Emphasis added.)</w:t>
      </w:r>
    </w:p>
    <w:p w14:paraId="3B5C6559" w14:textId="3F77C218" w:rsidR="003D3D02" w:rsidRPr="00795433" w:rsidRDefault="003D3D02" w:rsidP="00D0153E">
      <w:pPr>
        <w:tabs>
          <w:tab w:val="left" w:pos="0"/>
        </w:tabs>
        <w:autoSpaceDE/>
        <w:autoSpaceDN/>
        <w:spacing w:line="360" w:lineRule="auto"/>
        <w:ind w:left="90"/>
        <w:rPr>
          <w:rFonts w:cs="Times New Roman"/>
          <w:spacing w:val="-3"/>
        </w:rPr>
      </w:pPr>
      <w:r>
        <w:lastRenderedPageBreak/>
        <w:tab/>
      </w:r>
      <w:r>
        <w:tab/>
      </w:r>
      <w:r w:rsidR="005035A5">
        <w:t>4</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proofErr w:type="spellStart"/>
      <w:proofErr w:type="gramStart"/>
      <w:r w:rsidRPr="00795433">
        <w:rPr>
          <w:rFonts w:cs="Times New Roman"/>
          <w:spacing w:val="-3"/>
        </w:rPr>
        <w:t>Pa.Code</w:t>
      </w:r>
      <w:proofErr w:type="spellEnd"/>
      <w:proofErr w:type="gramEnd"/>
      <w:r w:rsidRPr="00795433">
        <w:rPr>
          <w:rFonts w:cs="Times New Roman"/>
          <w:spacing w:val="-3"/>
        </w:rPr>
        <w:t xml:space="preserve"> §5.331(b),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w:t>
      </w:r>
      <w:proofErr w:type="spellStart"/>
      <w:r w:rsidRPr="00795433">
        <w:rPr>
          <w:rFonts w:cs="Times New Roman"/>
          <w:spacing w:val="-3"/>
        </w:rPr>
        <w:t>Pa.Code</w:t>
      </w:r>
      <w:proofErr w:type="spellEnd"/>
      <w:r w:rsidRPr="00795433">
        <w:rPr>
          <w:rFonts w:cs="Times New Roman"/>
          <w:spacing w:val="-3"/>
        </w:rPr>
        <w:t xml:space="preserv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w:t>
      </w:r>
      <w:proofErr w:type="gramStart"/>
      <w:r w:rsidRPr="00795433">
        <w:rPr>
          <w:rFonts w:cs="Times New Roman"/>
          <w:spacing w:val="-3"/>
        </w:rPr>
        <w:t>discovery</w:t>
      </w:r>
      <w:r>
        <w:rPr>
          <w:rFonts w:cs="Times New Roman"/>
          <w:spacing w:val="-3"/>
        </w:rPr>
        <w:t>, and</w:t>
      </w:r>
      <w:proofErr w:type="gramEnd"/>
      <w:r>
        <w:rPr>
          <w:rFonts w:cs="Times New Roman"/>
          <w:spacing w:val="-3"/>
        </w:rPr>
        <w:t xml:space="preserve"> advise us at the prehearing conference as to </w:t>
      </w:r>
      <w:proofErr w:type="gramStart"/>
      <w:r>
        <w:rPr>
          <w:rFonts w:cs="Times New Roman"/>
          <w:spacing w:val="-3"/>
        </w:rPr>
        <w:t>discovery</w:t>
      </w:r>
      <w:proofErr w:type="gramEnd"/>
      <w:r>
        <w:rPr>
          <w:rFonts w:cs="Times New Roman"/>
          <w:spacing w:val="-3"/>
        </w:rPr>
        <w:t xml:space="preserve"> problems which have not been resolved</w:t>
      </w:r>
      <w:r w:rsidRPr="00795433">
        <w:rPr>
          <w:rFonts w:cs="Times New Roman"/>
          <w:spacing w:val="-3"/>
        </w:rPr>
        <w:t>.  There are limitations on discovery and sanctions for abuse of the discovery proce</w:t>
      </w:r>
      <w:r>
        <w:rPr>
          <w:rFonts w:cs="Times New Roman"/>
          <w:spacing w:val="-3"/>
        </w:rPr>
        <w:t xml:space="preserve">ss.  52 </w:t>
      </w:r>
      <w:proofErr w:type="spellStart"/>
      <w:proofErr w:type="gramStart"/>
      <w:r>
        <w:rPr>
          <w:rFonts w:cs="Times New Roman"/>
          <w:spacing w:val="-3"/>
        </w:rPr>
        <w:t>Pa.Code</w:t>
      </w:r>
      <w:proofErr w:type="spellEnd"/>
      <w:proofErr w:type="gramEnd"/>
      <w:r>
        <w:rPr>
          <w:rFonts w:cs="Times New Roman"/>
          <w:spacing w:val="-3"/>
        </w:rPr>
        <w:t xml:space="preserv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62A8E3F1" w14:textId="77777777" w:rsidR="003D3D02" w:rsidRPr="00795433" w:rsidRDefault="003D3D02" w:rsidP="00D0153E">
      <w:pPr>
        <w:pStyle w:val="ParaTab1"/>
        <w:numPr>
          <w:ilvl w:val="12"/>
          <w:numId w:val="0"/>
        </w:numPr>
        <w:spacing w:line="360" w:lineRule="auto"/>
        <w:ind w:firstLine="1440"/>
        <w:rPr>
          <w:rFonts w:ascii="Times New Roman" w:hAnsi="Times New Roman" w:cs="Times New Roman"/>
          <w:spacing w:val="-3"/>
        </w:rPr>
      </w:pPr>
    </w:p>
    <w:p w14:paraId="043D81E0" w14:textId="5FC74923" w:rsidR="003D3D02" w:rsidRDefault="003D3D02" w:rsidP="00D0153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035A5">
        <w:rPr>
          <w:rFonts w:ascii="Times New Roman" w:hAnsi="Times New Roman" w:cs="Times New Roman"/>
          <w:spacing w:val="-3"/>
        </w:rPr>
        <w:t>5</w:t>
      </w:r>
      <w:r w:rsidR="00171844">
        <w:rPr>
          <w:rFonts w:ascii="Times New Roman" w:hAnsi="Times New Roman" w:cs="Times New Roman"/>
          <w:spacing w:val="-3"/>
        </w:rPr>
        <w:t>.</w:t>
      </w:r>
      <w:r w:rsidRPr="00795433">
        <w:rPr>
          <w:rFonts w:ascii="Times New Roman" w:hAnsi="Times New Roman" w:cs="Times New Roman"/>
          <w:spacing w:val="-3"/>
        </w:rPr>
        <w:tab/>
        <w:t xml:space="preserve">Pursuant to 52 </w:t>
      </w:r>
      <w:proofErr w:type="spellStart"/>
      <w:proofErr w:type="gramStart"/>
      <w:r w:rsidRPr="00795433">
        <w:rPr>
          <w:rFonts w:ascii="Times New Roman" w:hAnsi="Times New Roman" w:cs="Times New Roman"/>
          <w:spacing w:val="-3"/>
        </w:rPr>
        <w:t>Pa.Code</w:t>
      </w:r>
      <w:proofErr w:type="spellEnd"/>
      <w:proofErr w:type="gramEnd"/>
      <w:r w:rsidRPr="00795433">
        <w:rPr>
          <w:rFonts w:ascii="Times New Roman" w:hAnsi="Times New Roman" w:cs="Times New Roman"/>
          <w:spacing w:val="-3"/>
        </w:rPr>
        <w:t xml:space="preserv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0069473D"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sidR="0069473D">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sidR="0069473D">
        <w:rPr>
          <w:rFonts w:ascii="Times New Roman" w:hAnsi="Times New Roman" w:cs="Times New Roman"/>
          <w:spacing w:val="-3"/>
        </w:rPr>
        <w:t xml:space="preserve">be represented </w:t>
      </w:r>
      <w:r w:rsidR="003C15C0">
        <w:rPr>
          <w:rFonts w:ascii="Times New Roman" w:hAnsi="Times New Roman" w:cs="Times New Roman"/>
          <w:spacing w:val="-3"/>
        </w:rPr>
        <w:t xml:space="preserve">in this proceeding </w:t>
      </w:r>
      <w:r w:rsidR="0069473D">
        <w:rPr>
          <w:rFonts w:ascii="Times New Roman" w:hAnsi="Times New Roman" w:cs="Times New Roman"/>
          <w:spacing w:val="-3"/>
        </w:rPr>
        <w:t>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Unless you are an attorney, you may not represent someone else.  Attorneys shall insure that their appearance is entered in accordance with the provisions of 52 </w:t>
      </w:r>
      <w:proofErr w:type="spellStart"/>
      <w:proofErr w:type="gramStart"/>
      <w:r w:rsidRPr="00795433">
        <w:rPr>
          <w:rFonts w:ascii="Times New Roman" w:hAnsi="Times New Roman" w:cs="Times New Roman"/>
          <w:spacing w:val="-3"/>
        </w:rPr>
        <w:t>Pa.Code</w:t>
      </w:r>
      <w:proofErr w:type="spellEnd"/>
      <w:proofErr w:type="gramEnd"/>
      <w:r w:rsidRPr="00795433">
        <w:rPr>
          <w:rFonts w:ascii="Times New Roman" w:hAnsi="Times New Roman" w:cs="Times New Roman"/>
          <w:spacing w:val="-3"/>
        </w:rPr>
        <w:t xml:space="preserv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6AC2260" w14:textId="77777777" w:rsidR="003D3D02" w:rsidRDefault="003D3D02" w:rsidP="00D0153E">
      <w:pPr>
        <w:autoSpaceDE/>
        <w:autoSpaceDN/>
        <w:spacing w:line="360" w:lineRule="auto"/>
      </w:pPr>
    </w:p>
    <w:p w14:paraId="54AF98F6" w14:textId="61FC021C" w:rsidR="003D3D02" w:rsidRDefault="003D3D02" w:rsidP="00D0153E">
      <w:pPr>
        <w:autoSpaceDE/>
        <w:autoSpaceDN/>
        <w:spacing w:line="360" w:lineRule="auto"/>
      </w:pPr>
      <w:r>
        <w:tab/>
      </w:r>
      <w:r>
        <w:tab/>
      </w:r>
      <w:r w:rsidR="00000FDF">
        <w:t>6</w:t>
      </w:r>
      <w:r>
        <w:t>.</w:t>
      </w:r>
      <w:r>
        <w:tab/>
        <w:t>Failure of a party to attend the prehearing conference</w:t>
      </w:r>
      <w:r w:rsidR="00760CA7">
        <w:t xml:space="preserv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r w:rsidR="00122CB5">
        <w:t xml:space="preserve">52 </w:t>
      </w:r>
      <w:proofErr w:type="spellStart"/>
      <w:proofErr w:type="gramStart"/>
      <w:r w:rsidR="00122CB5">
        <w:t>Pa.</w:t>
      </w:r>
      <w:r w:rsidRPr="00292335">
        <w:t>Code</w:t>
      </w:r>
      <w:proofErr w:type="spellEnd"/>
      <w:proofErr w:type="gramEnd"/>
      <w:r w:rsidRPr="00292335">
        <w:t xml:space="preserve"> </w:t>
      </w:r>
      <w:r>
        <w:t>§</w:t>
      </w:r>
      <w:r w:rsidRPr="00292335">
        <w:t>§</w:t>
      </w:r>
      <w:r w:rsidR="004554F6">
        <w:t xml:space="preserve"> </w:t>
      </w:r>
      <w:r w:rsidRPr="00292335">
        <w:t>5.222</w:t>
      </w:r>
      <w:r>
        <w:t>(e) &amp; 5.224.</w:t>
      </w:r>
    </w:p>
    <w:p w14:paraId="1BE9DA05" w14:textId="77777777" w:rsidR="006A0A81" w:rsidRDefault="006A0A81" w:rsidP="00D0153E">
      <w:pPr>
        <w:autoSpaceDE/>
        <w:autoSpaceDN/>
        <w:spacing w:line="360" w:lineRule="auto"/>
      </w:pPr>
    </w:p>
    <w:p w14:paraId="0024FCC7" w14:textId="77777777" w:rsidR="00413C8F" w:rsidRDefault="003D3D02" w:rsidP="00413C8F">
      <w:pPr>
        <w:spacing w:line="360" w:lineRule="auto"/>
        <w:rPr>
          <w:rFonts w:cs="Times New Roman"/>
          <w:spacing w:val="-3"/>
        </w:rPr>
      </w:pPr>
      <w:r>
        <w:tab/>
      </w:r>
      <w:r>
        <w:tab/>
      </w:r>
      <w:r w:rsidR="00000FDF">
        <w:t>7</w:t>
      </w:r>
      <w:r>
        <w:t>.</w:t>
      </w:r>
      <w:r>
        <w:tab/>
      </w:r>
      <w:r w:rsidRPr="0079215B">
        <w:rPr>
          <w:rFonts w:cs="Times New Roman"/>
          <w:b/>
          <w:spacing w:val="-3"/>
        </w:rPr>
        <w:t>You must serve</w:t>
      </w:r>
      <w:r w:rsidR="00DB683B" w:rsidRPr="0079215B">
        <w:rPr>
          <w:rFonts w:cs="Times New Roman"/>
          <w:b/>
          <w:spacing w:val="-3"/>
        </w:rPr>
        <w:t xml:space="preserve"> the presiding </w:t>
      </w:r>
      <w:r w:rsidR="00BF5524" w:rsidRPr="0079215B">
        <w:rPr>
          <w:rFonts w:cs="Times New Roman"/>
          <w:b/>
          <w:spacing w:val="-3"/>
        </w:rPr>
        <w:t>Administrative Law Judge</w:t>
      </w:r>
      <w:r w:rsidRPr="0079215B">
        <w:rPr>
          <w:rFonts w:cs="Times New Roman"/>
          <w:b/>
          <w:spacing w:val="-3"/>
        </w:rPr>
        <w:t xml:space="preserve"> directly with a copy of any document that you file in this proceeding.</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14:paraId="361A7126" w14:textId="77777777" w:rsidR="00413C8F" w:rsidRDefault="00413C8F" w:rsidP="00413C8F">
      <w:pPr>
        <w:spacing w:line="360" w:lineRule="auto"/>
        <w:rPr>
          <w:rFonts w:cs="Times New Roman"/>
          <w:spacing w:val="-3"/>
        </w:rPr>
      </w:pPr>
    </w:p>
    <w:p w14:paraId="18A1BF0D" w14:textId="032B1E30" w:rsidR="00413C8F" w:rsidRPr="00413C8F" w:rsidRDefault="00413C8F" w:rsidP="00413C8F">
      <w:pPr>
        <w:spacing w:line="360" w:lineRule="auto"/>
        <w:rPr>
          <w:rFonts w:cs="Times New Roman"/>
          <w:spacing w:val="-3"/>
        </w:rPr>
      </w:pPr>
      <w:r>
        <w:rPr>
          <w:rFonts w:cs="Times New Roman"/>
          <w:spacing w:val="-3"/>
        </w:rPr>
        <w:tab/>
      </w:r>
      <w:r>
        <w:rPr>
          <w:rFonts w:cs="Times New Roman"/>
          <w:spacing w:val="-3"/>
        </w:rPr>
        <w:tab/>
        <w:t>8.</w:t>
      </w:r>
      <w:r>
        <w:rPr>
          <w:rFonts w:cs="Times New Roman"/>
          <w:spacing w:val="-3"/>
        </w:rPr>
        <w:tab/>
      </w:r>
      <w:r>
        <w:rPr>
          <w:rFonts w:cs="Times New Roman"/>
        </w:rPr>
        <w:t xml:space="preserve">If you intend to present any documents or exhibits at a subsequent hearing, you must email one (1) copy to the presiding officer at edevoe@pa.gov and one (1) copy each must be served to every other party.  All copies of exhibits must be received at least five (5) </w:t>
      </w:r>
      <w:r>
        <w:rPr>
          <w:rFonts w:cs="Times New Roman"/>
        </w:rPr>
        <w:lastRenderedPageBreak/>
        <w:t xml:space="preserve">business days before the hearing.  Proposed exhibits should be properly pre-marked for identification purposes.  </w:t>
      </w:r>
      <w:r w:rsidRPr="00413C8F">
        <w:rPr>
          <w:rFonts w:cs="Times New Roman"/>
          <w:b/>
          <w:bCs/>
        </w:rPr>
        <w:t>Do not include account numbers or any other personally identifiable information (PII) such as social security numbers, in your documents or exhibits.</w:t>
      </w:r>
      <w:r w:rsidRPr="00413C8F">
        <w:rPr>
          <w:rFonts w:cs="Times New Roman"/>
        </w:rPr>
        <w:t>  It is the parties’ responsibility to redact any PII contained within a document or exhibit before submitting it into the record.</w:t>
      </w:r>
      <w:r>
        <w:rPr>
          <w:rFonts w:cs="Times New Roman"/>
          <w:b/>
          <w:bCs/>
        </w:rPr>
        <w:t xml:space="preserve">  </w:t>
      </w:r>
      <w:r>
        <w:rPr>
          <w:rFonts w:cs="Times New Roman"/>
        </w:rPr>
        <w:t>Do not file your proposed documents or exhibits with the Secretary’s Bureau.  However, you should file a Certificate of Service with the Secretary’s Bureau indicating you sent the proposed documents or exhibits to every other party.</w:t>
      </w:r>
    </w:p>
    <w:p w14:paraId="4404C47E" w14:textId="102B0B00" w:rsidR="00413C8F" w:rsidRDefault="00413C8F" w:rsidP="00D0153E">
      <w:pPr>
        <w:spacing w:line="360" w:lineRule="auto"/>
        <w:rPr>
          <w:rFonts w:cs="Times New Roman"/>
          <w:spacing w:val="-3"/>
        </w:rPr>
      </w:pPr>
    </w:p>
    <w:p w14:paraId="1C318D6D" w14:textId="340B4AB1" w:rsidR="00F645AF" w:rsidRDefault="00F645AF" w:rsidP="00D0153E">
      <w:pPr>
        <w:spacing w:line="360" w:lineRule="auto"/>
        <w:rPr>
          <w:rFonts w:cs="Times New Roman"/>
          <w:spacing w:val="-3"/>
        </w:rPr>
      </w:pPr>
    </w:p>
    <w:p w14:paraId="4ADC5A19" w14:textId="7D78F4C3" w:rsidR="003C15C0" w:rsidRPr="003C15C0" w:rsidRDefault="00F645AF" w:rsidP="003C15C0">
      <w:pPr>
        <w:rPr>
          <w:rFonts w:cs="Times New Roman"/>
        </w:rPr>
      </w:pPr>
      <w:r w:rsidRPr="00F645AF">
        <w:rPr>
          <w:rFonts w:cs="Times New Roman"/>
        </w:rPr>
        <w:t xml:space="preserve">Date:  </w:t>
      </w:r>
      <w:r w:rsidR="00680667">
        <w:rPr>
          <w:rFonts w:cs="Times New Roman"/>
          <w:u w:val="single"/>
        </w:rPr>
        <w:t>January 24, 2024</w:t>
      </w:r>
      <w:r w:rsidRPr="00F645AF">
        <w:rPr>
          <w:rFonts w:eastAsia="SimSun"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003C15C0" w:rsidRPr="003C15C0">
        <w:rPr>
          <w:rFonts w:cs="Times New Roman"/>
          <w:u w:val="single"/>
        </w:rPr>
        <w:tab/>
      </w:r>
      <w:r w:rsidR="003C15C0" w:rsidRPr="003C15C0">
        <w:rPr>
          <w:rFonts w:cs="Times New Roman"/>
          <w:u w:val="single"/>
        </w:rPr>
        <w:tab/>
        <w:t>/s/</w:t>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p>
    <w:p w14:paraId="027942D5" w14:textId="46D5FF96"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00760CA7">
        <w:rPr>
          <w:rFonts w:cs="Times New Roman"/>
        </w:rPr>
        <w:t>Emily I. DeVoe</w:t>
      </w:r>
    </w:p>
    <w:p w14:paraId="01059F61" w14:textId="77777777"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122822FD" w14:textId="267AAA19" w:rsidR="00F645AF" w:rsidRPr="00F645AF" w:rsidRDefault="00F645AF" w:rsidP="003C15C0">
      <w:pPr>
        <w:tabs>
          <w:tab w:val="left" w:pos="0"/>
        </w:tabs>
        <w:autoSpaceDE/>
        <w:autoSpaceDN/>
        <w:jc w:val="both"/>
        <w:rPr>
          <w:rFonts w:eastAsia="SimSun" w:cs="Times New Roman"/>
        </w:rPr>
      </w:pPr>
    </w:p>
    <w:p w14:paraId="28D2FD9B" w14:textId="77777777" w:rsidR="00F645AF" w:rsidRPr="00F645AF" w:rsidRDefault="00F645AF" w:rsidP="00F645AF">
      <w:pPr>
        <w:tabs>
          <w:tab w:val="left" w:pos="0"/>
        </w:tabs>
        <w:autoSpaceDE/>
        <w:autoSpaceDN/>
        <w:jc w:val="both"/>
        <w:rPr>
          <w:rFonts w:eastAsia="SimSun" w:cs="Times New Roman"/>
        </w:rPr>
      </w:pPr>
    </w:p>
    <w:p w14:paraId="62F08DCF" w14:textId="77777777" w:rsidR="00624EBA" w:rsidRDefault="00624EBA" w:rsidP="00D0153E">
      <w:pPr>
        <w:pStyle w:val="ParaTab1"/>
        <w:spacing w:line="360" w:lineRule="auto"/>
        <w:ind w:firstLine="0"/>
        <w:rPr>
          <w:rFonts w:ascii="Times New Roman" w:hAnsi="Times New Roman" w:cs="Times New Roman"/>
          <w:spacing w:val="-3"/>
        </w:rPr>
        <w:sectPr w:rsidR="00624EBA" w:rsidSect="00A37BEE">
          <w:footerReference w:type="default" r:id="rId9"/>
          <w:pgSz w:w="12240" w:h="15840" w:code="1"/>
          <w:pgMar w:top="1440" w:right="1440" w:bottom="1440" w:left="1440" w:header="720" w:footer="720" w:gutter="0"/>
          <w:pgNumType w:start="1"/>
          <w:cols w:space="720"/>
          <w:noEndnote/>
          <w:titlePg/>
          <w:docGrid w:linePitch="326"/>
        </w:sectPr>
      </w:pPr>
    </w:p>
    <w:p w14:paraId="7E76E623" w14:textId="77777777" w:rsidR="00053CF6" w:rsidRDefault="00053CF6" w:rsidP="00760CA7">
      <w:pPr>
        <w:autoSpaceDE/>
        <w:autoSpaceDN/>
        <w:spacing w:after="160" w:line="259" w:lineRule="auto"/>
        <w:rPr>
          <w:rFonts w:ascii="Microsoft Sans Serif" w:eastAsia="Microsoft Sans Serif" w:hAnsi="Microsoft Sans Serif" w:cs="Microsoft Sans Serif"/>
          <w:szCs w:val="22"/>
        </w:rPr>
        <w:sectPr w:rsidR="00053CF6" w:rsidSect="009C0723">
          <w:footerReference w:type="default" r:id="rId10"/>
          <w:type w:val="continuous"/>
          <w:pgSz w:w="12240" w:h="15840"/>
          <w:pgMar w:top="720" w:right="720" w:bottom="720" w:left="720" w:header="720" w:footer="720" w:gutter="0"/>
          <w:cols w:num="2" w:space="720"/>
          <w:docGrid w:linePitch="360"/>
        </w:sectPr>
      </w:pPr>
    </w:p>
    <w:p w14:paraId="04D0EABD" w14:textId="77777777" w:rsidR="006A159D" w:rsidRDefault="006A159D" w:rsidP="006A0A81">
      <w:pPr>
        <w:autoSpaceDE/>
        <w:autoSpaceDN/>
        <w:spacing w:after="160" w:line="259" w:lineRule="auto"/>
        <w:rPr>
          <w:rFonts w:cs="Times New Roman"/>
          <w:spacing w:val="-3"/>
        </w:rPr>
        <w:sectPr w:rsidR="006A159D" w:rsidSect="00E70402">
          <w:type w:val="continuous"/>
          <w:pgSz w:w="12240" w:h="15840"/>
          <w:pgMar w:top="1440" w:right="1440" w:bottom="1440" w:left="1440" w:header="720" w:footer="720" w:gutter="0"/>
          <w:cols w:num="2" w:space="720"/>
          <w:docGrid w:linePitch="360"/>
        </w:sectPr>
      </w:pPr>
    </w:p>
    <w:p w14:paraId="1143A7B1" w14:textId="77777777" w:rsidR="006A159D" w:rsidRDefault="006A159D" w:rsidP="006A159D">
      <w:pPr>
        <w:rPr>
          <w:rFonts w:ascii="Microsoft Sans Serif" w:eastAsia="Microsoft Sans Serif" w:hAnsi="Microsoft Sans Serif" w:cs="Microsoft Sans Serif"/>
          <w:b/>
          <w:u w:val="single"/>
        </w:rPr>
        <w:sectPr w:rsidR="006A159D" w:rsidSect="006A159D">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C-2023-3044238 - BUR OF INVESTIGATION &amp; ENFORCEMENT v. MATCON DIAMOND INC</w:t>
      </w:r>
      <w:r>
        <w:rPr>
          <w:rFonts w:ascii="Microsoft Sans Serif" w:eastAsia="Microsoft Sans Serif" w:hAnsi="Microsoft Sans Serif" w:cs="Microsoft Sans Serif"/>
          <w:b/>
          <w:u w:val="single"/>
        </w:rPr>
        <w:cr/>
      </w:r>
    </w:p>
    <w:p w14:paraId="17B60470" w14:textId="77777777" w:rsidR="006A159D" w:rsidRDefault="006A159D" w:rsidP="006A159D">
      <w:pPr>
        <w:rPr>
          <w:rFonts w:ascii="Microsoft Sans Serif" w:eastAsia="Microsoft Sans Serif" w:hAnsi="Microsoft Sans Serif" w:cs="Microsoft Sans Serif"/>
          <w:b/>
          <w:u w:val="single"/>
        </w:rPr>
      </w:pPr>
    </w:p>
    <w:p w14:paraId="3CD5036C" w14:textId="77777777" w:rsidR="006A159D" w:rsidRDefault="006A159D" w:rsidP="006A159D">
      <w:pPr>
        <w:rPr>
          <w:rFonts w:ascii="Microsoft Sans Serif" w:eastAsia="Microsoft Sans Serif" w:hAnsi="Microsoft Sans Serif" w:cs="Microsoft Sans Serif"/>
        </w:rPr>
      </w:pPr>
      <w:r>
        <w:rPr>
          <w:rFonts w:ascii="Microsoft Sans Serif" w:eastAsia="Microsoft Sans Serif" w:hAnsi="Microsoft Sans Serif" w:cs="Microsoft Sans Serif"/>
        </w:rPr>
        <w:t>DANIEL MATESIC</w:t>
      </w:r>
      <w:r>
        <w:rPr>
          <w:rFonts w:ascii="Microsoft Sans Serif" w:eastAsia="Microsoft Sans Serif" w:hAnsi="Microsoft Sans Serif" w:cs="Microsoft Sans Serif"/>
        </w:rPr>
        <w:cr/>
        <w:t>MATCON DIAMOND INC</w:t>
      </w:r>
      <w:r>
        <w:rPr>
          <w:rFonts w:ascii="Microsoft Sans Serif" w:eastAsia="Microsoft Sans Serif" w:hAnsi="Microsoft Sans Serif" w:cs="Microsoft Sans Serif"/>
        </w:rPr>
        <w:cr/>
        <w:t>3447 EAST CARSON ST</w:t>
      </w:r>
      <w:r>
        <w:rPr>
          <w:rFonts w:ascii="Microsoft Sans Serif" w:eastAsia="Microsoft Sans Serif" w:hAnsi="Microsoft Sans Serif" w:cs="Microsoft Sans Serif"/>
        </w:rPr>
        <w:cr/>
        <w:t>PITTSBURGH PA  15203</w:t>
      </w:r>
      <w:r>
        <w:rPr>
          <w:rFonts w:ascii="Microsoft Sans Serif" w:eastAsia="Microsoft Sans Serif" w:hAnsi="Microsoft Sans Serif" w:cs="Microsoft Sans Serif"/>
        </w:rPr>
        <w:cr/>
      </w:r>
      <w:r w:rsidRPr="004B761D">
        <w:rPr>
          <w:rFonts w:ascii="Microsoft Sans Serif" w:eastAsia="Microsoft Sans Serif" w:hAnsi="Microsoft Sans Serif" w:cs="Microsoft Sans Serif"/>
          <w:i/>
          <w:iCs/>
        </w:rPr>
        <w:t xml:space="preserve">Served via first class </w:t>
      </w:r>
      <w:proofErr w:type="gramStart"/>
      <w:r w:rsidRPr="004B761D">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52F10BB1" w14:textId="77777777" w:rsidR="006A159D" w:rsidRDefault="006A159D" w:rsidP="006A159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GRANT ROSUL ESQUIRE</w:t>
      </w:r>
    </w:p>
    <w:p w14:paraId="045A6DC1" w14:textId="77777777" w:rsidR="006A159D" w:rsidRDefault="006A159D" w:rsidP="006A159D">
      <w:pPr>
        <w:rPr>
          <w:rFonts w:ascii="Microsoft Sans Serif" w:eastAsia="Microsoft Sans Serif" w:hAnsi="Microsoft Sans Serif" w:cs="Microsoft Sans Serif"/>
        </w:rPr>
      </w:pPr>
      <w:r>
        <w:rPr>
          <w:rFonts w:ascii="Microsoft Sans Serif" w:eastAsia="Microsoft Sans Serif" w:hAnsi="Microsoft Sans Serif" w:cs="Microsoft Sans Serif"/>
        </w:rPr>
        <w:t>MICHAEL L SWINDLER ESQUIRE</w:t>
      </w:r>
      <w:r>
        <w:rPr>
          <w:rFonts w:ascii="Microsoft Sans Serif" w:eastAsia="Microsoft Sans Serif" w:hAnsi="Microsoft Sans Serif" w:cs="Microsoft Sans Serif"/>
        </w:rPr>
        <w:cr/>
        <w:t xml:space="preserve">BUREAU OF INVESTIGATION AND ENFORCEMENT </w:t>
      </w:r>
    </w:p>
    <w:p w14:paraId="1C314089" w14:textId="77777777" w:rsidR="006A159D" w:rsidRDefault="006A159D" w:rsidP="006A159D">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3RD FLOOR</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4B761D">
        <w:rPr>
          <w:rFonts w:ascii="Microsoft Sans Serif" w:eastAsia="Microsoft Sans Serif" w:hAnsi="Microsoft Sans Serif" w:cs="Microsoft Sans Serif"/>
          <w:b/>
          <w:bCs/>
        </w:rPr>
        <w:t>717.783.5243</w:t>
      </w:r>
      <w:r w:rsidRPr="004B761D">
        <w:rPr>
          <w:rFonts w:ascii="Microsoft Sans Serif" w:eastAsia="Microsoft Sans Serif" w:hAnsi="Microsoft Sans Serif" w:cs="Microsoft Sans Serif"/>
          <w:b/>
          <w:bCs/>
        </w:rPr>
        <w:cr/>
        <w:t>717.783.6369</w:t>
      </w:r>
      <w:r>
        <w:rPr>
          <w:rFonts w:ascii="Microsoft Sans Serif" w:eastAsia="Microsoft Sans Serif" w:hAnsi="Microsoft Sans Serif" w:cs="Microsoft Sans Serif"/>
        </w:rPr>
        <w:cr/>
      </w:r>
      <w:hyperlink r:id="rId11" w:history="1">
        <w:r w:rsidRPr="00AB38AD">
          <w:rPr>
            <w:rStyle w:val="Hyperlink"/>
            <w:rFonts w:ascii="Microsoft Sans Serif" w:eastAsia="Microsoft Sans Serif" w:hAnsi="Microsoft Sans Serif" w:cs="Microsoft Sans Serif"/>
          </w:rPr>
          <w:t>grosul@pa.gov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2" w:history="1">
        <w:r w:rsidRPr="00AB38AD">
          <w:rPr>
            <w:rStyle w:val="Hyperlink"/>
            <w:rFonts w:ascii="Microsoft Sans Serif" w:eastAsia="Microsoft Sans Serif" w:hAnsi="Microsoft Sans Serif" w:cs="Microsoft Sans Serif"/>
          </w:rPr>
          <w:t>mswindler@pa.gov</w:t>
        </w:r>
      </w:hyperlink>
      <w:r>
        <w:rPr>
          <w:rFonts w:ascii="Microsoft Sans Serif" w:eastAsia="Microsoft Sans Serif" w:hAnsi="Microsoft Sans Serif" w:cs="Microsoft Sans Serif"/>
        </w:rPr>
        <w:t xml:space="preserve">  </w:t>
      </w:r>
    </w:p>
    <w:p w14:paraId="28857CD2" w14:textId="77777777" w:rsidR="006A159D" w:rsidRDefault="006A159D" w:rsidP="006A159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4124ED8" w14:textId="77777777" w:rsidR="006A159D" w:rsidRDefault="006A159D" w:rsidP="006A159D">
      <w:pPr>
        <w:rPr>
          <w:rFonts w:ascii="Microsoft Sans Serif" w:eastAsia="Microsoft Sans Serif" w:hAnsi="Microsoft Sans Serif" w:cs="Microsoft Sans Serif"/>
        </w:rPr>
      </w:pPr>
      <w:r>
        <w:rPr>
          <w:rFonts w:ascii="Microsoft Sans Serif" w:eastAsia="Microsoft Sans Serif" w:hAnsi="Microsoft Sans Serif" w:cs="Microsoft Sans Serif"/>
        </w:rPr>
        <w:cr/>
        <w:t>BEVERLY BLOCK</w:t>
      </w:r>
      <w:r>
        <w:rPr>
          <w:rFonts w:ascii="Microsoft Sans Serif" w:eastAsia="Microsoft Sans Serif" w:hAnsi="Microsoft Sans Serif" w:cs="Microsoft Sans Serif"/>
        </w:rPr>
        <w:cr/>
        <w:t>MARCIE SOLOMON</w:t>
      </w:r>
      <w:r>
        <w:rPr>
          <w:rFonts w:ascii="Microsoft Sans Serif" w:eastAsia="Microsoft Sans Serif" w:hAnsi="Microsoft Sans Serif" w:cs="Microsoft Sans Serif"/>
        </w:rPr>
        <w:cr/>
        <w:t>BLOCK &amp; ASSOCIATES LLC</w:t>
      </w:r>
      <w:r>
        <w:rPr>
          <w:rFonts w:ascii="Microsoft Sans Serif" w:eastAsia="Microsoft Sans Serif" w:hAnsi="Microsoft Sans Serif" w:cs="Microsoft Sans Serif"/>
        </w:rPr>
        <w:cr/>
        <w:t>6514 WILKINS AVENUE</w:t>
      </w:r>
      <w:r>
        <w:rPr>
          <w:rFonts w:ascii="Microsoft Sans Serif" w:eastAsia="Microsoft Sans Serif" w:hAnsi="Microsoft Sans Serif" w:cs="Microsoft Sans Serif"/>
        </w:rPr>
        <w:cr/>
        <w:t>PITTSBURGH PA  15217</w:t>
      </w:r>
      <w:r>
        <w:rPr>
          <w:rFonts w:ascii="Microsoft Sans Serif" w:eastAsia="Microsoft Sans Serif" w:hAnsi="Microsoft Sans Serif" w:cs="Microsoft Sans Serif"/>
        </w:rPr>
        <w:cr/>
      </w:r>
      <w:r w:rsidRPr="004B761D">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4B761D">
        <w:rPr>
          <w:rFonts w:ascii="Microsoft Sans Serif" w:eastAsia="Microsoft Sans Serif" w:hAnsi="Microsoft Sans Serif" w:cs="Microsoft Sans Serif"/>
          <w:b/>
          <w:bCs/>
        </w:rPr>
        <w:t>532</w:t>
      </w:r>
      <w:r>
        <w:rPr>
          <w:rFonts w:ascii="Microsoft Sans Serif" w:eastAsia="Microsoft Sans Serif" w:hAnsi="Microsoft Sans Serif" w:cs="Microsoft Sans Serif"/>
          <w:b/>
          <w:bCs/>
        </w:rPr>
        <w:t>.</w:t>
      </w:r>
      <w:r w:rsidRPr="004B761D">
        <w:rPr>
          <w:rFonts w:ascii="Microsoft Sans Serif" w:eastAsia="Microsoft Sans Serif" w:hAnsi="Microsoft Sans Serif" w:cs="Microsoft Sans Serif"/>
          <w:b/>
          <w:bCs/>
        </w:rPr>
        <w:t>8355</w:t>
      </w:r>
      <w:r w:rsidRPr="004B761D">
        <w:rPr>
          <w:rFonts w:ascii="Microsoft Sans Serif" w:eastAsia="Microsoft Sans Serif" w:hAnsi="Microsoft Sans Serif" w:cs="Microsoft Sans Serif"/>
          <w:b/>
          <w:bCs/>
        </w:rPr>
        <w:cr/>
        <w:t>412</w:t>
      </w:r>
      <w:r>
        <w:rPr>
          <w:rFonts w:ascii="Microsoft Sans Serif" w:eastAsia="Microsoft Sans Serif" w:hAnsi="Microsoft Sans Serif" w:cs="Microsoft Sans Serif"/>
          <w:b/>
          <w:bCs/>
        </w:rPr>
        <w:t>.</w:t>
      </w:r>
      <w:r w:rsidRPr="004B761D">
        <w:rPr>
          <w:rFonts w:ascii="Microsoft Sans Serif" w:eastAsia="Microsoft Sans Serif" w:hAnsi="Microsoft Sans Serif" w:cs="Microsoft Sans Serif"/>
          <w:b/>
          <w:bCs/>
        </w:rPr>
        <w:t>523</w:t>
      </w:r>
      <w:r>
        <w:rPr>
          <w:rFonts w:ascii="Microsoft Sans Serif" w:eastAsia="Microsoft Sans Serif" w:hAnsi="Microsoft Sans Serif" w:cs="Microsoft Sans Serif"/>
          <w:b/>
          <w:bCs/>
        </w:rPr>
        <w:t>.</w:t>
      </w:r>
      <w:r w:rsidRPr="004B761D">
        <w:rPr>
          <w:rFonts w:ascii="Microsoft Sans Serif" w:eastAsia="Microsoft Sans Serif" w:hAnsi="Microsoft Sans Serif" w:cs="Microsoft Sans Serif"/>
          <w:b/>
          <w:bCs/>
        </w:rPr>
        <w:t>7840</w:t>
      </w:r>
      <w:r w:rsidRPr="004B761D">
        <w:rPr>
          <w:rFonts w:ascii="Microsoft Sans Serif" w:eastAsia="Microsoft Sans Serif" w:hAnsi="Microsoft Sans Serif" w:cs="Microsoft Sans Serif"/>
          <w:b/>
          <w:bCs/>
        </w:rPr>
        <w:cr/>
      </w:r>
      <w:hyperlink r:id="rId13" w:history="1">
        <w:r w:rsidRPr="00AB38AD">
          <w:rPr>
            <w:rStyle w:val="Hyperlink"/>
            <w:rFonts w:ascii="Microsoft Sans Serif" w:eastAsia="Microsoft Sans Serif" w:hAnsi="Microsoft Sans Serif" w:cs="Microsoft Sans Serif"/>
          </w:rPr>
          <w:t>bblock@blockandassociatespgh.com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4" w:history="1">
        <w:r w:rsidRPr="00AB38AD">
          <w:rPr>
            <w:rStyle w:val="Hyperlink"/>
            <w:rFonts w:ascii="Microsoft Sans Serif" w:eastAsia="Microsoft Sans Serif" w:hAnsi="Microsoft Sans Serif" w:cs="Microsoft Sans Serif"/>
          </w:rPr>
          <w:t>msolomon@blockpgh.com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4B761D">
        <w:rPr>
          <w:rFonts w:ascii="Microsoft Sans Serif" w:eastAsia="Microsoft Sans Serif" w:hAnsi="Microsoft Sans Serif" w:cs="Microsoft Sans Serif"/>
          <w:i/>
          <w:iCs/>
        </w:rPr>
        <w:t xml:space="preserve">Served via email and first class </w:t>
      </w:r>
      <w:proofErr w:type="gramStart"/>
      <w:r w:rsidRPr="004B761D">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2C3B44F4" w14:textId="62FB6F7A" w:rsidR="00D0153E" w:rsidRDefault="00D0153E" w:rsidP="006A0A81">
      <w:pPr>
        <w:autoSpaceDE/>
        <w:autoSpaceDN/>
        <w:spacing w:after="160" w:line="259" w:lineRule="auto"/>
        <w:rPr>
          <w:rFonts w:cs="Times New Roman"/>
          <w:spacing w:val="-3"/>
        </w:rPr>
      </w:pPr>
    </w:p>
    <w:sectPr w:rsidR="00D0153E" w:rsidSect="006A159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ECFE" w14:textId="77777777" w:rsidR="00A207E3" w:rsidRDefault="00A207E3">
      <w:pPr>
        <w:spacing w:line="20" w:lineRule="exact"/>
        <w:rPr>
          <w:sz w:val="22"/>
          <w:szCs w:val="22"/>
        </w:rPr>
      </w:pPr>
    </w:p>
  </w:endnote>
  <w:endnote w:type="continuationSeparator" w:id="0">
    <w:p w14:paraId="1B9D8CD8" w14:textId="77777777" w:rsidR="00A207E3" w:rsidRDefault="00A207E3">
      <w:pPr>
        <w:pStyle w:val="ParaTab1"/>
        <w:rPr>
          <w:sz w:val="22"/>
          <w:szCs w:val="22"/>
        </w:rPr>
      </w:pPr>
      <w:r>
        <w:rPr>
          <w:sz w:val="22"/>
          <w:szCs w:val="22"/>
        </w:rPr>
        <w:t xml:space="preserve"> </w:t>
      </w:r>
    </w:p>
  </w:endnote>
  <w:endnote w:type="continuationNotice" w:id="1">
    <w:p w14:paraId="22389FA5" w14:textId="77777777" w:rsidR="00A207E3" w:rsidRDefault="00A207E3">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64857"/>
      <w:docPartObj>
        <w:docPartGallery w:val="Page Numbers (Bottom of Page)"/>
        <w:docPartUnique/>
      </w:docPartObj>
    </w:sdtPr>
    <w:sdtEndPr>
      <w:rPr>
        <w:noProof/>
        <w:sz w:val="20"/>
        <w:szCs w:val="20"/>
      </w:rPr>
    </w:sdtEndPr>
    <w:sdtContent>
      <w:p w14:paraId="7FAEF989" w14:textId="27BFF5B0" w:rsidR="00624EBA" w:rsidRPr="00624EBA" w:rsidRDefault="00624EBA">
        <w:pPr>
          <w:pStyle w:val="Footer"/>
          <w:jc w:val="center"/>
          <w:rPr>
            <w:sz w:val="20"/>
            <w:szCs w:val="20"/>
          </w:rPr>
        </w:pPr>
        <w:r w:rsidRPr="00624EBA">
          <w:rPr>
            <w:sz w:val="20"/>
            <w:szCs w:val="20"/>
          </w:rPr>
          <w:fldChar w:fldCharType="begin"/>
        </w:r>
        <w:r w:rsidRPr="00624EBA">
          <w:rPr>
            <w:sz w:val="20"/>
            <w:szCs w:val="20"/>
          </w:rPr>
          <w:instrText xml:space="preserve"> PAGE   \* MERGEFORMAT </w:instrText>
        </w:r>
        <w:r w:rsidRPr="00624EBA">
          <w:rPr>
            <w:sz w:val="20"/>
            <w:szCs w:val="20"/>
          </w:rPr>
          <w:fldChar w:fldCharType="separate"/>
        </w:r>
        <w:r w:rsidRPr="00624EBA">
          <w:rPr>
            <w:noProof/>
            <w:sz w:val="20"/>
            <w:szCs w:val="20"/>
          </w:rPr>
          <w:t>2</w:t>
        </w:r>
        <w:r w:rsidRPr="00624EB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8E54" w14:textId="289FBDF4" w:rsidR="00624EBA" w:rsidRPr="00624EBA" w:rsidRDefault="00624EB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9727" w14:textId="77777777" w:rsidR="00A207E3" w:rsidRDefault="00A207E3">
      <w:pPr>
        <w:pStyle w:val="ParaTab1"/>
        <w:rPr>
          <w:sz w:val="22"/>
          <w:szCs w:val="22"/>
        </w:rPr>
      </w:pPr>
      <w:r>
        <w:rPr>
          <w:sz w:val="22"/>
          <w:szCs w:val="22"/>
        </w:rPr>
        <w:separator/>
      </w:r>
    </w:p>
  </w:footnote>
  <w:footnote w:type="continuationSeparator" w:id="0">
    <w:p w14:paraId="672FD5CA" w14:textId="77777777" w:rsidR="00A207E3" w:rsidRDefault="00A20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791B5D82"/>
    <w:multiLevelType w:val="hybridMultilevel"/>
    <w:tmpl w:val="13B8D156"/>
    <w:lvl w:ilvl="0" w:tplc="E0A60048">
      <w:start w:val="4"/>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514999560">
    <w:abstractNumId w:val="3"/>
  </w:num>
  <w:num w:numId="2" w16cid:durableId="113083082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156213572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1733262969">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1734964358">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633365538">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332337166">
    <w:abstractNumId w:val="1"/>
  </w:num>
  <w:num w:numId="8" w16cid:durableId="878978924">
    <w:abstractNumId w:val="4"/>
  </w:num>
  <w:num w:numId="9" w16cid:durableId="32269846">
    <w:abstractNumId w:val="6"/>
  </w:num>
  <w:num w:numId="10" w16cid:durableId="1023744466">
    <w:abstractNumId w:val="5"/>
  </w:num>
  <w:num w:numId="11" w16cid:durableId="2145346939">
    <w:abstractNumId w:val="2"/>
  </w:num>
  <w:num w:numId="12" w16cid:durableId="1740244234">
    <w:abstractNumId w:val="0"/>
  </w:num>
  <w:num w:numId="13" w16cid:durableId="74510699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0FDF"/>
    <w:rsid w:val="00042BBD"/>
    <w:rsid w:val="00052B83"/>
    <w:rsid w:val="00053CF6"/>
    <w:rsid w:val="00053E84"/>
    <w:rsid w:val="00057980"/>
    <w:rsid w:val="00062DD8"/>
    <w:rsid w:val="000715C2"/>
    <w:rsid w:val="00072AD6"/>
    <w:rsid w:val="00087B28"/>
    <w:rsid w:val="000955F8"/>
    <w:rsid w:val="00097F48"/>
    <w:rsid w:val="000B15BC"/>
    <w:rsid w:val="000B707A"/>
    <w:rsid w:val="000D0A76"/>
    <w:rsid w:val="000E031E"/>
    <w:rsid w:val="000E4CE0"/>
    <w:rsid w:val="000F3F61"/>
    <w:rsid w:val="00100FF1"/>
    <w:rsid w:val="001109E2"/>
    <w:rsid w:val="001111F1"/>
    <w:rsid w:val="001158FD"/>
    <w:rsid w:val="00122CB5"/>
    <w:rsid w:val="0013028F"/>
    <w:rsid w:val="001331E9"/>
    <w:rsid w:val="001577A0"/>
    <w:rsid w:val="00161EFF"/>
    <w:rsid w:val="00165155"/>
    <w:rsid w:val="00166CFB"/>
    <w:rsid w:val="00167BE4"/>
    <w:rsid w:val="00171844"/>
    <w:rsid w:val="00180DE8"/>
    <w:rsid w:val="0019273B"/>
    <w:rsid w:val="0019593D"/>
    <w:rsid w:val="00197D9A"/>
    <w:rsid w:val="001A1C61"/>
    <w:rsid w:val="001C448C"/>
    <w:rsid w:val="001C7DCC"/>
    <w:rsid w:val="001D2816"/>
    <w:rsid w:val="001E1DD9"/>
    <w:rsid w:val="001E1E83"/>
    <w:rsid w:val="001E4FF7"/>
    <w:rsid w:val="001F1ACC"/>
    <w:rsid w:val="001F5A49"/>
    <w:rsid w:val="00204E75"/>
    <w:rsid w:val="00204FEB"/>
    <w:rsid w:val="002067A5"/>
    <w:rsid w:val="0022395F"/>
    <w:rsid w:val="00243D8C"/>
    <w:rsid w:val="00245F55"/>
    <w:rsid w:val="00250E10"/>
    <w:rsid w:val="00267BEF"/>
    <w:rsid w:val="00267F8A"/>
    <w:rsid w:val="002815C8"/>
    <w:rsid w:val="002858F1"/>
    <w:rsid w:val="0029169F"/>
    <w:rsid w:val="00292335"/>
    <w:rsid w:val="002937A7"/>
    <w:rsid w:val="0029549E"/>
    <w:rsid w:val="00297BDB"/>
    <w:rsid w:val="00297FC9"/>
    <w:rsid w:val="002A2932"/>
    <w:rsid w:val="002B1380"/>
    <w:rsid w:val="002B4B27"/>
    <w:rsid w:val="002C2B8E"/>
    <w:rsid w:val="002C547E"/>
    <w:rsid w:val="002D744F"/>
    <w:rsid w:val="002D7A9C"/>
    <w:rsid w:val="002E22B3"/>
    <w:rsid w:val="002E2FD9"/>
    <w:rsid w:val="002E36D9"/>
    <w:rsid w:val="002F0C51"/>
    <w:rsid w:val="003025A4"/>
    <w:rsid w:val="00317F7F"/>
    <w:rsid w:val="00327D89"/>
    <w:rsid w:val="00330DBF"/>
    <w:rsid w:val="00352EE3"/>
    <w:rsid w:val="00371AE9"/>
    <w:rsid w:val="00372899"/>
    <w:rsid w:val="00383B5F"/>
    <w:rsid w:val="00393E45"/>
    <w:rsid w:val="0039678B"/>
    <w:rsid w:val="00397BDD"/>
    <w:rsid w:val="003A3ED9"/>
    <w:rsid w:val="003A6746"/>
    <w:rsid w:val="003A72B8"/>
    <w:rsid w:val="003B479E"/>
    <w:rsid w:val="003C15C0"/>
    <w:rsid w:val="003C4433"/>
    <w:rsid w:val="003C4EA1"/>
    <w:rsid w:val="003C6039"/>
    <w:rsid w:val="003D3D02"/>
    <w:rsid w:val="003E08D0"/>
    <w:rsid w:val="003E413E"/>
    <w:rsid w:val="003F6DFE"/>
    <w:rsid w:val="003F7E9B"/>
    <w:rsid w:val="00402BA2"/>
    <w:rsid w:val="004121D3"/>
    <w:rsid w:val="00413C8F"/>
    <w:rsid w:val="00425EC6"/>
    <w:rsid w:val="00430F67"/>
    <w:rsid w:val="00431564"/>
    <w:rsid w:val="00434A06"/>
    <w:rsid w:val="00441692"/>
    <w:rsid w:val="004554F6"/>
    <w:rsid w:val="0045783A"/>
    <w:rsid w:val="004775F4"/>
    <w:rsid w:val="004805AC"/>
    <w:rsid w:val="00495BB0"/>
    <w:rsid w:val="004A540C"/>
    <w:rsid w:val="004A5779"/>
    <w:rsid w:val="004A7898"/>
    <w:rsid w:val="004B6291"/>
    <w:rsid w:val="004D26E4"/>
    <w:rsid w:val="004D460A"/>
    <w:rsid w:val="004D6595"/>
    <w:rsid w:val="004F6991"/>
    <w:rsid w:val="005035A5"/>
    <w:rsid w:val="005042A4"/>
    <w:rsid w:val="00507D15"/>
    <w:rsid w:val="00510988"/>
    <w:rsid w:val="005202CC"/>
    <w:rsid w:val="00520DE6"/>
    <w:rsid w:val="005210FB"/>
    <w:rsid w:val="00523197"/>
    <w:rsid w:val="00523C23"/>
    <w:rsid w:val="0052541D"/>
    <w:rsid w:val="005325B2"/>
    <w:rsid w:val="00547EB8"/>
    <w:rsid w:val="00551CCF"/>
    <w:rsid w:val="005616C4"/>
    <w:rsid w:val="00563361"/>
    <w:rsid w:val="00564E1C"/>
    <w:rsid w:val="005672A7"/>
    <w:rsid w:val="00571B96"/>
    <w:rsid w:val="00573D69"/>
    <w:rsid w:val="00574A43"/>
    <w:rsid w:val="00581849"/>
    <w:rsid w:val="005832EC"/>
    <w:rsid w:val="0058409B"/>
    <w:rsid w:val="00593BBB"/>
    <w:rsid w:val="00594803"/>
    <w:rsid w:val="005A6CCB"/>
    <w:rsid w:val="005A75A8"/>
    <w:rsid w:val="005B4725"/>
    <w:rsid w:val="005C3228"/>
    <w:rsid w:val="005C5932"/>
    <w:rsid w:val="005E6B98"/>
    <w:rsid w:val="005F0D3B"/>
    <w:rsid w:val="0060372F"/>
    <w:rsid w:val="00605D74"/>
    <w:rsid w:val="00607122"/>
    <w:rsid w:val="00615B9B"/>
    <w:rsid w:val="00617160"/>
    <w:rsid w:val="00624EBA"/>
    <w:rsid w:val="0063705F"/>
    <w:rsid w:val="00637A0F"/>
    <w:rsid w:val="00653D09"/>
    <w:rsid w:val="00665D09"/>
    <w:rsid w:val="0067328E"/>
    <w:rsid w:val="00680667"/>
    <w:rsid w:val="00684D5B"/>
    <w:rsid w:val="00686B90"/>
    <w:rsid w:val="00686ED6"/>
    <w:rsid w:val="006870A2"/>
    <w:rsid w:val="0069473D"/>
    <w:rsid w:val="006A09D4"/>
    <w:rsid w:val="006A0A81"/>
    <w:rsid w:val="006A159D"/>
    <w:rsid w:val="006A199E"/>
    <w:rsid w:val="006B17AF"/>
    <w:rsid w:val="006C0B56"/>
    <w:rsid w:val="006C0C55"/>
    <w:rsid w:val="006D71E0"/>
    <w:rsid w:val="006F21FF"/>
    <w:rsid w:val="006F3439"/>
    <w:rsid w:val="007002BB"/>
    <w:rsid w:val="00707B10"/>
    <w:rsid w:val="0071579D"/>
    <w:rsid w:val="00716EE1"/>
    <w:rsid w:val="007218E2"/>
    <w:rsid w:val="007221DD"/>
    <w:rsid w:val="007224CB"/>
    <w:rsid w:val="00731452"/>
    <w:rsid w:val="007325EC"/>
    <w:rsid w:val="00736638"/>
    <w:rsid w:val="00736783"/>
    <w:rsid w:val="00750498"/>
    <w:rsid w:val="00756C59"/>
    <w:rsid w:val="00760CA7"/>
    <w:rsid w:val="00766964"/>
    <w:rsid w:val="007723DA"/>
    <w:rsid w:val="0077433E"/>
    <w:rsid w:val="0079215B"/>
    <w:rsid w:val="00793A26"/>
    <w:rsid w:val="00795433"/>
    <w:rsid w:val="007A080E"/>
    <w:rsid w:val="007A60F7"/>
    <w:rsid w:val="007A64A8"/>
    <w:rsid w:val="007A6A51"/>
    <w:rsid w:val="007B142C"/>
    <w:rsid w:val="007B7482"/>
    <w:rsid w:val="007C256D"/>
    <w:rsid w:val="007D21A9"/>
    <w:rsid w:val="007D2CE0"/>
    <w:rsid w:val="007E4CDE"/>
    <w:rsid w:val="007E7016"/>
    <w:rsid w:val="007F4CC8"/>
    <w:rsid w:val="007F5E3E"/>
    <w:rsid w:val="00803D4D"/>
    <w:rsid w:val="00804501"/>
    <w:rsid w:val="008226A3"/>
    <w:rsid w:val="00822C40"/>
    <w:rsid w:val="008251E5"/>
    <w:rsid w:val="008370FE"/>
    <w:rsid w:val="00845964"/>
    <w:rsid w:val="0084634A"/>
    <w:rsid w:val="00846AB1"/>
    <w:rsid w:val="00856047"/>
    <w:rsid w:val="00873A01"/>
    <w:rsid w:val="00874F25"/>
    <w:rsid w:val="008816A3"/>
    <w:rsid w:val="0088196A"/>
    <w:rsid w:val="00890424"/>
    <w:rsid w:val="00892F96"/>
    <w:rsid w:val="008A186B"/>
    <w:rsid w:val="008A29BE"/>
    <w:rsid w:val="008B03ED"/>
    <w:rsid w:val="008B2BF9"/>
    <w:rsid w:val="008B2E52"/>
    <w:rsid w:val="008B42E9"/>
    <w:rsid w:val="008B7A18"/>
    <w:rsid w:val="008C6A08"/>
    <w:rsid w:val="008D31BE"/>
    <w:rsid w:val="008D5BFF"/>
    <w:rsid w:val="008D661D"/>
    <w:rsid w:val="008F4521"/>
    <w:rsid w:val="008F56A9"/>
    <w:rsid w:val="008F7A83"/>
    <w:rsid w:val="00901541"/>
    <w:rsid w:val="009051D5"/>
    <w:rsid w:val="00905CB6"/>
    <w:rsid w:val="00906AC1"/>
    <w:rsid w:val="00910F21"/>
    <w:rsid w:val="009131D0"/>
    <w:rsid w:val="009308B0"/>
    <w:rsid w:val="00931424"/>
    <w:rsid w:val="0093194C"/>
    <w:rsid w:val="0093780B"/>
    <w:rsid w:val="00954614"/>
    <w:rsid w:val="009606F4"/>
    <w:rsid w:val="00960837"/>
    <w:rsid w:val="00961D6C"/>
    <w:rsid w:val="0096260D"/>
    <w:rsid w:val="009704AA"/>
    <w:rsid w:val="00987D4B"/>
    <w:rsid w:val="00990E61"/>
    <w:rsid w:val="009965AF"/>
    <w:rsid w:val="0099785C"/>
    <w:rsid w:val="009B456C"/>
    <w:rsid w:val="009B7C03"/>
    <w:rsid w:val="009C0723"/>
    <w:rsid w:val="009C7FC6"/>
    <w:rsid w:val="009D106E"/>
    <w:rsid w:val="009D4037"/>
    <w:rsid w:val="009D7847"/>
    <w:rsid w:val="009E2AAF"/>
    <w:rsid w:val="009F79C0"/>
    <w:rsid w:val="00A031FE"/>
    <w:rsid w:val="00A0335C"/>
    <w:rsid w:val="00A03AA6"/>
    <w:rsid w:val="00A03EB6"/>
    <w:rsid w:val="00A1051A"/>
    <w:rsid w:val="00A10C22"/>
    <w:rsid w:val="00A126F7"/>
    <w:rsid w:val="00A207E3"/>
    <w:rsid w:val="00A22C46"/>
    <w:rsid w:val="00A23D27"/>
    <w:rsid w:val="00A33B96"/>
    <w:rsid w:val="00A366E5"/>
    <w:rsid w:val="00A37BEE"/>
    <w:rsid w:val="00A41EC6"/>
    <w:rsid w:val="00A622AA"/>
    <w:rsid w:val="00A7178A"/>
    <w:rsid w:val="00A93CA2"/>
    <w:rsid w:val="00AB1FB8"/>
    <w:rsid w:val="00AB79E5"/>
    <w:rsid w:val="00AD0BEE"/>
    <w:rsid w:val="00AF4687"/>
    <w:rsid w:val="00AF5060"/>
    <w:rsid w:val="00AF6785"/>
    <w:rsid w:val="00B01456"/>
    <w:rsid w:val="00B07613"/>
    <w:rsid w:val="00B10CBB"/>
    <w:rsid w:val="00B14406"/>
    <w:rsid w:val="00B33EE9"/>
    <w:rsid w:val="00B35908"/>
    <w:rsid w:val="00B37D57"/>
    <w:rsid w:val="00B511D8"/>
    <w:rsid w:val="00B51D3B"/>
    <w:rsid w:val="00B6366F"/>
    <w:rsid w:val="00B73A67"/>
    <w:rsid w:val="00B761E3"/>
    <w:rsid w:val="00B85B44"/>
    <w:rsid w:val="00B92872"/>
    <w:rsid w:val="00BA29C3"/>
    <w:rsid w:val="00BB5FDD"/>
    <w:rsid w:val="00BF5524"/>
    <w:rsid w:val="00BF716F"/>
    <w:rsid w:val="00C002CD"/>
    <w:rsid w:val="00C07341"/>
    <w:rsid w:val="00C140F9"/>
    <w:rsid w:val="00C17D34"/>
    <w:rsid w:val="00C17F99"/>
    <w:rsid w:val="00C21984"/>
    <w:rsid w:val="00C5556B"/>
    <w:rsid w:val="00C7615E"/>
    <w:rsid w:val="00C77254"/>
    <w:rsid w:val="00C80A79"/>
    <w:rsid w:val="00C80B55"/>
    <w:rsid w:val="00C80E2E"/>
    <w:rsid w:val="00CA53DA"/>
    <w:rsid w:val="00CB719B"/>
    <w:rsid w:val="00CC18F8"/>
    <w:rsid w:val="00CC5D75"/>
    <w:rsid w:val="00CD1611"/>
    <w:rsid w:val="00CD593A"/>
    <w:rsid w:val="00CE007E"/>
    <w:rsid w:val="00CE2D43"/>
    <w:rsid w:val="00CE77C6"/>
    <w:rsid w:val="00CF291E"/>
    <w:rsid w:val="00D001EF"/>
    <w:rsid w:val="00D01428"/>
    <w:rsid w:val="00D0153E"/>
    <w:rsid w:val="00D050AA"/>
    <w:rsid w:val="00D1215F"/>
    <w:rsid w:val="00D226D1"/>
    <w:rsid w:val="00D25B35"/>
    <w:rsid w:val="00D33F09"/>
    <w:rsid w:val="00D5371D"/>
    <w:rsid w:val="00D549E7"/>
    <w:rsid w:val="00D5527A"/>
    <w:rsid w:val="00D70D51"/>
    <w:rsid w:val="00D734AA"/>
    <w:rsid w:val="00D76885"/>
    <w:rsid w:val="00D929BA"/>
    <w:rsid w:val="00DA2A8E"/>
    <w:rsid w:val="00DA5DC0"/>
    <w:rsid w:val="00DB683B"/>
    <w:rsid w:val="00DB70A9"/>
    <w:rsid w:val="00DC6760"/>
    <w:rsid w:val="00DD42CA"/>
    <w:rsid w:val="00DD6277"/>
    <w:rsid w:val="00DF2A1E"/>
    <w:rsid w:val="00DF36CD"/>
    <w:rsid w:val="00E04EDA"/>
    <w:rsid w:val="00E1598A"/>
    <w:rsid w:val="00E175C7"/>
    <w:rsid w:val="00E22A38"/>
    <w:rsid w:val="00E24E6B"/>
    <w:rsid w:val="00E2610C"/>
    <w:rsid w:val="00E31F71"/>
    <w:rsid w:val="00E325F8"/>
    <w:rsid w:val="00E359D4"/>
    <w:rsid w:val="00E47286"/>
    <w:rsid w:val="00E56FD2"/>
    <w:rsid w:val="00E630B8"/>
    <w:rsid w:val="00E72C84"/>
    <w:rsid w:val="00E76861"/>
    <w:rsid w:val="00E9324C"/>
    <w:rsid w:val="00EA74A9"/>
    <w:rsid w:val="00EB3DB6"/>
    <w:rsid w:val="00F144D2"/>
    <w:rsid w:val="00F22CE7"/>
    <w:rsid w:val="00F2779A"/>
    <w:rsid w:val="00F32248"/>
    <w:rsid w:val="00F33E27"/>
    <w:rsid w:val="00F44DB3"/>
    <w:rsid w:val="00F46222"/>
    <w:rsid w:val="00F6193A"/>
    <w:rsid w:val="00F63D0C"/>
    <w:rsid w:val="00F645AF"/>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CBC8F"/>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50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2364">
      <w:bodyDiv w:val="1"/>
      <w:marLeft w:val="0"/>
      <w:marRight w:val="0"/>
      <w:marTop w:val="0"/>
      <w:marBottom w:val="0"/>
      <w:divBdr>
        <w:top w:val="none" w:sz="0" w:space="0" w:color="auto"/>
        <w:left w:val="none" w:sz="0" w:space="0" w:color="auto"/>
        <w:bottom w:val="none" w:sz="0" w:space="0" w:color="auto"/>
        <w:right w:val="none" w:sz="0" w:space="0" w:color="auto"/>
      </w:divBdr>
    </w:div>
    <w:div w:id="245696943">
      <w:bodyDiv w:val="1"/>
      <w:marLeft w:val="0"/>
      <w:marRight w:val="0"/>
      <w:marTop w:val="0"/>
      <w:marBottom w:val="0"/>
      <w:divBdr>
        <w:top w:val="none" w:sz="0" w:space="0" w:color="auto"/>
        <w:left w:val="none" w:sz="0" w:space="0" w:color="auto"/>
        <w:bottom w:val="none" w:sz="0" w:space="0" w:color="auto"/>
        <w:right w:val="none" w:sz="0" w:space="0" w:color="auto"/>
      </w:divBdr>
    </w:div>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hyperlink" Target="mailto:bblock@blockandassociatespg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windler@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sul@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solomon@blockpg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B6DF-907A-4D41-89A9-CB5ABCAC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Williams, Bobbie Jo</cp:lastModifiedBy>
  <cp:revision>2</cp:revision>
  <cp:lastPrinted>2019-04-02T18:16:00Z</cp:lastPrinted>
  <dcterms:created xsi:type="dcterms:W3CDTF">2024-01-24T21:07:00Z</dcterms:created>
  <dcterms:modified xsi:type="dcterms:W3CDTF">2024-01-24T21:07:00Z</dcterms:modified>
</cp:coreProperties>
</file>