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3B52405A"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AD2872">
        <w:rPr>
          <w:rFonts w:ascii="Arial" w:hAnsi="Arial" w:cs="Arial"/>
          <w:spacing w:val="-3"/>
          <w:sz w:val="22"/>
          <w:szCs w:val="22"/>
        </w:rPr>
        <w:t xml:space="preserve">January 26, </w:t>
      </w:r>
      <w:proofErr w:type="gramStart"/>
      <w:r w:rsidR="00AD2872">
        <w:rPr>
          <w:rFonts w:ascii="Arial" w:hAnsi="Arial" w:cs="Arial"/>
          <w:spacing w:val="-3"/>
          <w:sz w:val="22"/>
          <w:szCs w:val="22"/>
        </w:rPr>
        <w:t>2024</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AD2872" w:rsidRPr="00AD2872">
        <w:rPr>
          <w:rFonts w:ascii="Arial" w:hAnsi="Arial" w:cs="Arial"/>
          <w:spacing w:val="-3"/>
          <w:sz w:val="22"/>
          <w:szCs w:val="22"/>
        </w:rPr>
        <w:t>C-2024-3045798</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5405D1D2" w14:textId="77777777" w:rsidR="00AD2872" w:rsidRDefault="00AD2872" w:rsidP="00AD2872">
      <w:pPr>
        <w:rPr>
          <w:rFonts w:ascii="Arial" w:hAnsi="Arial" w:cs="Arial"/>
          <w:sz w:val="22"/>
          <w:szCs w:val="22"/>
        </w:rPr>
      </w:pPr>
      <w:r w:rsidRPr="00AD2872">
        <w:rPr>
          <w:rFonts w:ascii="Arial" w:hAnsi="Arial" w:cs="Arial"/>
          <w:sz w:val="22"/>
          <w:szCs w:val="22"/>
        </w:rPr>
        <w:t xml:space="preserve">Philadelphia Water Department </w:t>
      </w:r>
    </w:p>
    <w:p w14:paraId="42499A3F" w14:textId="77777777" w:rsidR="00AD2872" w:rsidRDefault="00AD2872" w:rsidP="00AD2872">
      <w:pPr>
        <w:rPr>
          <w:rFonts w:ascii="Arial" w:hAnsi="Arial" w:cs="Arial"/>
          <w:sz w:val="22"/>
          <w:szCs w:val="22"/>
        </w:rPr>
      </w:pPr>
      <w:r w:rsidRPr="00AD2872">
        <w:rPr>
          <w:rFonts w:ascii="Arial" w:hAnsi="Arial" w:cs="Arial"/>
          <w:sz w:val="22"/>
          <w:szCs w:val="22"/>
        </w:rPr>
        <w:t xml:space="preserve">1101 Market Street, 5th </w:t>
      </w:r>
      <w:proofErr w:type="gramStart"/>
      <w:r w:rsidRPr="00AD2872">
        <w:rPr>
          <w:rFonts w:ascii="Arial" w:hAnsi="Arial" w:cs="Arial"/>
          <w:sz w:val="22"/>
          <w:szCs w:val="22"/>
        </w:rPr>
        <w:t>Floor</w:t>
      </w:r>
      <w:proofErr w:type="gramEnd"/>
      <w:r w:rsidRPr="00AD2872">
        <w:rPr>
          <w:rFonts w:ascii="Arial" w:hAnsi="Arial" w:cs="Arial"/>
          <w:sz w:val="22"/>
          <w:szCs w:val="22"/>
        </w:rPr>
        <w:t xml:space="preserve"> </w:t>
      </w:r>
    </w:p>
    <w:p w14:paraId="6F997DBD" w14:textId="7E4F4651" w:rsidR="00986678" w:rsidRDefault="00AD2872" w:rsidP="00AD2872">
      <w:pPr>
        <w:rPr>
          <w:rFonts w:ascii="Arial" w:hAnsi="Arial" w:cs="Arial"/>
          <w:sz w:val="22"/>
          <w:szCs w:val="22"/>
        </w:rPr>
      </w:pPr>
      <w:r w:rsidRPr="00AD2872">
        <w:rPr>
          <w:rFonts w:ascii="Arial" w:hAnsi="Arial" w:cs="Arial"/>
          <w:sz w:val="22"/>
          <w:szCs w:val="22"/>
        </w:rPr>
        <w:t>Philadelphia, PA 19017</w:t>
      </w:r>
    </w:p>
    <w:p w14:paraId="19D189FC" w14:textId="77777777" w:rsidR="00AD2872" w:rsidRPr="001B4F26" w:rsidRDefault="00AD2872" w:rsidP="00AD2872">
      <w:pP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356EA608" w14:textId="00DA00D3" w:rsidR="00B151EB" w:rsidRPr="00AD2872" w:rsidRDefault="00AD2872" w:rsidP="00B151EB">
      <w:pPr>
        <w:jc w:val="center"/>
        <w:rPr>
          <w:rFonts w:ascii="Arial" w:hAnsi="Arial" w:cs="Arial"/>
          <w:b/>
          <w:bCs/>
          <w:sz w:val="22"/>
          <w:szCs w:val="22"/>
          <w:u w:val="single"/>
        </w:rPr>
      </w:pPr>
      <w:r w:rsidRPr="00AD2872">
        <w:rPr>
          <w:rFonts w:ascii="Arial" w:hAnsi="Arial" w:cs="Arial"/>
          <w:b/>
          <w:bCs/>
          <w:sz w:val="22"/>
          <w:szCs w:val="22"/>
        </w:rPr>
        <w:t>Philadelphia Water Department</w:t>
      </w: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3364778">
    <w:abstractNumId w:val="1"/>
  </w:num>
  <w:num w:numId="2" w16cid:durableId="75320989">
    <w:abstractNumId w:val="5"/>
  </w:num>
  <w:num w:numId="3" w16cid:durableId="1475366413">
    <w:abstractNumId w:val="2"/>
  </w:num>
  <w:num w:numId="4" w16cid:durableId="2053773377">
    <w:abstractNumId w:val="4"/>
  </w:num>
  <w:num w:numId="5" w16cid:durableId="1870802784">
    <w:abstractNumId w:val="7"/>
  </w:num>
  <w:num w:numId="6" w16cid:durableId="1016924352">
    <w:abstractNumId w:val="3"/>
  </w:num>
  <w:num w:numId="7" w16cid:durableId="720783914">
    <w:abstractNumId w:val="8"/>
  </w:num>
  <w:num w:numId="8" w16cid:durableId="2088526358">
    <w:abstractNumId w:val="6"/>
  </w:num>
  <w:num w:numId="9" w16cid:durableId="70464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AD2872"/>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1730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2024-01-25T21:16:00Z</dcterms:created>
  <dcterms:modified xsi:type="dcterms:W3CDTF">2024-01-25T21:16:00Z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