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1D190122" w:rsidR="008E2F02" w:rsidRDefault="00D56AE2" w:rsidP="008E2F02">
      <w:pPr>
        <w:jc w:val="center"/>
        <w:rPr>
          <w:rFonts w:ascii="Microsoft Sans Serif" w:hAnsi="Microsoft Sans Serif" w:cs="Microsoft Sans Serif"/>
          <w:szCs w:val="24"/>
        </w:rPr>
      </w:pPr>
      <w:r>
        <w:rPr>
          <w:rFonts w:ascii="Microsoft Sans Serif" w:hAnsi="Microsoft Sans Serif" w:cs="Microsoft Sans Serif"/>
          <w:szCs w:val="24"/>
        </w:rPr>
        <w:t>February 7, 2024</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173E9B6D"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76533B" w:rsidRPr="0076533B">
        <w:rPr>
          <w:rFonts w:ascii="Microsoft Sans Serif" w:eastAsia="Microsoft Sans Serif" w:hAnsi="Microsoft Sans Serif" w:cs="Microsoft Sans Serif"/>
          <w:b/>
        </w:rPr>
        <w:t>F-2024-3045420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0FD99EE4" w:rsidR="00B46AFA" w:rsidRPr="001B643D" w:rsidRDefault="001B643D" w:rsidP="00376284">
      <w:pPr>
        <w:tabs>
          <w:tab w:val="center" w:pos="4824"/>
        </w:tabs>
        <w:suppressAutoHyphens/>
        <w:jc w:val="center"/>
        <w:rPr>
          <w:rFonts w:ascii="Microsoft Sans Serif" w:hAnsi="Microsoft Sans Serif" w:cs="Microsoft Sans Serif"/>
          <w:spacing w:val="-3"/>
          <w:szCs w:val="24"/>
        </w:rPr>
      </w:pPr>
      <w:r w:rsidRPr="001B643D">
        <w:rPr>
          <w:rFonts w:ascii="Microsoft Sans Serif" w:eastAsia="Microsoft Sans Serif" w:hAnsi="Microsoft Sans Serif" w:cs="Microsoft Sans Serif"/>
          <w:b/>
        </w:rPr>
        <w:t>Yun Ren V. Philadelphia Gas Works</w:t>
      </w:r>
      <w:r w:rsidR="00C00618" w:rsidRPr="001B643D">
        <w:rPr>
          <w:rFonts w:ascii="Microsoft Sans Serif" w:hAnsi="Microsoft Sans Serif" w:cs="Microsoft Sans Serif"/>
          <w:spacing w:val="-3"/>
          <w:szCs w:val="24"/>
        </w:rPr>
        <w:br/>
      </w:r>
    </w:p>
    <w:p w14:paraId="5F91D71B" w14:textId="34666975" w:rsidR="009F7E6A" w:rsidRDefault="006701C2"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w:t>
      </w:r>
      <w:r w:rsidR="00E50183">
        <w:rPr>
          <w:rFonts w:ascii="Microsoft Sans Serif" w:hAnsi="Microsoft Sans Serif" w:cs="Microsoft Sans Serif"/>
          <w:spacing w:val="-3"/>
          <w:szCs w:val="24"/>
        </w:rPr>
        <w:t>ppeal of BCS Decision Billing Dispute</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F626B3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80B7B">
        <w:rPr>
          <w:rFonts w:ascii="Microsoft Sans Serif" w:hAnsi="Microsoft Sans Serif" w:cs="Microsoft Sans Serif"/>
          <w:b/>
          <w:bCs/>
          <w:szCs w:val="24"/>
        </w:rPr>
        <w:t>Thursday, April 4,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8315F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80B7B">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38480668"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 xml:space="preserve">Fax: </w:t>
      </w:r>
      <w:r w:rsidR="00B1274E">
        <w:rPr>
          <w:rFonts w:ascii="Microsoft Sans Serif" w:hAnsi="Microsoft Sans Serif" w:cs="Microsoft Sans Serif"/>
          <w:bCs/>
          <w:szCs w:val="24"/>
        </w:rPr>
        <w:t>717.231.4764</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 xml:space="preserve">You must </w:t>
      </w:r>
      <w:proofErr w:type="gramStart"/>
      <w:r>
        <w:rPr>
          <w:rFonts w:ascii="Microsoft Sans Serif" w:hAnsi="Microsoft Sans Serif" w:cs="Microsoft Sans Serif"/>
          <w:bCs/>
          <w:szCs w:val="24"/>
        </w:rPr>
        <w:t>speak</w:t>
      </w:r>
      <w:proofErr w:type="gramEnd"/>
      <w:r>
        <w:rPr>
          <w:rFonts w:ascii="Microsoft Sans Serif" w:hAnsi="Microsoft Sans Serif" w:cs="Microsoft Sans Serif"/>
          <w:bCs/>
          <w:szCs w:val="24"/>
        </w:rPr>
        <w:t xml:space="preserve">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AF561C"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9CD5F1" w14:textId="77777777" w:rsidR="00713FA6" w:rsidRDefault="00713FA6" w:rsidP="00713FA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64C868DF" w14:textId="77777777" w:rsidR="00713FA6" w:rsidRDefault="00713FA6" w:rsidP="00713FA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776C298C" w14:textId="77777777" w:rsidR="00713FA6" w:rsidRDefault="00713FA6" w:rsidP="00713FA6">
      <w:pPr>
        <w:rPr>
          <w:rFonts w:ascii="Microsoft Sans Serif" w:hAnsi="Microsoft Sans Serif" w:cs="Microsoft Sans Serif"/>
          <w:b/>
          <w:bCs/>
        </w:rPr>
      </w:pPr>
    </w:p>
    <w:p w14:paraId="0B82C757" w14:textId="77777777" w:rsidR="00713FA6" w:rsidRDefault="00713FA6" w:rsidP="00713FA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3326023D" w14:textId="77777777" w:rsidR="00713FA6" w:rsidRDefault="00713FA6" w:rsidP="00713FA6">
      <w:pPr>
        <w:jc w:val="both"/>
        <w:rPr>
          <w:rFonts w:ascii="Microsoft Sans Serif" w:hAnsi="Microsoft Sans Serif" w:cs="Microsoft Sans Serif"/>
        </w:rPr>
      </w:pPr>
    </w:p>
    <w:p w14:paraId="5430A96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Scheduling Office: (717) 787-1399</w:t>
      </w:r>
    </w:p>
    <w:p w14:paraId="69DF22E3" w14:textId="77777777" w:rsidR="00713FA6" w:rsidRDefault="00713FA6" w:rsidP="00713FA6">
      <w:pPr>
        <w:numPr>
          <w:ilvl w:val="0"/>
          <w:numId w:val="9"/>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AF561C"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6F9EF15" w14:textId="77777777" w:rsidR="00CE76BF" w:rsidRDefault="00D56AE2">
      <w:pPr>
        <w:rPr>
          <w:rFonts w:ascii="Microsoft Sans Serif" w:hAnsi="Microsoft Sans Serif" w:cs="Microsoft Sans Serif"/>
          <w:sz w:val="20"/>
        </w:rPr>
      </w:pPr>
      <w:r>
        <w:rPr>
          <w:rFonts w:ascii="Microsoft Sans Serif" w:hAnsi="Microsoft Sans Serif" w:cs="Microsoft Sans Serif"/>
          <w:sz w:val="20"/>
        </w:rPr>
        <w:t>Cc:</w:t>
      </w:r>
    </w:p>
    <w:p w14:paraId="4FCC7CFE" w14:textId="77777777" w:rsidR="00CE76BF" w:rsidRDefault="00CE76BF">
      <w:pPr>
        <w:rPr>
          <w:rFonts w:ascii="Microsoft Sans Serif" w:hAnsi="Microsoft Sans Serif" w:cs="Microsoft Sans Serif"/>
          <w:sz w:val="20"/>
        </w:rPr>
      </w:pPr>
      <w:r>
        <w:rPr>
          <w:rFonts w:ascii="Microsoft Sans Serif" w:hAnsi="Microsoft Sans Serif" w:cs="Microsoft Sans Serif"/>
          <w:sz w:val="20"/>
        </w:rPr>
        <w:t>ALJ D. Heep</w:t>
      </w:r>
    </w:p>
    <w:p w14:paraId="786F55B7" w14:textId="3A07E255" w:rsidR="00574382" w:rsidRDefault="00CE76BF">
      <w:pPr>
        <w:rPr>
          <w:rFonts w:ascii="Microsoft Sans Serif" w:hAnsi="Microsoft Sans Serif" w:cs="Microsoft Sans Serif"/>
          <w:sz w:val="20"/>
        </w:rPr>
      </w:pPr>
      <w:r>
        <w:rPr>
          <w:rFonts w:ascii="Microsoft Sans Serif" w:hAnsi="Microsoft Sans Serif" w:cs="Microsoft Sans Serif"/>
          <w:sz w:val="20"/>
        </w:rPr>
        <w:t>LJackson</w:t>
      </w:r>
      <w:r w:rsidR="00574382">
        <w:rPr>
          <w:rFonts w:ascii="Microsoft Sans Serif" w:hAnsi="Microsoft Sans Serif" w:cs="Microsoft Sans Serif"/>
          <w:sz w:val="20"/>
        </w:rPr>
        <w:br w:type="page"/>
      </w:r>
    </w:p>
    <w:p w14:paraId="4FF8B926" w14:textId="77777777" w:rsidR="00CF1F18" w:rsidRPr="00272071" w:rsidRDefault="00CF1F18" w:rsidP="00CF1F18">
      <w:r>
        <w:rPr>
          <w:rFonts w:ascii="Microsoft Sans Serif" w:eastAsia="Microsoft Sans Serif" w:hAnsi="Microsoft Sans Serif" w:cs="Microsoft Sans Serif"/>
          <w:b/>
          <w:u w:val="single"/>
        </w:rPr>
        <w:lastRenderedPageBreak/>
        <w:t>F-2024-3045420 - YUN REN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YUN REN</w:t>
      </w:r>
      <w:r>
        <w:rPr>
          <w:rFonts w:ascii="Microsoft Sans Serif" w:eastAsia="Microsoft Sans Serif" w:hAnsi="Microsoft Sans Serif" w:cs="Microsoft Sans Serif"/>
        </w:rPr>
        <w:cr/>
        <w:t>6323 TORRESDALE AVENUE</w:t>
      </w:r>
      <w:r>
        <w:rPr>
          <w:rFonts w:ascii="Microsoft Sans Serif" w:eastAsia="Microsoft Sans Serif" w:hAnsi="Microsoft Sans Serif" w:cs="Microsoft Sans Serif"/>
        </w:rPr>
        <w:cr/>
        <w:t>PHILADELPHIA PA  19135</w:t>
      </w:r>
      <w:r>
        <w:rPr>
          <w:rFonts w:ascii="Microsoft Sans Serif" w:eastAsia="Microsoft Sans Serif" w:hAnsi="Microsoft Sans Serif" w:cs="Microsoft Sans Serif"/>
        </w:rPr>
        <w:cr/>
      </w:r>
      <w:r w:rsidRPr="00272071">
        <w:rPr>
          <w:rFonts w:ascii="Microsoft Sans Serif" w:eastAsia="Microsoft Sans Serif" w:hAnsi="Microsoft Sans Serif" w:cs="Microsoft Sans Serif"/>
          <w:b/>
          <w:bCs/>
        </w:rPr>
        <w:t>646</w:t>
      </w:r>
      <w:r>
        <w:rPr>
          <w:rFonts w:ascii="Microsoft Sans Serif" w:eastAsia="Microsoft Sans Serif" w:hAnsi="Microsoft Sans Serif" w:cs="Microsoft Sans Serif"/>
          <w:b/>
          <w:bCs/>
        </w:rPr>
        <w:t>.</w:t>
      </w:r>
      <w:r w:rsidRPr="00272071">
        <w:rPr>
          <w:rFonts w:ascii="Microsoft Sans Serif" w:eastAsia="Microsoft Sans Serif" w:hAnsi="Microsoft Sans Serif" w:cs="Microsoft Sans Serif"/>
          <w:b/>
          <w:bCs/>
        </w:rPr>
        <w:t>706</w:t>
      </w:r>
      <w:r>
        <w:rPr>
          <w:rFonts w:ascii="Microsoft Sans Serif" w:eastAsia="Microsoft Sans Serif" w:hAnsi="Microsoft Sans Serif" w:cs="Microsoft Sans Serif"/>
          <w:b/>
          <w:bCs/>
        </w:rPr>
        <w:t>.</w:t>
      </w:r>
      <w:r w:rsidRPr="00272071">
        <w:rPr>
          <w:rFonts w:ascii="Microsoft Sans Serif" w:eastAsia="Microsoft Sans Serif" w:hAnsi="Microsoft Sans Serif" w:cs="Microsoft Sans Serif"/>
          <w:b/>
          <w:bCs/>
        </w:rPr>
        <w:t>6876</w:t>
      </w:r>
      <w:r>
        <w:rPr>
          <w:rFonts w:ascii="Microsoft Sans Serif" w:eastAsia="Microsoft Sans Serif" w:hAnsi="Microsoft Sans Serif" w:cs="Microsoft Sans Serif"/>
        </w:rPr>
        <w:cr/>
        <w:t>yunren10@yahoo.com</w:t>
      </w:r>
      <w:r>
        <w:rPr>
          <w:rFonts w:ascii="Microsoft Sans Serif" w:eastAsia="Microsoft Sans Serif" w:hAnsi="Microsoft Sans Serif" w:cs="Microsoft Sans Serif"/>
        </w:rPr>
        <w:cr/>
        <w:t>Served by email and USPS First Class</w:t>
      </w:r>
    </w:p>
    <w:p w14:paraId="13E3CC43" w14:textId="77777777" w:rsidR="00CF1F18" w:rsidRDefault="00CF1F18" w:rsidP="00CF1F18">
      <w:pPr>
        <w:rPr>
          <w:rFonts w:ascii="Microsoft Sans Serif" w:eastAsia="Microsoft Sans Serif" w:hAnsi="Microsoft Sans Serif" w:cs="Microsoft Sans Serif"/>
          <w:b/>
          <w:u w:val="single"/>
        </w:rPr>
      </w:pPr>
    </w:p>
    <w:p w14:paraId="251FD792" w14:textId="77777777" w:rsidR="00CF1F18" w:rsidRDefault="00CF1F18" w:rsidP="00CF1F18">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72071">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t>Graciela.Christlieb@pgworks.com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6BB461A1" w14:textId="6A33600D" w:rsidR="00E475F3" w:rsidRPr="00301BC7" w:rsidRDefault="00E475F3" w:rsidP="00CF1F18">
      <w:pPr>
        <w:rPr>
          <w:rFonts w:ascii="Microsoft Sans Serif" w:hAnsi="Microsoft Sans Serif" w:cs="Microsoft Sans Serif"/>
          <w:sz w:val="20"/>
        </w:rPr>
      </w:pPr>
    </w:p>
    <w:sectPr w:rsidR="00E475F3" w:rsidRPr="00301BC7" w:rsidSect="005827E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56C8" w14:textId="77777777" w:rsidR="00D36484" w:rsidRDefault="00D36484">
      <w:r>
        <w:separator/>
      </w:r>
    </w:p>
  </w:endnote>
  <w:endnote w:type="continuationSeparator" w:id="0">
    <w:p w14:paraId="4B69A8D5" w14:textId="77777777" w:rsidR="00D36484" w:rsidRDefault="00D36484">
      <w:r>
        <w:continuationSeparator/>
      </w:r>
    </w:p>
  </w:endnote>
  <w:endnote w:type="continuationNotice" w:id="1">
    <w:p w14:paraId="2C40A9CA" w14:textId="77777777" w:rsidR="00D36484" w:rsidRDefault="00D36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A350" w14:textId="77777777" w:rsidR="00D36484" w:rsidRDefault="00D36484">
      <w:r>
        <w:separator/>
      </w:r>
    </w:p>
  </w:footnote>
  <w:footnote w:type="continuationSeparator" w:id="0">
    <w:p w14:paraId="4C330ACB" w14:textId="77777777" w:rsidR="00D36484" w:rsidRDefault="00D36484">
      <w:r>
        <w:continuationSeparator/>
      </w:r>
    </w:p>
  </w:footnote>
  <w:footnote w:type="continuationNotice" w:id="1">
    <w:p w14:paraId="5DF5DE04" w14:textId="77777777" w:rsidR="00D36484" w:rsidRDefault="00D364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 w:numId="9" w16cid:durableId="140772410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B643D"/>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01C2"/>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13FA6"/>
    <w:rsid w:val="0072571C"/>
    <w:rsid w:val="00726FBB"/>
    <w:rsid w:val="007323EA"/>
    <w:rsid w:val="00742260"/>
    <w:rsid w:val="00756096"/>
    <w:rsid w:val="00764840"/>
    <w:rsid w:val="0076533B"/>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80B7B"/>
    <w:rsid w:val="00893E2A"/>
    <w:rsid w:val="008A268C"/>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274E"/>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E76BF"/>
    <w:rsid w:val="00CF0BE9"/>
    <w:rsid w:val="00CF1F18"/>
    <w:rsid w:val="00CF5411"/>
    <w:rsid w:val="00D03B23"/>
    <w:rsid w:val="00D1013A"/>
    <w:rsid w:val="00D257A9"/>
    <w:rsid w:val="00D309C0"/>
    <w:rsid w:val="00D36484"/>
    <w:rsid w:val="00D5076D"/>
    <w:rsid w:val="00D543EC"/>
    <w:rsid w:val="00D56AE2"/>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018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33545436">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5200</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Jackson, Lakisha T</cp:lastModifiedBy>
  <cp:revision>2</cp:revision>
  <cp:lastPrinted>2022-10-11T19:12:00Z</cp:lastPrinted>
  <dcterms:created xsi:type="dcterms:W3CDTF">2024-02-07T19:10:00Z</dcterms:created>
  <dcterms:modified xsi:type="dcterms:W3CDTF">2024-02-07T19:10:00Z</dcterms:modified>
</cp:coreProperties>
</file>