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6B969" w14:textId="77777777" w:rsidR="00F30DE8" w:rsidRPr="00F30DE8" w:rsidRDefault="00F30DE8" w:rsidP="00F30DE8">
      <w:pPr>
        <w:tabs>
          <w:tab w:val="clear" w:pos="1440"/>
        </w:tabs>
        <w:autoSpaceDE w:val="0"/>
        <w:autoSpaceDN w:val="0"/>
        <w:spacing w:after="0" w:line="240" w:lineRule="auto"/>
        <w:jc w:val="center"/>
        <w:rPr>
          <w:rFonts w:eastAsia="Times New Roman"/>
          <w:b/>
          <w:kern w:val="0"/>
          <w14:ligatures w14:val="none"/>
        </w:rPr>
      </w:pPr>
      <w:r w:rsidRPr="00F30DE8">
        <w:rPr>
          <w:rFonts w:eastAsia="Times New Roman"/>
          <w:b/>
          <w:kern w:val="0"/>
          <w14:ligatures w14:val="none"/>
        </w:rPr>
        <w:t>BEFORE THE</w:t>
      </w:r>
    </w:p>
    <w:p w14:paraId="07C3F266" w14:textId="77777777" w:rsidR="00F30DE8" w:rsidRPr="00F30DE8" w:rsidRDefault="00F30DE8" w:rsidP="00F30DE8">
      <w:pPr>
        <w:tabs>
          <w:tab w:val="clear" w:pos="1440"/>
          <w:tab w:val="center" w:pos="4680"/>
        </w:tabs>
        <w:suppressAutoHyphens/>
        <w:autoSpaceDE w:val="0"/>
        <w:autoSpaceDN w:val="0"/>
        <w:spacing w:after="0" w:line="240" w:lineRule="auto"/>
        <w:jc w:val="center"/>
        <w:rPr>
          <w:rFonts w:eastAsia="Times New Roman"/>
          <w:b/>
          <w:bCs/>
          <w:spacing w:val="-3"/>
          <w:kern w:val="0"/>
          <w14:ligatures w14:val="none"/>
        </w:rPr>
      </w:pPr>
      <w:r w:rsidRPr="00F30DE8">
        <w:rPr>
          <w:rFonts w:eastAsia="Times New Roman"/>
          <w:b/>
          <w:bCs/>
          <w:spacing w:val="-3"/>
          <w:kern w:val="0"/>
          <w14:ligatures w14:val="none"/>
        </w:rPr>
        <w:t>PENNSYLVANIA PUBLIC UTILITY COMMISSION</w:t>
      </w:r>
    </w:p>
    <w:p w14:paraId="0336F333" w14:textId="77777777" w:rsidR="00F30DE8" w:rsidRPr="00F30DE8" w:rsidRDefault="00F30DE8" w:rsidP="00F30DE8">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6E1C8B38" w14:textId="77777777" w:rsidR="00F30DE8" w:rsidRPr="00F30DE8" w:rsidRDefault="00F30DE8" w:rsidP="00F30DE8">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5815DD2E" w14:textId="77777777" w:rsidR="00F30DE8" w:rsidRPr="00F30DE8" w:rsidRDefault="00F30DE8" w:rsidP="00F30DE8">
      <w:pPr>
        <w:tabs>
          <w:tab w:val="clear" w:pos="1440"/>
          <w:tab w:val="left" w:pos="-720"/>
        </w:tabs>
        <w:suppressAutoHyphens/>
        <w:autoSpaceDE w:val="0"/>
        <w:autoSpaceDN w:val="0"/>
        <w:spacing w:after="0" w:line="240" w:lineRule="auto"/>
        <w:ind w:firstLine="1440"/>
        <w:rPr>
          <w:rFonts w:eastAsia="Times New Roman"/>
          <w:spacing w:val="-3"/>
          <w:kern w:val="0"/>
          <w14:ligatures w14:val="none"/>
        </w:rPr>
      </w:pPr>
    </w:p>
    <w:p w14:paraId="59D3059A" w14:textId="77777777" w:rsidR="00F30DE8" w:rsidRPr="00F30DE8" w:rsidRDefault="00F30DE8" w:rsidP="00F30DE8">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 xml:space="preserve">Deborah </w:t>
      </w:r>
      <w:proofErr w:type="spellStart"/>
      <w:r w:rsidRPr="00F30DE8">
        <w:rPr>
          <w:rFonts w:eastAsia="Calibri"/>
          <w:spacing w:val="-3"/>
          <w:kern w:val="0"/>
          <w14:ligatures w14:val="none"/>
        </w:rPr>
        <w:t>Engisch</w:t>
      </w:r>
      <w:proofErr w:type="spellEnd"/>
      <w:r w:rsidRPr="00F30DE8">
        <w:rPr>
          <w:rFonts w:eastAsia="Calibri"/>
          <w:spacing w:val="-3"/>
          <w:kern w:val="0"/>
          <w14:ligatures w14:val="none"/>
        </w:rPr>
        <w:t>-Platt and Kim Platt</w:t>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fldChar w:fldCharType="begin"/>
      </w:r>
      <w:r w:rsidRPr="00F30DE8">
        <w:rPr>
          <w:rFonts w:eastAsia="Calibri"/>
          <w:spacing w:val="-3"/>
          <w:kern w:val="0"/>
          <w14:ligatures w14:val="none"/>
        </w:rPr>
        <w:instrText>fillin "Complainant's name" \d ""</w:instrText>
      </w:r>
      <w:r w:rsidRPr="00F30DE8">
        <w:rPr>
          <w:rFonts w:eastAsia="Calibri"/>
          <w:spacing w:val="-3"/>
          <w:kern w:val="0"/>
          <w14:ligatures w14:val="none"/>
        </w:rPr>
        <w:fldChar w:fldCharType="end"/>
      </w:r>
      <w:r w:rsidRPr="00F30DE8">
        <w:rPr>
          <w:rFonts w:eastAsia="Calibri"/>
          <w:spacing w:val="-3"/>
          <w:kern w:val="0"/>
          <w14:ligatures w14:val="none"/>
        </w:rPr>
        <w:t>:</w:t>
      </w:r>
    </w:p>
    <w:p w14:paraId="0F8AC143" w14:textId="77777777" w:rsidR="00F30DE8" w:rsidRPr="00F30DE8" w:rsidRDefault="00F30DE8" w:rsidP="00F30DE8">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p>
    <w:p w14:paraId="5924D26C" w14:textId="77777777" w:rsidR="00F30DE8" w:rsidRPr="00F30DE8" w:rsidRDefault="00F30DE8" w:rsidP="00F30DE8">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ab/>
        <w:t>v.</w:t>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r w:rsidRPr="00F30DE8">
        <w:rPr>
          <w:rFonts w:eastAsia="Calibri"/>
          <w:spacing w:val="-3"/>
          <w:kern w:val="0"/>
          <w14:ligatures w14:val="none"/>
        </w:rPr>
        <w:tab/>
      </w:r>
      <w:r w:rsidRPr="00F30DE8">
        <w:rPr>
          <w:rFonts w:eastAsia="Calibri"/>
          <w:spacing w:val="-3"/>
          <w:kern w:val="0"/>
          <w14:ligatures w14:val="none"/>
        </w:rPr>
        <w:tab/>
        <w:t>C-2019-3013745</w:t>
      </w:r>
    </w:p>
    <w:p w14:paraId="74A96414" w14:textId="77777777" w:rsidR="00F30DE8" w:rsidRPr="00F30DE8" w:rsidRDefault="00F30DE8" w:rsidP="00F30DE8">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p>
    <w:p w14:paraId="21715438" w14:textId="77777777" w:rsidR="00F30DE8" w:rsidRPr="00F30DE8" w:rsidRDefault="00F30DE8" w:rsidP="00F30DE8">
      <w:pPr>
        <w:tabs>
          <w:tab w:val="clear" w:pos="1440"/>
          <w:tab w:val="left" w:pos="-720"/>
        </w:tabs>
        <w:suppressAutoHyphens/>
        <w:spacing w:after="0" w:line="240" w:lineRule="auto"/>
        <w:jc w:val="both"/>
        <w:rPr>
          <w:rFonts w:eastAsia="Calibri"/>
          <w:spacing w:val="-3"/>
          <w:kern w:val="0"/>
          <w14:ligatures w14:val="none"/>
        </w:rPr>
      </w:pPr>
      <w:r w:rsidRPr="00F30DE8">
        <w:rPr>
          <w:rFonts w:eastAsia="Calibri"/>
          <w:spacing w:val="-3"/>
          <w:kern w:val="0"/>
          <w14:ligatures w14:val="none"/>
        </w:rPr>
        <w:t>Metropolitan Edison Company</w:t>
      </w:r>
      <w:r w:rsidRPr="00F30DE8">
        <w:rPr>
          <w:rFonts w:eastAsia="Calibri"/>
          <w:spacing w:val="-3"/>
          <w:kern w:val="0"/>
          <w14:ligatures w14:val="none"/>
        </w:rPr>
        <w:tab/>
      </w:r>
      <w:r w:rsidRPr="00F30DE8">
        <w:rPr>
          <w:rFonts w:eastAsia="Calibri"/>
          <w:spacing w:val="-3"/>
          <w:kern w:val="0"/>
          <w14:ligatures w14:val="none"/>
        </w:rPr>
        <w:tab/>
      </w:r>
      <w:r w:rsidRPr="00F30DE8">
        <w:rPr>
          <w:rFonts w:eastAsia="Calibri"/>
          <w:spacing w:val="-3"/>
          <w:kern w:val="0"/>
          <w14:ligatures w14:val="none"/>
        </w:rPr>
        <w:tab/>
        <w:t>:</w:t>
      </w:r>
    </w:p>
    <w:p w14:paraId="13B8B30D" w14:textId="77777777" w:rsidR="00F30DE8" w:rsidRPr="00F30DE8" w:rsidRDefault="00F30DE8" w:rsidP="00F30DE8">
      <w:pPr>
        <w:tabs>
          <w:tab w:val="clear" w:pos="1440"/>
          <w:tab w:val="left" w:pos="-720"/>
        </w:tabs>
        <w:suppressAutoHyphens/>
        <w:autoSpaceDE w:val="0"/>
        <w:autoSpaceDN w:val="0"/>
        <w:spacing w:after="0" w:line="240" w:lineRule="auto"/>
        <w:jc w:val="both"/>
        <w:rPr>
          <w:rFonts w:eastAsia="Times New Roman"/>
          <w:spacing w:val="-3"/>
          <w:kern w:val="0"/>
          <w14:ligatures w14:val="none"/>
        </w:rPr>
      </w:pPr>
    </w:p>
    <w:p w14:paraId="2FB9B0DF" w14:textId="77777777" w:rsidR="00F30DE8" w:rsidRPr="00F30DE8" w:rsidRDefault="00F30DE8" w:rsidP="00F30DE8">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01C328DE" w14:textId="77777777" w:rsidR="00F30DE8" w:rsidRPr="00F30DE8" w:rsidRDefault="00F30DE8" w:rsidP="00F30DE8">
      <w:pPr>
        <w:tabs>
          <w:tab w:val="clear" w:pos="1440"/>
          <w:tab w:val="left" w:pos="-720"/>
          <w:tab w:val="left" w:pos="5040"/>
        </w:tabs>
        <w:suppressAutoHyphens/>
        <w:autoSpaceDE w:val="0"/>
        <w:autoSpaceDN w:val="0"/>
        <w:spacing w:after="0" w:line="240" w:lineRule="auto"/>
        <w:jc w:val="both"/>
        <w:rPr>
          <w:rFonts w:eastAsia="Times New Roman"/>
          <w:spacing w:val="-3"/>
          <w:kern w:val="0"/>
          <w14:ligatures w14:val="none"/>
        </w:rPr>
      </w:pPr>
    </w:p>
    <w:p w14:paraId="722207EE" w14:textId="6336CEA5" w:rsidR="00F30DE8" w:rsidRPr="00F30DE8" w:rsidRDefault="00F30DE8" w:rsidP="00F30DE8">
      <w:pPr>
        <w:tabs>
          <w:tab w:val="clear" w:pos="1440"/>
          <w:tab w:val="center" w:pos="4680"/>
        </w:tabs>
        <w:suppressAutoHyphens/>
        <w:autoSpaceDE w:val="0"/>
        <w:autoSpaceDN w:val="0"/>
        <w:spacing w:after="0" w:line="240" w:lineRule="auto"/>
        <w:jc w:val="center"/>
        <w:rPr>
          <w:rFonts w:eastAsia="Times New Roman"/>
          <w:b/>
          <w:bCs/>
          <w:spacing w:val="-3"/>
          <w:kern w:val="0"/>
          <w14:ligatures w14:val="none"/>
        </w:rPr>
      </w:pPr>
      <w:r w:rsidRPr="00F30DE8">
        <w:rPr>
          <w:rFonts w:eastAsia="Times New Roman"/>
          <w:b/>
          <w:bCs/>
          <w:spacing w:val="-3"/>
          <w:kern w:val="0"/>
          <w14:ligatures w14:val="none"/>
        </w:rPr>
        <w:t>INTERIM ORDER</w:t>
      </w:r>
    </w:p>
    <w:p w14:paraId="0D33DD36" w14:textId="77B60ECC" w:rsidR="00F30DE8" w:rsidRPr="00F30DE8" w:rsidRDefault="0092428E" w:rsidP="00F30DE8">
      <w:pPr>
        <w:tabs>
          <w:tab w:val="clear" w:pos="1440"/>
          <w:tab w:val="center" w:pos="4680"/>
        </w:tabs>
        <w:suppressAutoHyphens/>
        <w:autoSpaceDE w:val="0"/>
        <w:autoSpaceDN w:val="0"/>
        <w:spacing w:after="0" w:line="240" w:lineRule="auto"/>
        <w:jc w:val="center"/>
        <w:rPr>
          <w:rFonts w:eastAsia="Times New Roman"/>
          <w:b/>
          <w:bCs/>
          <w:spacing w:val="-3"/>
          <w:kern w:val="0"/>
          <w:u w:val="single"/>
          <w14:ligatures w14:val="none"/>
        </w:rPr>
      </w:pPr>
      <w:r>
        <w:rPr>
          <w:rFonts w:eastAsia="Times New Roman"/>
          <w:b/>
          <w:bCs/>
          <w:spacing w:val="-3"/>
          <w:kern w:val="0"/>
          <w:u w:val="single"/>
          <w14:ligatures w14:val="none"/>
        </w:rPr>
        <w:t>SCHEDULING WRITTEN TESTIMONY</w:t>
      </w:r>
    </w:p>
    <w:p w14:paraId="27A26726" w14:textId="77777777" w:rsidR="00F30DE8" w:rsidRPr="00F30DE8" w:rsidRDefault="00F30DE8" w:rsidP="00762980">
      <w:pPr>
        <w:tabs>
          <w:tab w:val="clear" w:pos="1440"/>
        </w:tabs>
        <w:autoSpaceDE w:val="0"/>
        <w:autoSpaceDN w:val="0"/>
        <w:spacing w:after="0"/>
        <w:jc w:val="center"/>
        <w:rPr>
          <w:rFonts w:eastAsia="Times New Roman"/>
          <w:kern w:val="0"/>
          <w14:ligatures w14:val="none"/>
        </w:rPr>
      </w:pPr>
    </w:p>
    <w:p w14:paraId="1C5BDBBF" w14:textId="6348ACC7" w:rsidR="00F30DE8" w:rsidRPr="00F30DE8" w:rsidRDefault="00F30DE8" w:rsidP="00762980">
      <w:pPr>
        <w:tabs>
          <w:tab w:val="clear" w:pos="1440"/>
          <w:tab w:val="left" w:pos="-720"/>
          <w:tab w:val="left" w:pos="2070"/>
        </w:tabs>
        <w:suppressAutoHyphens/>
        <w:autoSpaceDE w:val="0"/>
        <w:autoSpaceDN w:val="0"/>
        <w:spacing w:after="0"/>
        <w:ind w:firstLine="1440"/>
        <w:rPr>
          <w:rFonts w:eastAsia="Times New Roman"/>
          <w:kern w:val="0"/>
          <w14:ligatures w14:val="none"/>
        </w:rPr>
      </w:pPr>
      <w:r w:rsidRPr="00F30DE8">
        <w:rPr>
          <w:rFonts w:eastAsia="Times New Roman"/>
          <w:kern w:val="0"/>
          <w14:ligatures w14:val="none"/>
        </w:rPr>
        <w:t>On October 17, 2019, Deborah Engisch-Platt and Kim Platt filed a formal complaint with the Pennsylvania Public Utility Commission against Metropolitan Edison Company (Met-Ed</w:t>
      </w:r>
      <w:r w:rsidR="00157DE7">
        <w:rPr>
          <w:rFonts w:eastAsia="Times New Roman"/>
          <w:kern w:val="0"/>
          <w14:ligatures w14:val="none"/>
        </w:rPr>
        <w:t xml:space="preserve"> or Company)</w:t>
      </w:r>
      <w:r w:rsidRPr="00F30DE8">
        <w:rPr>
          <w:rFonts w:eastAsia="Times New Roman"/>
          <w:kern w:val="0"/>
          <w14:ligatures w14:val="none"/>
        </w:rPr>
        <w:t xml:space="preserve">.  In their complaint, the Platts averred that they are having a reliability, safety or quality problem with their utility service because they do not want a smart meter installed at their home due to various adverse health effects.  The Platts averred that Mr. Platt is 63 years old and has an irregular heart rate that is compounded by electromagnetic sensitivity and their daughter also has a sensory disorder affected by high pitched electrical humming sounds and pulsations.  The Platts requested that the analog meter remain on their home.  </w:t>
      </w:r>
    </w:p>
    <w:p w14:paraId="0B09F80B" w14:textId="77777777" w:rsidR="00F30DE8" w:rsidRPr="00F30DE8" w:rsidRDefault="00F30DE8" w:rsidP="00762980">
      <w:pPr>
        <w:tabs>
          <w:tab w:val="clear" w:pos="1440"/>
          <w:tab w:val="left" w:pos="-720"/>
          <w:tab w:val="left" w:pos="2070"/>
        </w:tabs>
        <w:suppressAutoHyphens/>
        <w:autoSpaceDE w:val="0"/>
        <w:autoSpaceDN w:val="0"/>
        <w:spacing w:after="0"/>
        <w:ind w:firstLine="1440"/>
        <w:rPr>
          <w:rFonts w:eastAsia="Times New Roman"/>
          <w:kern w:val="0"/>
          <w14:ligatures w14:val="none"/>
        </w:rPr>
      </w:pPr>
    </w:p>
    <w:p w14:paraId="187D86AE" w14:textId="735C9AB9" w:rsidR="00F30DE8" w:rsidRPr="00F30DE8" w:rsidRDefault="00F30DE8" w:rsidP="00762980">
      <w:pPr>
        <w:tabs>
          <w:tab w:val="clear" w:pos="1440"/>
          <w:tab w:val="left" w:pos="-720"/>
          <w:tab w:val="left" w:pos="2070"/>
        </w:tabs>
        <w:suppressAutoHyphens/>
        <w:autoSpaceDE w:val="0"/>
        <w:autoSpaceDN w:val="0"/>
        <w:spacing w:after="0"/>
        <w:ind w:firstLine="1440"/>
        <w:rPr>
          <w:rFonts w:eastAsia="Times New Roman"/>
          <w:kern w:val="0"/>
          <w14:ligatures w14:val="none"/>
        </w:rPr>
      </w:pPr>
      <w:r w:rsidRPr="00F30DE8">
        <w:rPr>
          <w:rFonts w:eastAsia="Times New Roman"/>
          <w:kern w:val="0"/>
          <w14:ligatures w14:val="none"/>
        </w:rPr>
        <w:t>On November 12, 2019, Met-Ed filed an answer and new matter in response to the Platt’s complaint.  In the answer, Met-Ed denied that the Platts are having a reliability, safety or quality problem with their utility service.  In its new matter, which was accompanied by a notice to plead, Met-Ed averred that the complaint is legally insufficient because the company has not violated the Public Utility Code or the orders or regulations of the Commission since the company is required to install smart meters.  Met-Ed requested that the complaint be dismissed.</w:t>
      </w:r>
    </w:p>
    <w:p w14:paraId="27A37CA6" w14:textId="6F69E003" w:rsidR="00A479E2" w:rsidRDefault="00EE27BE" w:rsidP="00762980">
      <w:pPr>
        <w:spacing w:after="0"/>
      </w:pPr>
      <w:r>
        <w:br/>
      </w:r>
      <w:r w:rsidR="00F30DE8">
        <w:tab/>
        <w:t xml:space="preserve">The complaint was assigned to Deputy Chief Administrative Law Judge Joel Cheskis.   </w:t>
      </w:r>
      <w:r w:rsidR="00A479E2" w:rsidRPr="00A479E2">
        <w:t xml:space="preserve">On January 21, 2020, the Platts requested that the hearing be done entirely in writing because Mr. Platt has hearing </w:t>
      </w:r>
      <w:proofErr w:type="gramStart"/>
      <w:r w:rsidR="00A479E2" w:rsidRPr="00A479E2">
        <w:t>loss</w:t>
      </w:r>
      <w:proofErr w:type="gramEnd"/>
      <w:r w:rsidR="00A479E2" w:rsidRPr="00A479E2">
        <w:t xml:space="preserve"> and he believes that a telephone hearing will compromise his </w:t>
      </w:r>
      <w:r w:rsidR="00A479E2" w:rsidRPr="00A479E2">
        <w:lastRenderedPageBreak/>
        <w:t xml:space="preserve">ability to understand what is being said and to respond properly.  </w:t>
      </w:r>
      <w:r w:rsidR="0067347B">
        <w:t>The Company did not object</w:t>
      </w:r>
      <w:r w:rsidR="003A6C0F">
        <w:t xml:space="preserve"> to the modified procedure.</w:t>
      </w:r>
    </w:p>
    <w:p w14:paraId="646CEA37" w14:textId="77777777" w:rsidR="00762980" w:rsidRPr="00A479E2" w:rsidRDefault="00762980" w:rsidP="00762980">
      <w:pPr>
        <w:spacing w:after="0"/>
      </w:pPr>
    </w:p>
    <w:p w14:paraId="59B6A47B" w14:textId="4DC17FCF" w:rsidR="00F30DE8" w:rsidRDefault="00A479E2" w:rsidP="00762980">
      <w:pPr>
        <w:spacing w:after="0"/>
      </w:pPr>
      <w:r>
        <w:tab/>
      </w:r>
      <w:r w:rsidR="00F30DE8">
        <w:t xml:space="preserve"> On August 18, 2020, Judge Cheskis issued an order which, among other things, set a procedural schedule for the exchange of written testimony.  </w:t>
      </w:r>
      <w:r w:rsidR="000C7746">
        <w:t xml:space="preserve">Judge Cheskis stated that he </w:t>
      </w:r>
      <w:r w:rsidR="00762980">
        <w:t>would issue</w:t>
      </w:r>
      <w:r w:rsidR="00127D20">
        <w:t xml:space="preserve"> a further order</w:t>
      </w:r>
      <w:r w:rsidR="00F30DE8">
        <w:t xml:space="preserve"> following the distribution of preserved testimony.</w:t>
      </w:r>
    </w:p>
    <w:p w14:paraId="6BA7DD68" w14:textId="77777777" w:rsidR="00762980" w:rsidRDefault="00762980" w:rsidP="00762980">
      <w:pPr>
        <w:spacing w:after="0"/>
      </w:pPr>
    </w:p>
    <w:p w14:paraId="0D99EC3D" w14:textId="23B74375" w:rsidR="00F30DE8" w:rsidRDefault="00F30DE8" w:rsidP="00762980">
      <w:pPr>
        <w:spacing w:after="0"/>
      </w:pPr>
      <w:r>
        <w:tab/>
        <w:t>Shortly thereafter, t</w:t>
      </w:r>
      <w:r w:rsidRPr="00F30DE8">
        <w:t>he Commission issued a general stay of smart meter proceedings on November 4, 2020, in view of the litigation in the appellate courts related to smart meters.</w:t>
      </w:r>
      <w:r w:rsidR="003623B3">
        <w:rPr>
          <w:rStyle w:val="FootnoteReference"/>
        </w:rPr>
        <w:footnoteReference w:id="1"/>
      </w:r>
      <w:r w:rsidR="00974761">
        <w:t xml:space="preserve"> </w:t>
      </w:r>
      <w:r w:rsidR="00D476D8">
        <w:t xml:space="preserve">The Commission lifted the </w:t>
      </w:r>
      <w:r w:rsidR="00D476D8" w:rsidRPr="00F30DE8">
        <w:t>lifted the general stay of smart meter proceedings and directed the Office of Administrative Law Judge to proceed with pending formal complaint proceedings as directed by the presiding administrative law judge</w:t>
      </w:r>
      <w:r w:rsidR="00D476D8">
        <w:t xml:space="preserve"> on November 14, 2023.</w:t>
      </w:r>
    </w:p>
    <w:p w14:paraId="274939FA" w14:textId="77777777" w:rsidR="00762980" w:rsidRPr="00F30DE8" w:rsidRDefault="00762980" w:rsidP="00762980">
      <w:pPr>
        <w:spacing w:after="0"/>
      </w:pPr>
    </w:p>
    <w:p w14:paraId="685A630B" w14:textId="77777777" w:rsidR="006758B2" w:rsidRDefault="00D476D8" w:rsidP="00762980">
      <w:pPr>
        <w:spacing w:after="0"/>
      </w:pPr>
      <w:r>
        <w:tab/>
        <w:t>By order entered on December 6, 2023, I directed the parties to confer</w:t>
      </w:r>
      <w:r w:rsidR="00EA013A">
        <w:t xml:space="preserve"> and to submit </w:t>
      </w:r>
      <w:proofErr w:type="gramStart"/>
      <w:r w:rsidR="00DD2888">
        <w:t>joint</w:t>
      </w:r>
      <w:proofErr w:type="gramEnd"/>
      <w:r w:rsidR="00DD2888">
        <w:t xml:space="preserve"> status report which includes </w:t>
      </w:r>
      <w:r w:rsidR="00A66BFE">
        <w:t xml:space="preserve">revised schedule for the exchange of </w:t>
      </w:r>
      <w:r w:rsidR="00DD2888">
        <w:t>written testimony or other proposal for further proceedings</w:t>
      </w:r>
      <w:r w:rsidR="00EA013A">
        <w:t xml:space="preserve"> on or before February 7, 2024. </w:t>
      </w:r>
    </w:p>
    <w:p w14:paraId="608A10F7" w14:textId="77777777" w:rsidR="00762980" w:rsidRDefault="00762980" w:rsidP="00762980">
      <w:pPr>
        <w:spacing w:after="0"/>
      </w:pPr>
    </w:p>
    <w:p w14:paraId="57300C15" w14:textId="0B2872B5" w:rsidR="006758B2" w:rsidRDefault="00157DE7" w:rsidP="00762980">
      <w:pPr>
        <w:spacing w:after="0"/>
      </w:pPr>
      <w:r>
        <w:tab/>
        <w:t>On February 7, 2024, the Company filed a status report</w:t>
      </w:r>
      <w:r w:rsidR="002642C2">
        <w:t>.  The Company indicate</w:t>
      </w:r>
      <w:r w:rsidR="004A3E54">
        <w:t>d</w:t>
      </w:r>
      <w:r w:rsidR="002642C2">
        <w:t xml:space="preserve"> that</w:t>
      </w:r>
      <w:r w:rsidR="00DE6850">
        <w:t xml:space="preserve"> the Complainant filed a document on March 30, </w:t>
      </w:r>
      <w:proofErr w:type="gramStart"/>
      <w:r w:rsidR="00DE6850">
        <w:t>2020</w:t>
      </w:r>
      <w:proofErr w:type="gramEnd"/>
      <w:r w:rsidR="00DE6850">
        <w:t xml:space="preserve"> which should be considered her direct written testimony.  The Company proposed </w:t>
      </w:r>
      <w:r w:rsidR="00555F95">
        <w:t>the following schedule for written testimony:</w:t>
      </w:r>
    </w:p>
    <w:p w14:paraId="0F2D35BB" w14:textId="77777777" w:rsidR="00762980" w:rsidRDefault="00762980" w:rsidP="00762980">
      <w:pPr>
        <w:spacing w:after="0"/>
      </w:pPr>
    </w:p>
    <w:tbl>
      <w:tblPr>
        <w:tblStyle w:val="TableGrid"/>
        <w:tblW w:w="0" w:type="auto"/>
        <w:tblInd w:w="1435" w:type="dxa"/>
        <w:tblLook w:val="04A0" w:firstRow="1" w:lastRow="0" w:firstColumn="1" w:lastColumn="0" w:noHBand="0" w:noVBand="1"/>
      </w:tblPr>
      <w:tblGrid>
        <w:gridCol w:w="3240"/>
        <w:gridCol w:w="1890"/>
      </w:tblGrid>
      <w:tr w:rsidR="00555F95" w14:paraId="5864A518" w14:textId="77777777" w:rsidTr="00EC175D">
        <w:tc>
          <w:tcPr>
            <w:tcW w:w="3240" w:type="dxa"/>
          </w:tcPr>
          <w:p w14:paraId="4E3B1E5B" w14:textId="648C2309" w:rsidR="00555F95" w:rsidRDefault="00674B36" w:rsidP="00514205">
            <w:r>
              <w:t>Complainant’s Written Direct</w:t>
            </w:r>
          </w:p>
        </w:tc>
        <w:tc>
          <w:tcPr>
            <w:tcW w:w="1890" w:type="dxa"/>
          </w:tcPr>
          <w:p w14:paraId="4D08745B" w14:textId="3CCD0188" w:rsidR="00555F95" w:rsidRDefault="00674B36" w:rsidP="00514205">
            <w:r>
              <w:t>March 30, 2020</w:t>
            </w:r>
          </w:p>
        </w:tc>
      </w:tr>
      <w:tr w:rsidR="00555F95" w14:paraId="4C1B9B72" w14:textId="77777777" w:rsidTr="00EC175D">
        <w:tc>
          <w:tcPr>
            <w:tcW w:w="3240" w:type="dxa"/>
          </w:tcPr>
          <w:p w14:paraId="281E61FC" w14:textId="08778C7E" w:rsidR="00555F95" w:rsidRDefault="00674B36" w:rsidP="00514205">
            <w:r>
              <w:t>Complainant’s Supplemental Written Direct</w:t>
            </w:r>
          </w:p>
        </w:tc>
        <w:tc>
          <w:tcPr>
            <w:tcW w:w="1890" w:type="dxa"/>
          </w:tcPr>
          <w:p w14:paraId="30A1D957" w14:textId="328859AF" w:rsidR="00555F95" w:rsidRDefault="00674B36" w:rsidP="00514205">
            <w:r>
              <w:t>March 15, 2024</w:t>
            </w:r>
          </w:p>
        </w:tc>
      </w:tr>
      <w:tr w:rsidR="00555F95" w14:paraId="5C69A75B" w14:textId="77777777" w:rsidTr="00EC175D">
        <w:tc>
          <w:tcPr>
            <w:tcW w:w="3240" w:type="dxa"/>
          </w:tcPr>
          <w:p w14:paraId="5A275122" w14:textId="11E3BAE0" w:rsidR="00555F95" w:rsidRDefault="004E0977" w:rsidP="00514205">
            <w:r>
              <w:t>Company Rebuttal</w:t>
            </w:r>
          </w:p>
        </w:tc>
        <w:tc>
          <w:tcPr>
            <w:tcW w:w="1890" w:type="dxa"/>
          </w:tcPr>
          <w:p w14:paraId="316074B2" w14:textId="5B533C23" w:rsidR="00555F95" w:rsidRDefault="004E0977" w:rsidP="00514205">
            <w:r>
              <w:t>April 19, 2024</w:t>
            </w:r>
          </w:p>
        </w:tc>
      </w:tr>
      <w:tr w:rsidR="00555F95" w14:paraId="3B402F9B" w14:textId="77777777" w:rsidTr="00EC175D">
        <w:tc>
          <w:tcPr>
            <w:tcW w:w="3240" w:type="dxa"/>
          </w:tcPr>
          <w:p w14:paraId="5C462DF7" w14:textId="79BDB19D" w:rsidR="00555F95" w:rsidRDefault="004E0977" w:rsidP="00514205">
            <w:r>
              <w:t>Complainants’ Written Surrebuttal</w:t>
            </w:r>
          </w:p>
        </w:tc>
        <w:tc>
          <w:tcPr>
            <w:tcW w:w="1890" w:type="dxa"/>
          </w:tcPr>
          <w:p w14:paraId="0B5E49C1" w14:textId="79333406" w:rsidR="00555F95" w:rsidRDefault="004E0977" w:rsidP="00514205">
            <w:r>
              <w:t>May 17, 2024</w:t>
            </w:r>
          </w:p>
        </w:tc>
      </w:tr>
    </w:tbl>
    <w:p w14:paraId="101CCF86" w14:textId="77777777" w:rsidR="00555F95" w:rsidRDefault="00555F95" w:rsidP="00514205"/>
    <w:p w14:paraId="48465DF3" w14:textId="77777777" w:rsidR="00315DE0" w:rsidRDefault="004E0977" w:rsidP="00A34150">
      <w:r>
        <w:lastRenderedPageBreak/>
        <w:tab/>
        <w:t>Although the Company does not indicate in its status report that it has had any recent communication with the Complainants</w:t>
      </w:r>
      <w:r w:rsidR="00315DE0">
        <w:t>, the Complainants did not file an objection to the schedule proposed by the Company.</w:t>
      </w:r>
    </w:p>
    <w:p w14:paraId="74B8D164" w14:textId="77777777" w:rsidR="00762980" w:rsidRDefault="00762980" w:rsidP="00A34150"/>
    <w:p w14:paraId="19C4DC96" w14:textId="38C933BF" w:rsidR="00315DE0" w:rsidRDefault="00A34150" w:rsidP="00514205">
      <w:r>
        <w:tab/>
      </w:r>
      <w:r w:rsidR="00315DE0">
        <w:t>THEREFORE,</w:t>
      </w:r>
    </w:p>
    <w:p w14:paraId="2039EDE2" w14:textId="77777777" w:rsidR="00762980" w:rsidRDefault="00762980" w:rsidP="00514205"/>
    <w:p w14:paraId="560D2590" w14:textId="19D2FB6F" w:rsidR="006758B2" w:rsidRDefault="00A34150" w:rsidP="00514205">
      <w:r>
        <w:tab/>
      </w:r>
      <w:r w:rsidR="00315DE0">
        <w:t>IT IS ORDERED:</w:t>
      </w:r>
      <w:r w:rsidR="006758B2">
        <w:tab/>
      </w:r>
    </w:p>
    <w:p w14:paraId="4A49B2F4" w14:textId="77777777" w:rsidR="00762980" w:rsidRDefault="00762980" w:rsidP="00514205"/>
    <w:p w14:paraId="03DE6582" w14:textId="77777777" w:rsidR="000E7E5F" w:rsidRDefault="000E7E5F" w:rsidP="00514205">
      <w:r>
        <w:tab/>
        <w:t>1.</w:t>
      </w:r>
      <w:r>
        <w:tab/>
        <w:t>That the following procedural schedule will be adopted for this proceeding:</w:t>
      </w:r>
    </w:p>
    <w:tbl>
      <w:tblPr>
        <w:tblStyle w:val="TableGrid"/>
        <w:tblW w:w="0" w:type="auto"/>
        <w:tblLook w:val="04A0" w:firstRow="1" w:lastRow="0" w:firstColumn="1" w:lastColumn="0" w:noHBand="0" w:noVBand="1"/>
      </w:tblPr>
      <w:tblGrid>
        <w:gridCol w:w="4159"/>
        <w:gridCol w:w="4159"/>
      </w:tblGrid>
      <w:tr w:rsidR="000E7E5F" w14:paraId="0BDCAE69" w14:textId="77777777" w:rsidTr="00A34150">
        <w:trPr>
          <w:trHeight w:val="370"/>
        </w:trPr>
        <w:tc>
          <w:tcPr>
            <w:tcW w:w="4159" w:type="dxa"/>
          </w:tcPr>
          <w:p w14:paraId="3C3B5FA5" w14:textId="77777777" w:rsidR="000E7E5F" w:rsidRDefault="000E7E5F" w:rsidP="003C2643">
            <w:r>
              <w:t>Complainant’s Written Direct</w:t>
            </w:r>
          </w:p>
        </w:tc>
        <w:tc>
          <w:tcPr>
            <w:tcW w:w="4159" w:type="dxa"/>
          </w:tcPr>
          <w:p w14:paraId="4CD11342" w14:textId="77777777" w:rsidR="000E7E5F" w:rsidRDefault="000E7E5F" w:rsidP="003C2643">
            <w:r>
              <w:t>March 30, 2020</w:t>
            </w:r>
          </w:p>
        </w:tc>
      </w:tr>
      <w:tr w:rsidR="000E7E5F" w14:paraId="3CAAD5A3" w14:textId="77777777" w:rsidTr="00A34150">
        <w:trPr>
          <w:trHeight w:val="370"/>
        </w:trPr>
        <w:tc>
          <w:tcPr>
            <w:tcW w:w="4159" w:type="dxa"/>
          </w:tcPr>
          <w:p w14:paraId="2C1BA70C" w14:textId="77777777" w:rsidR="000E7E5F" w:rsidRDefault="000E7E5F" w:rsidP="003C2643">
            <w:r>
              <w:t>Complainant’s Supplemental Written Direct</w:t>
            </w:r>
          </w:p>
        </w:tc>
        <w:tc>
          <w:tcPr>
            <w:tcW w:w="4159" w:type="dxa"/>
          </w:tcPr>
          <w:p w14:paraId="3BE433FA" w14:textId="77777777" w:rsidR="000E7E5F" w:rsidRDefault="000E7E5F" w:rsidP="003C2643">
            <w:r>
              <w:t>March 15, 2024</w:t>
            </w:r>
          </w:p>
        </w:tc>
      </w:tr>
      <w:tr w:rsidR="000E7E5F" w14:paraId="513E046D" w14:textId="77777777" w:rsidTr="00A34150">
        <w:trPr>
          <w:trHeight w:val="370"/>
        </w:trPr>
        <w:tc>
          <w:tcPr>
            <w:tcW w:w="4159" w:type="dxa"/>
          </w:tcPr>
          <w:p w14:paraId="00D2A390" w14:textId="77777777" w:rsidR="000E7E5F" w:rsidRDefault="000E7E5F" w:rsidP="003C2643">
            <w:r>
              <w:t>Company Rebuttal</w:t>
            </w:r>
          </w:p>
        </w:tc>
        <w:tc>
          <w:tcPr>
            <w:tcW w:w="4159" w:type="dxa"/>
          </w:tcPr>
          <w:p w14:paraId="2BD97A85" w14:textId="77777777" w:rsidR="000E7E5F" w:rsidRDefault="000E7E5F" w:rsidP="003C2643">
            <w:r>
              <w:t>April 19, 2024</w:t>
            </w:r>
          </w:p>
        </w:tc>
      </w:tr>
      <w:tr w:rsidR="000E7E5F" w14:paraId="428F31DC" w14:textId="77777777" w:rsidTr="00A34150">
        <w:trPr>
          <w:trHeight w:val="370"/>
        </w:trPr>
        <w:tc>
          <w:tcPr>
            <w:tcW w:w="4159" w:type="dxa"/>
          </w:tcPr>
          <w:p w14:paraId="533CB335" w14:textId="77777777" w:rsidR="000E7E5F" w:rsidRDefault="000E7E5F" w:rsidP="003C2643">
            <w:r>
              <w:t>Complainants’ Written Surrebuttal</w:t>
            </w:r>
          </w:p>
        </w:tc>
        <w:tc>
          <w:tcPr>
            <w:tcW w:w="4159" w:type="dxa"/>
          </w:tcPr>
          <w:p w14:paraId="5AB3E619" w14:textId="77777777" w:rsidR="000E7E5F" w:rsidRDefault="000E7E5F" w:rsidP="003C2643">
            <w:r>
              <w:t>May 17, 2024</w:t>
            </w:r>
          </w:p>
        </w:tc>
      </w:tr>
    </w:tbl>
    <w:p w14:paraId="5DC51845" w14:textId="77777777" w:rsidR="000E7E5F" w:rsidRDefault="000E7E5F" w:rsidP="00762980">
      <w:pPr>
        <w:spacing w:after="0"/>
      </w:pPr>
    </w:p>
    <w:p w14:paraId="3ADC16EF" w14:textId="37BF729E" w:rsidR="00D37A33" w:rsidRDefault="00333A71" w:rsidP="00762980">
      <w:pPr>
        <w:spacing w:after="0"/>
      </w:pPr>
      <w:r>
        <w:tab/>
        <w:t>2.</w:t>
      </w:r>
      <w:r>
        <w:tab/>
        <w:t xml:space="preserve">Following the conclusion of the exchange </w:t>
      </w:r>
      <w:proofErr w:type="gramStart"/>
      <w:r>
        <w:t>of  written</w:t>
      </w:r>
      <w:proofErr w:type="gramEnd"/>
      <w:r>
        <w:t xml:space="preserve"> testimony</w:t>
      </w:r>
      <w:r w:rsidR="00A34150">
        <w:t xml:space="preserve">, </w:t>
      </w:r>
      <w:r w:rsidR="005C541F">
        <w:t>a hearing to offer the written testimony into evidence and to address any outstanding issues will be scheduled for an available date in June or July 2024</w:t>
      </w:r>
      <w:r w:rsidR="00D37A33">
        <w:t>.</w:t>
      </w:r>
      <w:r w:rsidR="005C541F">
        <w:t xml:space="preserve">  If either party has any significant conflicts</w:t>
      </w:r>
      <w:r w:rsidR="00827A91">
        <w:t>, they are to notify me promptly.</w:t>
      </w:r>
    </w:p>
    <w:p w14:paraId="56BF4CC7" w14:textId="77777777" w:rsidR="00762980" w:rsidRDefault="00762980" w:rsidP="00762980">
      <w:pPr>
        <w:spacing w:after="0"/>
      </w:pPr>
    </w:p>
    <w:p w14:paraId="11AD5357" w14:textId="6B52F862" w:rsidR="00F30DE8" w:rsidRDefault="00D37A33" w:rsidP="00762980">
      <w:pPr>
        <w:spacing w:after="0"/>
      </w:pPr>
      <w:r>
        <w:tab/>
        <w:t>3.</w:t>
      </w:r>
      <w:r>
        <w:tab/>
        <w:t>That failure to serve written testimony as directed by this order may result in dismissal of the</w:t>
      </w:r>
      <w:r w:rsidR="00F7450C">
        <w:t xml:space="preserve"> complaint</w:t>
      </w:r>
      <w:r w:rsidR="00635593">
        <w:t>.</w:t>
      </w:r>
    </w:p>
    <w:p w14:paraId="5E9661EA" w14:textId="77777777" w:rsidR="00762980" w:rsidRDefault="00762980" w:rsidP="00762980">
      <w:pPr>
        <w:spacing w:after="0"/>
      </w:pPr>
    </w:p>
    <w:p w14:paraId="3C65399C" w14:textId="6E6757B3" w:rsidR="00C50E13" w:rsidRDefault="001924D2" w:rsidP="00762980">
      <w:pPr>
        <w:spacing w:after="0"/>
      </w:pPr>
      <w:r>
        <w:tab/>
        <w:t>4.</w:t>
      </w:r>
      <w:r>
        <w:tab/>
      </w:r>
      <w:r w:rsidR="00C50E13" w:rsidRPr="00BE48E1">
        <w:t>CONTINUANCES.</w:t>
      </w:r>
      <w:r w:rsidR="00C50E13">
        <w:t xml:space="preserve">   You may request a continuance of the hearing if you have a good  reason.  </w:t>
      </w:r>
      <w:proofErr w:type="gramStart"/>
      <w:r w:rsidR="00C50E13">
        <w:t>Continuances</w:t>
      </w:r>
      <w:proofErr w:type="gramEnd"/>
      <w:r w:rsidR="00C50E13">
        <w:t xml:space="preserve"> will be granted only for good cause.  To request a continuance, you must submit a written request (a “motion”) at least five (5) days before the </w:t>
      </w:r>
      <w:r w:rsidR="00C50E13">
        <w:lastRenderedPageBreak/>
        <w:t>hearing.  Your motion should be served pursuant to paragraph 5B below.  Your motion should include:</w:t>
      </w:r>
    </w:p>
    <w:p w14:paraId="125FDFB4" w14:textId="0779135D" w:rsidR="00C50E13" w:rsidRDefault="007E7728" w:rsidP="00762980">
      <w:pPr>
        <w:spacing w:after="0" w:line="240" w:lineRule="auto"/>
      </w:pPr>
      <w:r>
        <w:tab/>
      </w:r>
      <w:r w:rsidR="00C50E13">
        <w:t>(1)</w:t>
      </w:r>
      <w:proofErr w:type="gramStart"/>
      <w:r w:rsidR="00C50E13">
        <w:tab/>
        <w:t xml:space="preserve">  The</w:t>
      </w:r>
      <w:proofErr w:type="gramEnd"/>
      <w:r w:rsidR="00C50E13">
        <w:t xml:space="preserve"> case name, case number, and hearing date; </w:t>
      </w:r>
    </w:p>
    <w:p w14:paraId="5E95453D" w14:textId="77777777" w:rsidR="00762980" w:rsidRDefault="00762980" w:rsidP="00762980">
      <w:pPr>
        <w:spacing w:after="0" w:line="240" w:lineRule="auto"/>
      </w:pPr>
    </w:p>
    <w:p w14:paraId="0315C18E" w14:textId="4AE89726" w:rsidR="00C50E13" w:rsidRDefault="007E7728" w:rsidP="00762980">
      <w:pPr>
        <w:spacing w:after="0" w:line="240" w:lineRule="auto"/>
      </w:pPr>
      <w:r>
        <w:tab/>
      </w:r>
      <w:r w:rsidR="00C50E13">
        <w:t>(2)</w:t>
      </w:r>
      <w:proofErr w:type="gramStart"/>
      <w:r w:rsidR="00C50E13">
        <w:tab/>
        <w:t xml:space="preserve">  The</w:t>
      </w:r>
      <w:proofErr w:type="gramEnd"/>
      <w:r w:rsidR="00C50E13">
        <w:t xml:space="preserve"> reason you are requesting a continuance; and</w:t>
      </w:r>
    </w:p>
    <w:p w14:paraId="2A6BE772" w14:textId="77777777" w:rsidR="00762980" w:rsidRDefault="00762980" w:rsidP="00762980">
      <w:pPr>
        <w:spacing w:after="0" w:line="240" w:lineRule="auto"/>
      </w:pPr>
    </w:p>
    <w:p w14:paraId="18973374" w14:textId="57FB67C4" w:rsidR="001924D2" w:rsidRDefault="007E7728" w:rsidP="00762980">
      <w:pPr>
        <w:spacing w:after="0" w:line="240" w:lineRule="auto"/>
      </w:pPr>
      <w:r>
        <w:tab/>
      </w:r>
      <w:r w:rsidR="00C50E13">
        <w:t>(3)</w:t>
      </w:r>
      <w:r w:rsidR="00C50E13">
        <w:tab/>
        <w:t xml:space="preserve">  State whether the other party(s) agrees to the request (or if you do not know).  If you do not know whether the other party(</w:t>
      </w:r>
      <w:proofErr w:type="spellStart"/>
      <w:r w:rsidR="00C50E13">
        <w:t>ies</w:t>
      </w:r>
      <w:proofErr w:type="spellEnd"/>
      <w:r w:rsidR="00C50E13">
        <w:t xml:space="preserve">) agrees to the request, state that you do not know.  </w:t>
      </w:r>
    </w:p>
    <w:p w14:paraId="360A546D" w14:textId="77777777" w:rsidR="00762980" w:rsidRDefault="00762980" w:rsidP="00762980">
      <w:pPr>
        <w:spacing w:after="0" w:line="240" w:lineRule="auto"/>
      </w:pPr>
    </w:p>
    <w:p w14:paraId="19135E48" w14:textId="1E649C8A" w:rsidR="00676160" w:rsidRPr="00676160" w:rsidRDefault="00BE48E1" w:rsidP="00BE48E1">
      <w:pPr>
        <w:pStyle w:val="ListParagraph"/>
      </w:pPr>
      <w:r>
        <w:tab/>
      </w:r>
      <w:r w:rsidR="007E7728">
        <w:t>5.</w:t>
      </w:r>
      <w:r w:rsidR="007E7728">
        <w:tab/>
      </w:r>
      <w:r w:rsidR="00676160" w:rsidRPr="00676160">
        <w:rPr>
          <w:b/>
        </w:rPr>
        <w:t xml:space="preserve">     </w:t>
      </w:r>
      <w:r w:rsidR="00676160" w:rsidRPr="00BE48E1">
        <w:rPr>
          <w:bCs/>
        </w:rPr>
        <w:t>FILING AND SERVING DOCUMENTS.</w:t>
      </w:r>
      <w:r w:rsidR="00676160" w:rsidRPr="00676160">
        <w:rPr>
          <w:b/>
        </w:rPr>
        <w:t xml:space="preserve">  </w:t>
      </w:r>
      <w:r w:rsidR="00676160" w:rsidRPr="00676160">
        <w:t>When you file a document, you must provide the original to the PUC and serve a copy to the other party or parties.  Instructions on how to file with the PUC and serve other parties are provided below.</w:t>
      </w:r>
    </w:p>
    <w:p w14:paraId="1714BDB6" w14:textId="77777777" w:rsidR="00676160" w:rsidRPr="00676160" w:rsidRDefault="00676160" w:rsidP="00676160">
      <w:pPr>
        <w:tabs>
          <w:tab w:val="clear" w:pos="1440"/>
          <w:tab w:val="left" w:pos="540"/>
        </w:tabs>
        <w:autoSpaceDE w:val="0"/>
        <w:autoSpaceDN w:val="0"/>
        <w:spacing w:after="0"/>
        <w:ind w:left="360"/>
        <w:contextualSpacing/>
        <w:rPr>
          <w:rFonts w:eastAsia="Times New Roman"/>
          <w:kern w:val="0"/>
          <w14:ligatures w14:val="none"/>
        </w:rPr>
      </w:pPr>
    </w:p>
    <w:p w14:paraId="11BEA285" w14:textId="77777777" w:rsidR="00676160" w:rsidRPr="00676160" w:rsidRDefault="00676160" w:rsidP="00676160">
      <w:pPr>
        <w:keepNext/>
        <w:numPr>
          <w:ilvl w:val="0"/>
          <w:numId w:val="44"/>
        </w:numPr>
        <w:tabs>
          <w:tab w:val="clear" w:pos="1440"/>
        </w:tabs>
        <w:autoSpaceDE w:val="0"/>
        <w:autoSpaceDN w:val="0"/>
        <w:spacing w:after="0" w:line="240" w:lineRule="auto"/>
        <w:contextualSpacing/>
        <w:rPr>
          <w:rFonts w:eastAsia="Times New Roman"/>
          <w:kern w:val="0"/>
          <w14:ligatures w14:val="none"/>
        </w:rPr>
      </w:pPr>
      <w:r w:rsidRPr="00676160">
        <w:rPr>
          <w:rFonts w:eastAsia="Times New Roman"/>
          <w:kern w:val="0"/>
          <w14:ligatures w14:val="none"/>
        </w:rPr>
        <w:t>FILING DOCUMENTS</w:t>
      </w:r>
    </w:p>
    <w:p w14:paraId="596D9305" w14:textId="77777777" w:rsidR="00676160" w:rsidRPr="00676160" w:rsidRDefault="00676160" w:rsidP="00762980">
      <w:pPr>
        <w:keepNext/>
        <w:tabs>
          <w:tab w:val="clear" w:pos="1440"/>
        </w:tabs>
        <w:autoSpaceDE w:val="0"/>
        <w:autoSpaceDN w:val="0"/>
        <w:spacing w:after="0"/>
        <w:ind w:left="1080"/>
        <w:contextualSpacing/>
        <w:rPr>
          <w:rFonts w:eastAsia="Times New Roman"/>
          <w:kern w:val="0"/>
          <w14:ligatures w14:val="none"/>
        </w:rPr>
      </w:pPr>
    </w:p>
    <w:p w14:paraId="5BAE0453" w14:textId="77777777" w:rsidR="00676160" w:rsidRPr="00676160" w:rsidRDefault="00676160" w:rsidP="00762980">
      <w:pPr>
        <w:tabs>
          <w:tab w:val="clear" w:pos="1440"/>
        </w:tabs>
        <w:autoSpaceDE w:val="0"/>
        <w:autoSpaceDN w:val="0"/>
        <w:spacing w:after="0"/>
        <w:ind w:left="720" w:firstLine="1080"/>
        <w:rPr>
          <w:rFonts w:eastAsia="Times New Roman"/>
          <w:kern w:val="0"/>
          <w14:ligatures w14:val="none"/>
        </w:rPr>
      </w:pPr>
      <w:r w:rsidRPr="00676160">
        <w:rPr>
          <w:rFonts w:eastAsia="Times New Roman"/>
          <w:kern w:val="0"/>
          <w14:ligatures w14:val="none"/>
        </w:rPr>
        <w:t>(1)</w:t>
      </w:r>
      <w:r w:rsidRPr="00676160">
        <w:rPr>
          <w:rFonts w:eastAsia="Times New Roman"/>
          <w:kern w:val="0"/>
          <w14:ligatures w14:val="none"/>
        </w:rPr>
        <w:tab/>
        <w:t xml:space="preserve">E-FILING. 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7" w:history="1">
        <w:r w:rsidRPr="00676160">
          <w:rPr>
            <w:rFonts w:eastAsia="Times New Roman"/>
            <w:color w:val="1F4E79"/>
            <w:kern w:val="0"/>
            <w:u w:val="single"/>
            <w14:ligatures w14:val="none"/>
          </w:rPr>
          <w:t>https://www.puc.pa.gov/filing-sources/efiling//</w:t>
        </w:r>
      </w:hyperlink>
    </w:p>
    <w:p w14:paraId="3DE8D85E" w14:textId="77777777" w:rsidR="00676160" w:rsidRPr="00676160" w:rsidRDefault="00676160" w:rsidP="00762980">
      <w:pPr>
        <w:tabs>
          <w:tab w:val="clear" w:pos="1440"/>
        </w:tabs>
        <w:autoSpaceDE w:val="0"/>
        <w:autoSpaceDN w:val="0"/>
        <w:spacing w:after="0"/>
        <w:ind w:left="720" w:firstLine="1080"/>
        <w:rPr>
          <w:rFonts w:eastAsia="Times New Roman"/>
          <w:kern w:val="0"/>
          <w14:ligatures w14:val="none"/>
        </w:rPr>
      </w:pPr>
    </w:p>
    <w:p w14:paraId="28C15D6D" w14:textId="77777777" w:rsidR="00676160" w:rsidRPr="00676160" w:rsidRDefault="00676160" w:rsidP="00762980">
      <w:pPr>
        <w:tabs>
          <w:tab w:val="clear" w:pos="1440"/>
        </w:tabs>
        <w:autoSpaceDE w:val="0"/>
        <w:autoSpaceDN w:val="0"/>
        <w:spacing w:after="0"/>
        <w:ind w:left="720" w:firstLine="1080"/>
        <w:contextualSpacing/>
        <w:rPr>
          <w:rFonts w:eastAsia="Times New Roman"/>
          <w:kern w:val="0"/>
          <w14:ligatures w14:val="none"/>
        </w:rPr>
      </w:pPr>
      <w:r w:rsidRPr="00676160">
        <w:rPr>
          <w:rFonts w:eastAsia="Times New Roman"/>
          <w:kern w:val="0"/>
          <w14:ligatures w14:val="none"/>
        </w:rPr>
        <w:t>(2)</w:t>
      </w:r>
      <w:r w:rsidRPr="00676160">
        <w:rPr>
          <w:rFonts w:eastAsia="Times New Roman"/>
          <w:kern w:val="0"/>
          <w14:ligatures w14:val="none"/>
        </w:rPr>
        <w:tab/>
        <w:t>PAPER FILING.</w:t>
      </w:r>
      <w:r w:rsidRPr="00676160">
        <w:rPr>
          <w:rFonts w:eastAsia="Times New Roman"/>
          <w:b/>
          <w:bCs/>
          <w:kern w:val="0"/>
          <w14:ligatures w14:val="none"/>
        </w:rPr>
        <w:t xml:space="preserve">  </w:t>
      </w:r>
      <w:r w:rsidRPr="00676160">
        <w:rPr>
          <w:rFonts w:eastAsia="Times New Roman"/>
          <w:kern w:val="0"/>
          <w14:ligatures w14:val="none"/>
        </w:rPr>
        <w:t>If you do not have the capability to open and use an e-Filing account, you may file paper documents with the Secretary of the Commission. Filing of paper documents may be hand delivered or sent to: </w:t>
      </w:r>
    </w:p>
    <w:p w14:paraId="1D29D8D2" w14:textId="77777777" w:rsidR="00676160" w:rsidRPr="00676160" w:rsidRDefault="00676160" w:rsidP="00676160">
      <w:pPr>
        <w:tabs>
          <w:tab w:val="clear" w:pos="1440"/>
        </w:tabs>
        <w:autoSpaceDE w:val="0"/>
        <w:autoSpaceDN w:val="0"/>
        <w:spacing w:after="0" w:line="240" w:lineRule="auto"/>
        <w:ind w:left="720" w:firstLine="1080"/>
        <w:contextualSpacing/>
        <w:rPr>
          <w:rFonts w:eastAsia="Times New Roman"/>
          <w:kern w:val="0"/>
          <w14:ligatures w14:val="none"/>
        </w:rPr>
      </w:pPr>
    </w:p>
    <w:p w14:paraId="696FA8EF" w14:textId="77777777" w:rsidR="00676160" w:rsidRPr="00676160" w:rsidRDefault="00676160" w:rsidP="00676160">
      <w:pPr>
        <w:tabs>
          <w:tab w:val="clear" w:pos="1440"/>
        </w:tabs>
        <w:autoSpaceDE w:val="0"/>
        <w:autoSpaceDN w:val="0"/>
        <w:spacing w:after="0" w:line="240" w:lineRule="auto"/>
        <w:jc w:val="center"/>
        <w:rPr>
          <w:rFonts w:eastAsia="Times New Roman"/>
          <w:kern w:val="0"/>
          <w14:ligatures w14:val="none"/>
        </w:rPr>
      </w:pPr>
      <w:r w:rsidRPr="00676160">
        <w:rPr>
          <w:rFonts w:eastAsia="Times New Roman"/>
          <w:kern w:val="0"/>
          <w14:ligatures w14:val="none"/>
        </w:rPr>
        <w:t>Secretary</w:t>
      </w:r>
    </w:p>
    <w:p w14:paraId="7BB0BEF3" w14:textId="77777777" w:rsidR="00676160" w:rsidRPr="00676160" w:rsidRDefault="00676160" w:rsidP="00676160">
      <w:pPr>
        <w:tabs>
          <w:tab w:val="clear" w:pos="1440"/>
        </w:tabs>
        <w:autoSpaceDE w:val="0"/>
        <w:autoSpaceDN w:val="0"/>
        <w:spacing w:after="0" w:line="240" w:lineRule="auto"/>
        <w:jc w:val="center"/>
        <w:rPr>
          <w:rFonts w:eastAsia="Times New Roman"/>
          <w:kern w:val="0"/>
          <w14:ligatures w14:val="none"/>
        </w:rPr>
      </w:pPr>
      <w:r w:rsidRPr="00676160">
        <w:rPr>
          <w:rFonts w:eastAsia="Times New Roman"/>
          <w:kern w:val="0"/>
          <w14:ligatures w14:val="none"/>
        </w:rPr>
        <w:t>Pennsylvania Public Utility Commission</w:t>
      </w:r>
    </w:p>
    <w:p w14:paraId="469A6038" w14:textId="77777777" w:rsidR="00676160" w:rsidRPr="00676160" w:rsidRDefault="00676160" w:rsidP="00676160">
      <w:pPr>
        <w:tabs>
          <w:tab w:val="clear" w:pos="1440"/>
        </w:tabs>
        <w:autoSpaceDE w:val="0"/>
        <w:autoSpaceDN w:val="0"/>
        <w:spacing w:after="0" w:line="240" w:lineRule="auto"/>
        <w:jc w:val="center"/>
        <w:rPr>
          <w:rFonts w:eastAsia="Times New Roman"/>
          <w:kern w:val="0"/>
          <w14:ligatures w14:val="none"/>
        </w:rPr>
      </w:pPr>
      <w:r w:rsidRPr="00676160">
        <w:rPr>
          <w:rFonts w:eastAsia="Times New Roman"/>
          <w:kern w:val="0"/>
          <w14:ligatures w14:val="none"/>
        </w:rPr>
        <w:t>400 North Street</w:t>
      </w:r>
    </w:p>
    <w:p w14:paraId="2B6A2C92" w14:textId="77777777" w:rsidR="00676160" w:rsidRPr="00676160" w:rsidRDefault="00676160" w:rsidP="00676160">
      <w:pPr>
        <w:tabs>
          <w:tab w:val="clear" w:pos="1440"/>
        </w:tabs>
        <w:autoSpaceDE w:val="0"/>
        <w:autoSpaceDN w:val="0"/>
        <w:spacing w:after="0" w:line="240" w:lineRule="auto"/>
        <w:jc w:val="center"/>
        <w:rPr>
          <w:rFonts w:eastAsia="Times New Roman"/>
          <w:kern w:val="0"/>
          <w14:ligatures w14:val="none"/>
        </w:rPr>
      </w:pPr>
      <w:r w:rsidRPr="00676160">
        <w:rPr>
          <w:rFonts w:eastAsia="Times New Roman"/>
          <w:kern w:val="0"/>
          <w14:ligatures w14:val="none"/>
        </w:rPr>
        <w:t>Harrisburg, PA 17120</w:t>
      </w:r>
    </w:p>
    <w:p w14:paraId="233CA9EB" w14:textId="77777777" w:rsidR="00676160" w:rsidRPr="00676160" w:rsidRDefault="00676160" w:rsidP="00762980">
      <w:pPr>
        <w:tabs>
          <w:tab w:val="clear" w:pos="1440"/>
        </w:tabs>
        <w:autoSpaceDE w:val="0"/>
        <w:autoSpaceDN w:val="0"/>
        <w:spacing w:after="0"/>
        <w:ind w:left="720" w:firstLine="1080"/>
        <w:rPr>
          <w:rFonts w:eastAsia="Times New Roman"/>
          <w:kern w:val="0"/>
          <w14:ligatures w14:val="none"/>
        </w:rPr>
      </w:pPr>
    </w:p>
    <w:p w14:paraId="694F5DC8" w14:textId="77777777" w:rsidR="00676160" w:rsidRPr="00676160" w:rsidRDefault="00676160" w:rsidP="00762980">
      <w:pPr>
        <w:tabs>
          <w:tab w:val="clear" w:pos="1440"/>
        </w:tabs>
        <w:autoSpaceDE w:val="0"/>
        <w:autoSpaceDN w:val="0"/>
        <w:spacing w:after="0"/>
        <w:ind w:left="720" w:firstLine="1080"/>
        <w:contextualSpacing/>
        <w:rPr>
          <w:rFonts w:eastAsia="Times New Roman"/>
          <w:strike/>
          <w:kern w:val="0"/>
          <w14:ligatures w14:val="none"/>
        </w:rPr>
      </w:pPr>
      <w:r w:rsidRPr="00676160">
        <w:rPr>
          <w:rFonts w:eastAsia="Times New Roman"/>
          <w:kern w:val="0"/>
          <w14:ligatures w14:val="none"/>
        </w:rPr>
        <w:t>(3)</w:t>
      </w:r>
      <w:r w:rsidRPr="00676160">
        <w:rPr>
          <w:rFonts w:eastAsia="Times New Roman"/>
          <w:kern w:val="0"/>
          <w14:ligatures w14:val="none"/>
        </w:rPr>
        <w:tab/>
        <w:t xml:space="preserve">CONFIDENTIAL MATERIAL.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w:t>
      </w:r>
      <w:r w:rsidRPr="00676160">
        <w:rPr>
          <w:rFonts w:eastAsia="Times New Roman"/>
          <w:kern w:val="0"/>
          <w14:ligatures w14:val="none"/>
        </w:rPr>
        <w:lastRenderedPageBreak/>
        <w:t xml:space="preserve">should contact the Secretary’s Bureau in advance to set up a Share Point File before submitting the filing.  </w:t>
      </w:r>
    </w:p>
    <w:p w14:paraId="24CDB174" w14:textId="77777777" w:rsidR="00676160" w:rsidRPr="00676160" w:rsidRDefault="00676160" w:rsidP="00762980">
      <w:pPr>
        <w:tabs>
          <w:tab w:val="clear" w:pos="1440"/>
        </w:tabs>
        <w:autoSpaceDE w:val="0"/>
        <w:autoSpaceDN w:val="0"/>
        <w:spacing w:after="0"/>
        <w:rPr>
          <w:rFonts w:eastAsia="Times New Roman"/>
          <w:kern w:val="0"/>
          <w14:ligatures w14:val="none"/>
        </w:rPr>
      </w:pPr>
    </w:p>
    <w:p w14:paraId="021D62EC" w14:textId="0E275BBB" w:rsidR="00676160" w:rsidRPr="00676160" w:rsidRDefault="00BE48E1" w:rsidP="00762980">
      <w:pPr>
        <w:tabs>
          <w:tab w:val="clear" w:pos="1440"/>
        </w:tabs>
        <w:autoSpaceDE w:val="0"/>
        <w:autoSpaceDN w:val="0"/>
        <w:spacing w:after="0"/>
        <w:ind w:left="720" w:firstLine="720"/>
        <w:contextualSpacing/>
        <w:rPr>
          <w:rFonts w:eastAsia="Times New Roman"/>
          <w:kern w:val="0"/>
          <w14:ligatures w14:val="none"/>
        </w:rPr>
      </w:pPr>
      <w:r w:rsidRPr="00BE48E1">
        <w:rPr>
          <w:rFonts w:eastAsia="Times New Roman"/>
          <w:kern w:val="0"/>
          <w14:ligatures w14:val="none"/>
        </w:rPr>
        <w:t>6.</w:t>
      </w:r>
      <w:r w:rsidRPr="00BE48E1">
        <w:rPr>
          <w:rFonts w:eastAsia="Times New Roman"/>
          <w:kern w:val="0"/>
          <w14:ligatures w14:val="none"/>
        </w:rPr>
        <w:tab/>
      </w:r>
      <w:r w:rsidR="00676160" w:rsidRPr="00676160">
        <w:rPr>
          <w:rFonts w:eastAsia="Times New Roman"/>
          <w:kern w:val="0"/>
          <w14:ligatures w14:val="none"/>
        </w:rPr>
        <w:t>SERVING DOCUMENTS</w:t>
      </w:r>
    </w:p>
    <w:p w14:paraId="3C68988E" w14:textId="77777777" w:rsidR="00676160" w:rsidRPr="00676160" w:rsidRDefault="00676160" w:rsidP="00762980">
      <w:pPr>
        <w:tabs>
          <w:tab w:val="clear" w:pos="1440"/>
        </w:tabs>
        <w:autoSpaceDE w:val="0"/>
        <w:autoSpaceDN w:val="0"/>
        <w:spacing w:after="0"/>
        <w:ind w:left="1080"/>
        <w:contextualSpacing/>
        <w:rPr>
          <w:rFonts w:eastAsia="Times New Roman"/>
          <w:kern w:val="0"/>
          <w14:ligatures w14:val="none"/>
        </w:rPr>
      </w:pPr>
    </w:p>
    <w:p w14:paraId="13B1487F" w14:textId="77777777" w:rsidR="00676160" w:rsidRPr="00676160" w:rsidRDefault="00676160" w:rsidP="00762980">
      <w:pPr>
        <w:tabs>
          <w:tab w:val="clear" w:pos="1440"/>
        </w:tabs>
        <w:autoSpaceDE w:val="0"/>
        <w:autoSpaceDN w:val="0"/>
        <w:spacing w:after="0"/>
        <w:ind w:left="720" w:firstLine="1080"/>
        <w:contextualSpacing/>
        <w:rPr>
          <w:rFonts w:eastAsia="Times New Roman"/>
          <w:kern w:val="0"/>
          <w:sz w:val="22"/>
          <w:szCs w:val="22"/>
          <w14:ligatures w14:val="none"/>
        </w:rPr>
      </w:pPr>
      <w:r w:rsidRPr="00676160">
        <w:rPr>
          <w:rFonts w:eastAsia="Times New Roman"/>
          <w:kern w:val="0"/>
          <w14:ligatures w14:val="none"/>
        </w:rPr>
        <w:t>(1)</w:t>
      </w:r>
      <w:r w:rsidRPr="00676160">
        <w:rPr>
          <w:rFonts w:eastAsia="Times New Roman"/>
          <w:kern w:val="0"/>
          <w14:ligatures w14:val="none"/>
        </w:rPr>
        <w:tab/>
        <w:t xml:space="preserve">SERVING OTHER PARTIES.  When you file documents with the PUC, you must also serve a copy on the other party or parties.  You may serve a copy by U.S. First-Class Mail or by hand.  You may also serve a copy by eService or email, if the other party has agreed to electronic service.  For your convenience, a copy of the PUC’s current service list </w:t>
      </w:r>
      <w:proofErr w:type="gramStart"/>
      <w:r w:rsidRPr="00676160">
        <w:rPr>
          <w:rFonts w:eastAsia="Times New Roman"/>
          <w:kern w:val="0"/>
          <w14:ligatures w14:val="none"/>
        </w:rPr>
        <w:t>of</w:t>
      </w:r>
      <w:proofErr w:type="gramEnd"/>
      <w:r w:rsidRPr="00676160">
        <w:rPr>
          <w:rFonts w:eastAsia="Times New Roman"/>
          <w:kern w:val="0"/>
          <w14:ligatures w14:val="none"/>
        </w:rPr>
        <w:t xml:space="preserve"> all parties to this proceeding is enclosed with this Order.</w:t>
      </w:r>
    </w:p>
    <w:p w14:paraId="1336F081" w14:textId="77777777" w:rsidR="00676160" w:rsidRPr="00676160" w:rsidRDefault="00676160" w:rsidP="00762980">
      <w:pPr>
        <w:tabs>
          <w:tab w:val="clear" w:pos="1440"/>
        </w:tabs>
        <w:autoSpaceDE w:val="0"/>
        <w:autoSpaceDN w:val="0"/>
        <w:spacing w:after="0"/>
        <w:ind w:left="720" w:firstLine="1080"/>
        <w:rPr>
          <w:rFonts w:eastAsia="Times New Roman"/>
          <w:kern w:val="0"/>
          <w14:ligatures w14:val="none"/>
        </w:rPr>
      </w:pPr>
    </w:p>
    <w:p w14:paraId="3DB53977" w14:textId="77777777" w:rsidR="00676160" w:rsidRDefault="00676160" w:rsidP="00762980">
      <w:pPr>
        <w:tabs>
          <w:tab w:val="left" w:pos="-720"/>
        </w:tabs>
        <w:suppressAutoHyphens/>
        <w:autoSpaceDE w:val="0"/>
        <w:autoSpaceDN w:val="0"/>
        <w:spacing w:after="0"/>
        <w:ind w:left="720" w:firstLine="1080"/>
        <w:rPr>
          <w:rFonts w:eastAsia="Times New Roman"/>
          <w:b/>
          <w:bCs/>
          <w:kern w:val="0"/>
          <w14:ligatures w14:val="none"/>
        </w:rPr>
      </w:pPr>
      <w:r w:rsidRPr="00676160">
        <w:rPr>
          <w:rFonts w:eastAsia="Times New Roman"/>
          <w:kern w:val="0"/>
          <w14:ligatures w14:val="none"/>
        </w:rPr>
        <w:t>(2)</w:t>
      </w:r>
      <w:r w:rsidRPr="00676160">
        <w:rPr>
          <w:rFonts w:eastAsia="Times New Roman"/>
          <w:kern w:val="0"/>
          <w14:ligatures w14:val="none"/>
        </w:rPr>
        <w:tab/>
        <w:t xml:space="preserve">SERVING THE PRESIDING OFFICER.  Be sure that you serve me directly with a copy of any document that you file in this proceeding at the time of its filing.  You must email one (1) copy to me, at </w:t>
      </w:r>
      <w:hyperlink r:id="rId8" w:history="1">
        <w:r w:rsidRPr="00676160">
          <w:rPr>
            <w:rFonts w:eastAsia="Times New Roman"/>
            <w:color w:val="1F4E79"/>
            <w:kern w:val="0"/>
            <w:u w:val="single"/>
            <w14:ligatures w14:val="none"/>
          </w:rPr>
          <w:t>malong@pa.gov</w:t>
        </w:r>
      </w:hyperlink>
      <w:r w:rsidRPr="00676160">
        <w:rPr>
          <w:rFonts w:eastAsia="Times New Roman"/>
          <w:kern w:val="0"/>
          <w14:ligatures w14:val="none"/>
        </w:rPr>
        <w:t xml:space="preserve">.  </w:t>
      </w:r>
      <w:r w:rsidRPr="00676160">
        <w:rPr>
          <w:rFonts w:eastAsia="Times New Roman"/>
          <w:b/>
          <w:bCs/>
          <w:kern w:val="0"/>
          <w14:ligatures w14:val="none"/>
        </w:rPr>
        <w:t>If you do not have access to email, you must serve me by mail, addressed to:</w:t>
      </w:r>
      <w:r w:rsidRPr="00676160">
        <w:rPr>
          <w:rFonts w:eastAsia="Times New Roman"/>
          <w:b/>
          <w:bCs/>
          <w:kern w:val="0"/>
          <w14:ligatures w14:val="none"/>
        </w:rPr>
        <w:tab/>
      </w:r>
    </w:p>
    <w:p w14:paraId="31CE6A58" w14:textId="77777777" w:rsidR="00762980" w:rsidRPr="00676160" w:rsidRDefault="00762980" w:rsidP="00762980">
      <w:pPr>
        <w:tabs>
          <w:tab w:val="left" w:pos="-720"/>
        </w:tabs>
        <w:suppressAutoHyphens/>
        <w:autoSpaceDE w:val="0"/>
        <w:autoSpaceDN w:val="0"/>
        <w:spacing w:after="0"/>
        <w:ind w:left="720" w:firstLine="1080"/>
        <w:rPr>
          <w:rFonts w:eastAsia="Times New Roman"/>
          <w:b/>
          <w:bCs/>
          <w:kern w:val="0"/>
          <w14:ligatures w14:val="none"/>
        </w:rPr>
      </w:pPr>
    </w:p>
    <w:p w14:paraId="45BF388B" w14:textId="77777777" w:rsidR="00676160" w:rsidRPr="00676160" w:rsidRDefault="00676160" w:rsidP="00676160">
      <w:pPr>
        <w:tabs>
          <w:tab w:val="clear" w:pos="1440"/>
        </w:tabs>
        <w:autoSpaceDE w:val="0"/>
        <w:autoSpaceDN w:val="0"/>
        <w:spacing w:after="0" w:line="240" w:lineRule="auto"/>
        <w:contextualSpacing/>
        <w:jc w:val="center"/>
        <w:rPr>
          <w:rFonts w:eastAsia="Times New Roman"/>
          <w:kern w:val="0"/>
          <w14:ligatures w14:val="none"/>
        </w:rPr>
      </w:pPr>
      <w:r w:rsidRPr="00676160">
        <w:rPr>
          <w:rFonts w:eastAsia="Times New Roman"/>
          <w:kern w:val="0"/>
          <w14:ligatures w14:val="none"/>
        </w:rPr>
        <w:t>Administrative Law Judge Mary D. Long</w:t>
      </w:r>
    </w:p>
    <w:p w14:paraId="53E90057" w14:textId="77777777" w:rsidR="00676160" w:rsidRPr="00676160" w:rsidRDefault="00676160" w:rsidP="00676160">
      <w:pPr>
        <w:tabs>
          <w:tab w:val="clear" w:pos="1440"/>
        </w:tabs>
        <w:autoSpaceDE w:val="0"/>
        <w:autoSpaceDN w:val="0"/>
        <w:spacing w:after="0" w:line="240" w:lineRule="auto"/>
        <w:jc w:val="center"/>
        <w:rPr>
          <w:rFonts w:eastAsia="Times New Roman"/>
          <w:kern w:val="0"/>
          <w14:ligatures w14:val="none"/>
        </w:rPr>
      </w:pPr>
      <w:r w:rsidRPr="00676160">
        <w:rPr>
          <w:rFonts w:eastAsia="Times New Roman"/>
          <w:kern w:val="0"/>
          <w14:ligatures w14:val="none"/>
        </w:rPr>
        <w:t>PA Public Utility Commission</w:t>
      </w:r>
    </w:p>
    <w:p w14:paraId="2CBEED43" w14:textId="77777777" w:rsidR="00676160" w:rsidRPr="00676160" w:rsidRDefault="00676160" w:rsidP="00676160">
      <w:pPr>
        <w:tabs>
          <w:tab w:val="clear" w:pos="1440"/>
        </w:tabs>
        <w:autoSpaceDE w:val="0"/>
        <w:autoSpaceDN w:val="0"/>
        <w:spacing w:after="0" w:line="240" w:lineRule="auto"/>
        <w:jc w:val="center"/>
        <w:rPr>
          <w:rFonts w:eastAsia="Times New Roman"/>
          <w:kern w:val="0"/>
          <w14:ligatures w14:val="none"/>
        </w:rPr>
      </w:pPr>
      <w:r w:rsidRPr="00676160">
        <w:rPr>
          <w:rFonts w:eastAsia="Times New Roman"/>
          <w:kern w:val="0"/>
          <w14:ligatures w14:val="none"/>
        </w:rPr>
        <w:t>301 Fifth Avenue, Suite 220</w:t>
      </w:r>
    </w:p>
    <w:p w14:paraId="33A0ED25" w14:textId="6CE114B8" w:rsidR="00676160" w:rsidRDefault="00676160" w:rsidP="00762980">
      <w:pPr>
        <w:tabs>
          <w:tab w:val="clear" w:pos="1440"/>
        </w:tabs>
        <w:autoSpaceDE w:val="0"/>
        <w:autoSpaceDN w:val="0"/>
        <w:spacing w:after="0"/>
        <w:jc w:val="center"/>
        <w:rPr>
          <w:rFonts w:eastAsia="Times New Roman"/>
          <w:kern w:val="0"/>
          <w14:ligatures w14:val="none"/>
        </w:rPr>
      </w:pPr>
      <w:r w:rsidRPr="00676160">
        <w:rPr>
          <w:rFonts w:eastAsia="Times New Roman"/>
          <w:kern w:val="0"/>
          <w14:ligatures w14:val="none"/>
        </w:rPr>
        <w:t>Pittsburgh, PA 15222</w:t>
      </w:r>
      <w:r w:rsidR="00BE48E1">
        <w:rPr>
          <w:rFonts w:eastAsia="Times New Roman"/>
          <w:kern w:val="0"/>
          <w14:ligatures w14:val="none"/>
        </w:rPr>
        <w:br/>
      </w:r>
    </w:p>
    <w:p w14:paraId="0DE841A7" w14:textId="5B0BC067" w:rsidR="00C5621A" w:rsidRPr="00C5621A" w:rsidRDefault="00BE48E1" w:rsidP="00BE48E1">
      <w:pPr>
        <w:tabs>
          <w:tab w:val="clear" w:pos="1440"/>
        </w:tabs>
        <w:autoSpaceDE w:val="0"/>
        <w:autoSpaceDN w:val="0"/>
        <w:spacing w:after="0"/>
        <w:ind w:firstLine="1440"/>
        <w:contextualSpacing/>
      </w:pPr>
      <w:r>
        <w:rPr>
          <w:rFonts w:eastAsia="Times New Roman"/>
          <w:b/>
          <w:kern w:val="0"/>
          <w14:ligatures w14:val="none"/>
        </w:rPr>
        <w:t>7.</w:t>
      </w:r>
      <w:r>
        <w:rPr>
          <w:rFonts w:eastAsia="Times New Roman"/>
          <w:b/>
          <w:kern w:val="0"/>
          <w14:ligatures w14:val="none"/>
        </w:rPr>
        <w:tab/>
      </w:r>
      <w:r w:rsidR="00C5621A" w:rsidRPr="00C5621A">
        <w:t>BURDEN OF PROOF.   The Complainant (the one filing the Complaint) bears the burden of proof and must present evidence sufficient to demonstrate that the utility has violated the Public Utility Code, or a regulation or order of the PUC.</w:t>
      </w:r>
      <w:r w:rsidR="00C5621A" w:rsidRPr="00C5621A">
        <w:rPr>
          <w:vertAlign w:val="superscript"/>
        </w:rPr>
        <w:footnoteReference w:id="2"/>
      </w:r>
      <w:r w:rsidR="00C5621A" w:rsidRPr="00C5621A">
        <w:rPr>
          <w:vertAlign w:val="superscript"/>
        </w:rPr>
        <w:t xml:space="preserve">  </w:t>
      </w:r>
    </w:p>
    <w:p w14:paraId="222B6E26" w14:textId="77777777" w:rsidR="00C5621A" w:rsidRPr="00C5621A" w:rsidRDefault="00C5621A" w:rsidP="00C5621A">
      <w:pPr>
        <w:tabs>
          <w:tab w:val="clear" w:pos="1440"/>
        </w:tabs>
        <w:autoSpaceDE w:val="0"/>
        <w:autoSpaceDN w:val="0"/>
        <w:spacing w:after="0"/>
        <w:rPr>
          <w:rFonts w:eastAsia="Times New Roman"/>
          <w:kern w:val="0"/>
          <w14:ligatures w14:val="none"/>
        </w:rPr>
      </w:pPr>
    </w:p>
    <w:p w14:paraId="611E0592" w14:textId="7D828073" w:rsidR="00C5621A" w:rsidRPr="00C5621A" w:rsidRDefault="00BE48E1" w:rsidP="00BE48E1">
      <w:pPr>
        <w:rPr>
          <w:rFonts w:eastAsia="Times New Roman"/>
          <w:kern w:val="0"/>
          <w14:ligatures w14:val="none"/>
        </w:rPr>
      </w:pPr>
      <w:r>
        <w:rPr>
          <w:b/>
        </w:rPr>
        <w:tab/>
      </w:r>
      <w:r w:rsidRPr="00BE48E1">
        <w:rPr>
          <w:bCs/>
        </w:rPr>
        <w:t>8.</w:t>
      </w:r>
      <w:r w:rsidRPr="00BE48E1">
        <w:rPr>
          <w:bCs/>
        </w:rPr>
        <w:tab/>
      </w:r>
      <w:r w:rsidR="00C5621A" w:rsidRPr="00BE48E1">
        <w:rPr>
          <w:bCs/>
        </w:rPr>
        <w:t>CONTACT INFORMATION.    If</w:t>
      </w:r>
      <w:r w:rsidR="00C5621A" w:rsidRPr="00C5621A">
        <w:t xml:space="preserve"> your e-mail address or telephone number changes </w:t>
      </w:r>
      <w:r w:rsidR="00C5621A" w:rsidRPr="00C5621A">
        <w:rPr>
          <w:rFonts w:eastAsia="Times New Roman"/>
          <w:spacing w:val="-3"/>
          <w:kern w:val="0"/>
          <w14:ligatures w14:val="none"/>
        </w:rPr>
        <w:t>during the course of the proceeding, you must immediately update OALJ by calling 412-565-3550.</w:t>
      </w:r>
    </w:p>
    <w:p w14:paraId="57C89D2F" w14:textId="6C2BC815" w:rsidR="00C5621A" w:rsidRDefault="00C5621A" w:rsidP="00762980">
      <w:pPr>
        <w:spacing w:after="0"/>
      </w:pPr>
      <w:r w:rsidRPr="00C5621A">
        <w:rPr>
          <w:b/>
        </w:rPr>
        <w:lastRenderedPageBreak/>
        <w:t xml:space="preserve">  </w:t>
      </w:r>
      <w:r w:rsidR="00BE48E1">
        <w:rPr>
          <w:b/>
        </w:rPr>
        <w:tab/>
      </w:r>
      <w:r w:rsidR="00BE48E1" w:rsidRPr="00BE48E1">
        <w:rPr>
          <w:bCs/>
        </w:rPr>
        <w:t>9.</w:t>
      </w:r>
      <w:r w:rsidR="00BE48E1" w:rsidRPr="00BE48E1">
        <w:rPr>
          <w:bCs/>
        </w:rPr>
        <w:tab/>
      </w:r>
      <w:r w:rsidRPr="00BE48E1">
        <w:rPr>
          <w:bCs/>
        </w:rPr>
        <w:t>ACCOMMODATION.</w:t>
      </w:r>
      <w:r w:rsidRPr="00C5621A">
        <w:rPr>
          <w:b/>
        </w:rPr>
        <w:t xml:space="preserve">   </w:t>
      </w:r>
      <w:r w:rsidRPr="00C5621A">
        <w:t xml:space="preserve"> Any party who needs an accommodation for a disability in order to participate in this hearing process may request one.  Please call the PUC scheduling office at least five (5) business days prior to your hearing to submit your request.</w:t>
      </w:r>
    </w:p>
    <w:p w14:paraId="0F5F55F6" w14:textId="77777777" w:rsidR="00762980" w:rsidRPr="00C5621A" w:rsidRDefault="00762980" w:rsidP="00762980">
      <w:pPr>
        <w:spacing w:after="0"/>
        <w:rPr>
          <w:b/>
        </w:rPr>
      </w:pPr>
    </w:p>
    <w:p w14:paraId="14F80A48" w14:textId="011812A8" w:rsidR="00C5621A" w:rsidRDefault="00C5621A" w:rsidP="00762980">
      <w:pPr>
        <w:spacing w:after="0"/>
      </w:pPr>
      <w:r w:rsidRPr="00C5621A">
        <w:tab/>
        <w:t>If you require an interpreter to participate in the hearing, we will have an interpreter present.  Please call the scheduling office at the PUC at least ten (10) business days prior to your hearing to submit your request.</w:t>
      </w:r>
    </w:p>
    <w:p w14:paraId="34B66DD3" w14:textId="77777777" w:rsidR="00762980" w:rsidRPr="00C5621A" w:rsidRDefault="00762980" w:rsidP="00762980">
      <w:pPr>
        <w:spacing w:after="0"/>
      </w:pPr>
    </w:p>
    <w:p w14:paraId="7B185EA0" w14:textId="77777777" w:rsidR="00C5621A" w:rsidRPr="00C5621A" w:rsidRDefault="00C5621A" w:rsidP="00BE48E1">
      <w:pPr>
        <w:spacing w:after="0"/>
        <w:jc w:val="center"/>
      </w:pPr>
      <w:r w:rsidRPr="00C5621A">
        <w:t>Scheduling Office: (717) 787-1399</w:t>
      </w:r>
    </w:p>
    <w:p w14:paraId="70F30FB1" w14:textId="6D691A0B" w:rsidR="00C5621A" w:rsidRPr="00C5621A" w:rsidRDefault="00C5621A" w:rsidP="00BE48E1">
      <w:pPr>
        <w:spacing w:after="0"/>
        <w:jc w:val="center"/>
      </w:pPr>
      <w:r w:rsidRPr="00C5621A">
        <w:rPr>
          <w:rFonts w:cs="CG Times"/>
        </w:rPr>
        <w:t>The AT&amp;T Relay Service number for persons who are deaf or hearing-impaired is:</w:t>
      </w:r>
    </w:p>
    <w:p w14:paraId="37ADE4F9" w14:textId="77777777" w:rsidR="00C5621A" w:rsidRPr="00C5621A" w:rsidRDefault="00C5621A" w:rsidP="00BE48E1">
      <w:pPr>
        <w:spacing w:after="0"/>
        <w:jc w:val="center"/>
      </w:pPr>
      <w:r w:rsidRPr="00C5621A">
        <w:rPr>
          <w:rFonts w:cs="CG Times"/>
        </w:rPr>
        <w:t>1-800-654-5988.</w:t>
      </w:r>
    </w:p>
    <w:p w14:paraId="2535FF0C" w14:textId="77777777" w:rsidR="00C5621A" w:rsidRPr="00C5621A" w:rsidRDefault="00C5621A" w:rsidP="00762980">
      <w:pPr>
        <w:spacing w:after="0"/>
        <w:rPr>
          <w:rFonts w:cs="CG Times"/>
        </w:rPr>
      </w:pPr>
    </w:p>
    <w:p w14:paraId="6F6B7573" w14:textId="61FD143E" w:rsidR="00C5621A" w:rsidRDefault="00C5621A" w:rsidP="00762980">
      <w:pPr>
        <w:spacing w:after="0"/>
      </w:pPr>
      <w:r w:rsidRPr="00C5621A">
        <w:rPr>
          <w:b/>
        </w:rPr>
        <w:t xml:space="preserve">    </w:t>
      </w:r>
      <w:r w:rsidR="00BE48E1">
        <w:rPr>
          <w:b/>
        </w:rPr>
        <w:tab/>
      </w:r>
      <w:r w:rsidR="00BE48E1" w:rsidRPr="00BE48E1">
        <w:rPr>
          <w:bCs/>
        </w:rPr>
        <w:t>10.</w:t>
      </w:r>
      <w:r w:rsidR="00BE48E1" w:rsidRPr="00BE48E1">
        <w:rPr>
          <w:bCs/>
        </w:rPr>
        <w:tab/>
      </w:r>
      <w:r w:rsidRPr="00BE48E1">
        <w:rPr>
          <w:bCs/>
        </w:rPr>
        <w:t xml:space="preserve"> SETTLEMENT</w:t>
      </w:r>
      <w:r w:rsidRPr="00C5621A">
        <w:rPr>
          <w:b/>
        </w:rPr>
        <w:t xml:space="preserve">.    </w:t>
      </w:r>
      <w:r w:rsidRPr="00C5621A">
        <w:t>The PUC’s policy is to encourage settlements.</w:t>
      </w:r>
      <w:r w:rsidRPr="00C5621A">
        <w:rPr>
          <w:vertAlign w:val="superscript"/>
        </w:rPr>
        <w:footnoteReference w:id="3"/>
      </w:r>
      <w:r w:rsidRPr="00C5621A">
        <w:t xml:space="preserve">  The utility shall contact the Complainant at least one week before the scheduled hearing to talk over a possible settlement of this case.  Even if you are unable to settle this case, you may still resolve many questions or issues during your talks.  If an agreement is reached on all the issues, a formal hearing will not be necessary and the scheduled hearing will be cancelled.</w:t>
      </w:r>
    </w:p>
    <w:p w14:paraId="1BA66065" w14:textId="77777777" w:rsidR="00762980" w:rsidRPr="00C5621A" w:rsidRDefault="00762980" w:rsidP="00762980">
      <w:pPr>
        <w:spacing w:after="0"/>
        <w:rPr>
          <w:b/>
        </w:rPr>
      </w:pPr>
    </w:p>
    <w:p w14:paraId="2784F646" w14:textId="577C273F" w:rsidR="00860BD0" w:rsidRDefault="00860BD0" w:rsidP="00762980">
      <w:pPr>
        <w:spacing w:after="0"/>
        <w:rPr>
          <w:rFonts w:ascii="CG Times" w:hAnsi="CG Times" w:cs="CG Times"/>
        </w:rPr>
      </w:pPr>
      <w:r w:rsidRPr="00860BD0">
        <w:rPr>
          <w:rFonts w:ascii="CG Times" w:hAnsi="CG Times" w:cs="CG Times"/>
        </w:rPr>
        <w:t xml:space="preserve">     </w:t>
      </w:r>
      <w:r w:rsidR="00BE48E1">
        <w:rPr>
          <w:rFonts w:ascii="CG Times" w:hAnsi="CG Times" w:cs="CG Times"/>
        </w:rPr>
        <w:tab/>
      </w:r>
      <w:r w:rsidR="00BE48E1" w:rsidRPr="00BE48E1">
        <w:rPr>
          <w:rFonts w:ascii="CG Times" w:hAnsi="CG Times" w:cs="CG Times"/>
        </w:rPr>
        <w:t>11.</w:t>
      </w:r>
      <w:r w:rsidR="00BE48E1" w:rsidRPr="00BE48E1">
        <w:rPr>
          <w:rFonts w:ascii="CG Times" w:hAnsi="CG Times" w:cs="CG Times"/>
        </w:rPr>
        <w:tab/>
      </w:r>
      <w:r w:rsidRPr="00BE48E1">
        <w:rPr>
          <w:rFonts w:ascii="CG Times" w:hAnsi="CG Times" w:cs="CG Times"/>
        </w:rPr>
        <w:t xml:space="preserve"> VIOLATIONS.  A</w:t>
      </w:r>
      <w:r w:rsidRPr="00860BD0">
        <w:rPr>
          <w:rFonts w:ascii="CG Times" w:hAnsi="CG Times" w:cs="CG Times"/>
        </w:rPr>
        <w:t xml:space="preserve"> finding of a violation of a PUC Order, regulation or statute may result in the imposition of a civil penalty consistent with 66 Pa. C.S. § 3301 or other provision of the Public Utility Code.</w:t>
      </w:r>
    </w:p>
    <w:p w14:paraId="44E1EE57" w14:textId="77777777" w:rsidR="00762980" w:rsidRPr="00860BD0" w:rsidRDefault="00762980" w:rsidP="00762980">
      <w:pPr>
        <w:spacing w:after="0"/>
        <w:rPr>
          <w:spacing w:val="-3"/>
        </w:rPr>
      </w:pPr>
    </w:p>
    <w:p w14:paraId="16D5FFAB" w14:textId="2870F9F1" w:rsidR="00860BD0" w:rsidRPr="00860BD0" w:rsidRDefault="00BE48E1" w:rsidP="00762980">
      <w:pPr>
        <w:spacing w:after="0"/>
        <w:rPr>
          <w:b/>
        </w:rPr>
      </w:pPr>
      <w:r>
        <w:rPr>
          <w:b/>
        </w:rPr>
        <w:tab/>
      </w:r>
      <w:r w:rsidRPr="00BE48E1">
        <w:rPr>
          <w:bCs/>
        </w:rPr>
        <w:t xml:space="preserve">12. </w:t>
      </w:r>
      <w:r>
        <w:rPr>
          <w:bCs/>
        </w:rPr>
        <w:tab/>
      </w:r>
      <w:r w:rsidR="00860BD0" w:rsidRPr="00BE48E1">
        <w:rPr>
          <w:bCs/>
        </w:rPr>
        <w:t>HEARING PROCEDURES.</w:t>
      </w:r>
      <w:r w:rsidR="00860BD0" w:rsidRPr="00860BD0">
        <w:t xml:space="preserve">  </w:t>
      </w:r>
      <w:r w:rsidR="00860BD0" w:rsidRPr="00860BD0">
        <w:rPr>
          <w:spacing w:val="-3"/>
        </w:rPr>
        <w:t>Although the hearing is being conducted telephonically for the convenience of the parties, it is still a formal hearing and will be conducted in accordance with the PUC’s Rules of Practice and Procedure</w:t>
      </w:r>
      <w:r w:rsidR="00860BD0" w:rsidRPr="00860BD0">
        <w:t xml:space="preserve"> at 52 Pa Code Chapters 1, 3, and 5. </w:t>
      </w:r>
      <w:r w:rsidR="00860BD0" w:rsidRPr="00860BD0">
        <w:rPr>
          <w:spacing w:val="-3"/>
        </w:rPr>
        <w:t xml:space="preserve">Please be sure to participate from a location, and </w:t>
      </w:r>
      <w:proofErr w:type="gramStart"/>
      <w:r w:rsidR="00860BD0" w:rsidRPr="00860BD0">
        <w:rPr>
          <w:spacing w:val="-3"/>
        </w:rPr>
        <w:t>using</w:t>
      </w:r>
      <w:proofErr w:type="gramEnd"/>
      <w:r w:rsidR="00860BD0" w:rsidRPr="00860BD0">
        <w:rPr>
          <w:spacing w:val="-3"/>
        </w:rPr>
        <w:t xml:space="preserve"> a phone, where background noise will be minimized, and the reception is clear.</w:t>
      </w:r>
    </w:p>
    <w:p w14:paraId="493B29C9" w14:textId="2D0B1349" w:rsidR="007E7728" w:rsidRDefault="00BE48E1" w:rsidP="00860BD0">
      <w:pPr>
        <w:rPr>
          <w:u w:val="single"/>
        </w:rPr>
      </w:pPr>
      <w:r>
        <w:rPr>
          <w:b/>
        </w:rPr>
        <w:lastRenderedPageBreak/>
        <w:tab/>
      </w:r>
      <w:r w:rsidRPr="00BE48E1">
        <w:rPr>
          <w:bCs/>
        </w:rPr>
        <w:t>13</w:t>
      </w:r>
      <w:r w:rsidR="00860BD0" w:rsidRPr="00BE48E1">
        <w:rPr>
          <w:bCs/>
        </w:rPr>
        <w:t>.       FURTHER INFORMATION.</w:t>
      </w:r>
      <w:r w:rsidR="00860BD0" w:rsidRPr="00860BD0">
        <w:rPr>
          <w:b/>
        </w:rPr>
        <w:t xml:space="preserve">  </w:t>
      </w:r>
      <w:r w:rsidR="00860BD0" w:rsidRPr="00860BD0">
        <w:t xml:space="preserve">A guide to participating in a Formal Complaint proceeding is available on the PUC’s website at: </w:t>
      </w:r>
      <w:hyperlink r:id="rId9" w:history="1">
        <w:r w:rsidR="00860BD0" w:rsidRPr="00860BD0">
          <w:rPr>
            <w:u w:val="single"/>
          </w:rPr>
          <w:t>https://www.puc.pa.gov/complaints/formal-complaints</w:t>
        </w:r>
      </w:hyperlink>
    </w:p>
    <w:p w14:paraId="756617D2" w14:textId="77777777" w:rsidR="00762980" w:rsidRDefault="00762980" w:rsidP="00860BD0">
      <w:pPr>
        <w:rPr>
          <w:u w:val="single"/>
        </w:rPr>
      </w:pPr>
    </w:p>
    <w:p w14:paraId="7A8DFC04" w14:textId="3ED86F5E" w:rsidR="00762980" w:rsidRDefault="00762980" w:rsidP="00762980">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340A274E" w14:textId="77777777" w:rsidR="00762980" w:rsidRPr="001A2A75" w:rsidRDefault="00762980" w:rsidP="00762980">
      <w:pPr>
        <w:widowControl w:val="0"/>
        <w:tabs>
          <w:tab w:val="left" w:pos="0"/>
        </w:tabs>
        <w:adjustRightInd w:val="0"/>
        <w:spacing w:after="0" w:line="240" w:lineRule="auto"/>
        <w:jc w:val="both"/>
      </w:pPr>
      <w:r>
        <w:rPr>
          <w:spacing w:val="-3"/>
        </w:rPr>
        <w:tab/>
      </w:r>
      <w:r>
        <w:rPr>
          <w:spacing w:val="-3"/>
        </w:rPr>
        <w:tab/>
      </w:r>
      <w:r>
        <w:rPr>
          <w:spacing w:val="-3"/>
        </w:rPr>
        <w:tab/>
      </w:r>
      <w:r>
        <w:rPr>
          <w:spacing w:val="-3"/>
        </w:rPr>
        <w:tab/>
      </w:r>
      <w:r>
        <w:rPr>
          <w:spacing w:val="-3"/>
        </w:rPr>
        <w:tab/>
      </w:r>
      <w:r>
        <w:rPr>
          <w:spacing w:val="-3"/>
        </w:rPr>
        <w:tab/>
      </w:r>
      <w:r>
        <w:rPr>
          <w:spacing w:val="-3"/>
        </w:rPr>
        <w:tab/>
      </w:r>
      <w:r>
        <w:t>Mary D. Long</w:t>
      </w:r>
    </w:p>
    <w:p w14:paraId="0492ACF0" w14:textId="77777777" w:rsidR="00762980" w:rsidRPr="001A2A75" w:rsidRDefault="00762980" w:rsidP="00762980">
      <w:pPr>
        <w:widowControl w:val="0"/>
        <w:tabs>
          <w:tab w:val="left" w:pos="0"/>
        </w:tabs>
        <w:adjustRightInd w:val="0"/>
        <w:spacing w:after="0" w:line="240" w:lineRule="auto"/>
        <w:jc w:val="both"/>
      </w:pPr>
      <w:r w:rsidRPr="001A2A75">
        <w:tab/>
      </w:r>
      <w:r w:rsidRPr="001A2A75">
        <w:tab/>
      </w:r>
      <w:r w:rsidRPr="001A2A75">
        <w:tab/>
      </w:r>
      <w:r w:rsidRPr="001A2A75">
        <w:tab/>
      </w:r>
      <w:r w:rsidRPr="001A2A75">
        <w:tab/>
      </w:r>
      <w:r w:rsidRPr="001A2A75">
        <w:tab/>
      </w:r>
      <w:r w:rsidRPr="001A2A75">
        <w:tab/>
        <w:t>Administrative Law Judge</w:t>
      </w:r>
    </w:p>
    <w:p w14:paraId="2CAEFDB0" w14:textId="77777777" w:rsidR="00762980" w:rsidRDefault="00762980" w:rsidP="00860BD0">
      <w:pPr>
        <w:sectPr w:rsidR="00762980" w:rsidSect="00AB2D44">
          <w:footerReference w:type="default" r:id="rId10"/>
          <w:pgSz w:w="12240" w:h="15840"/>
          <w:pgMar w:top="1440" w:right="1440" w:bottom="1440" w:left="1440" w:header="720" w:footer="720" w:gutter="0"/>
          <w:cols w:space="720"/>
          <w:titlePg/>
          <w:docGrid w:linePitch="360"/>
        </w:sectPr>
      </w:pPr>
    </w:p>
    <w:p w14:paraId="30BC26F2" w14:textId="77777777" w:rsidR="00762980" w:rsidRDefault="00762980" w:rsidP="00762980">
      <w:pPr>
        <w:spacing w:after="0" w:line="240" w:lineRule="auto"/>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C-2019-3013745 - DEBORAH &amp; KIM PLATT v. METROPOLITAN EDISON COMPANY</w:t>
      </w:r>
      <w:r>
        <w:rPr>
          <w:rFonts w:ascii="Microsoft Sans Serif" w:eastAsia="Microsoft Sans Serif" w:hAnsi="Microsoft Sans Serif" w:cs="Microsoft Sans Serif"/>
          <w:b/>
          <w:u w:val="single"/>
        </w:rPr>
        <w:cr/>
      </w:r>
    </w:p>
    <w:p w14:paraId="18DDB23C" w14:textId="4BCA7375" w:rsidR="00762980" w:rsidRDefault="00762980" w:rsidP="00762980">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DEBORAH &amp; KIM PLATT</w:t>
      </w:r>
      <w:r>
        <w:rPr>
          <w:rFonts w:ascii="Microsoft Sans Serif" w:eastAsia="Microsoft Sans Serif" w:hAnsi="Microsoft Sans Serif" w:cs="Microsoft Sans Serif"/>
        </w:rPr>
        <w:cr/>
        <w:t>PO BOX 175</w:t>
      </w:r>
      <w:r>
        <w:rPr>
          <w:rFonts w:ascii="Microsoft Sans Serif" w:eastAsia="Microsoft Sans Serif" w:hAnsi="Microsoft Sans Serif" w:cs="Microsoft Sans Serif"/>
        </w:rPr>
        <w:cr/>
        <w:t>POINT PLEASANT PA  18950</w:t>
      </w:r>
      <w:r>
        <w:rPr>
          <w:rFonts w:ascii="Microsoft Sans Serif" w:eastAsia="Microsoft Sans Serif" w:hAnsi="Microsoft Sans Serif" w:cs="Microsoft Sans Serif"/>
        </w:rPr>
        <w:cr/>
      </w:r>
      <w:r w:rsidRPr="00765462">
        <w:rPr>
          <w:rFonts w:ascii="Microsoft Sans Serif" w:eastAsia="Microsoft Sans Serif" w:hAnsi="Microsoft Sans Serif" w:cs="Microsoft Sans Serif"/>
          <w:b/>
          <w:bCs/>
        </w:rPr>
        <w:t>215.297.8899</w:t>
      </w:r>
      <w:r>
        <w:rPr>
          <w:rFonts w:ascii="Microsoft Sans Serif" w:eastAsia="Microsoft Sans Serif" w:hAnsi="Microsoft Sans Serif" w:cs="Microsoft Sans Serif"/>
        </w:rPr>
        <w:cr/>
        <w:t>RIVERSONG3@COMCAST.NET</w:t>
      </w:r>
    </w:p>
    <w:p w14:paraId="0C0B6F5B" w14:textId="77777777" w:rsidR="00762980" w:rsidRDefault="00762980" w:rsidP="00762980">
      <w:pPr>
        <w:spacing w:after="0"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cr/>
        <w:t>LAUREN MARISSA LEPKOSKI ESQUIRE</w:t>
      </w:r>
      <w:r>
        <w:rPr>
          <w:rFonts w:ascii="Microsoft Sans Serif" w:eastAsia="Microsoft Sans Serif" w:hAnsi="Microsoft Sans Serif" w:cs="Microsoft Sans Serif"/>
        </w:rPr>
        <w:cr/>
        <w:t>FIRSTENERGY SERVICES CO</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w:t>
      </w:r>
      <w:r>
        <w:rPr>
          <w:rFonts w:ascii="Microsoft Sans Serif" w:eastAsia="Microsoft Sans Serif" w:hAnsi="Microsoft Sans Serif" w:cs="Microsoft Sans Serif"/>
        </w:rPr>
        <w:cr/>
      </w:r>
      <w:r w:rsidRPr="00A620B3">
        <w:rPr>
          <w:rFonts w:ascii="Microsoft Sans Serif" w:eastAsia="Microsoft Sans Serif" w:hAnsi="Microsoft Sans Serif" w:cs="Microsoft Sans Serif"/>
          <w:b/>
          <w:bCs/>
        </w:rPr>
        <w:t>610.921.6203</w:t>
      </w:r>
      <w:r w:rsidRPr="00A620B3">
        <w:rPr>
          <w:rFonts w:ascii="Microsoft Sans Serif" w:eastAsia="Microsoft Sans Serif" w:hAnsi="Microsoft Sans Serif" w:cs="Microsoft Sans Serif"/>
          <w:b/>
          <w:bCs/>
        </w:rPr>
        <w:cr/>
      </w:r>
      <w:r>
        <w:rPr>
          <w:rFonts w:ascii="Microsoft Sans Serif" w:eastAsia="Microsoft Sans Serif" w:hAnsi="Microsoft Sans Serif" w:cs="Microsoft Sans Serif"/>
        </w:rPr>
        <w:t>LLEPKOSKI@FIRSTENERGYCORP.COM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2DBBBB72" w14:textId="77777777" w:rsidR="00762980" w:rsidRDefault="00762980" w:rsidP="00762980">
      <w:pPr>
        <w:spacing w:after="0" w:line="240" w:lineRule="auto"/>
      </w:pPr>
      <w:r>
        <w:rPr>
          <w:rFonts w:ascii="Microsoft Sans Serif" w:eastAsia="Microsoft Sans Serif" w:hAnsi="Microsoft Sans Serif" w:cs="Microsoft Sans Serif"/>
        </w:rPr>
        <w:cr/>
        <w:t>TORI L GIESLER ESQUIRE</w:t>
      </w:r>
      <w:r>
        <w:rPr>
          <w:rFonts w:ascii="Microsoft Sans Serif" w:eastAsia="Microsoft Sans Serif" w:hAnsi="Microsoft Sans Serif" w:cs="Microsoft Sans Serif"/>
        </w:rPr>
        <w:cr/>
        <w:t>FIRSTENERGY</w:t>
      </w:r>
      <w:r>
        <w:rPr>
          <w:rFonts w:ascii="Microsoft Sans Serif" w:eastAsia="Microsoft Sans Serif" w:hAnsi="Microsoft Sans Serif" w:cs="Microsoft Sans Serif"/>
        </w:rPr>
        <w:cr/>
        <w:t>2800 POTTSVILLE PIKE</w:t>
      </w:r>
      <w:r>
        <w:rPr>
          <w:rFonts w:ascii="Microsoft Sans Serif" w:eastAsia="Microsoft Sans Serif" w:hAnsi="Microsoft Sans Serif" w:cs="Microsoft Sans Serif"/>
        </w:rPr>
        <w:cr/>
        <w:t>PO BOX 16001</w:t>
      </w:r>
      <w:r>
        <w:rPr>
          <w:rFonts w:ascii="Microsoft Sans Serif" w:eastAsia="Microsoft Sans Serif" w:hAnsi="Microsoft Sans Serif" w:cs="Microsoft Sans Serif"/>
        </w:rPr>
        <w:cr/>
        <w:t>READING PA  19612-6001</w:t>
      </w:r>
      <w:r>
        <w:rPr>
          <w:rFonts w:ascii="Microsoft Sans Serif" w:eastAsia="Microsoft Sans Serif" w:hAnsi="Microsoft Sans Serif" w:cs="Microsoft Sans Serif"/>
        </w:rPr>
        <w:cr/>
      </w:r>
      <w:r w:rsidRPr="00A620B3">
        <w:rPr>
          <w:rFonts w:ascii="Microsoft Sans Serif" w:eastAsia="Microsoft Sans Serif" w:hAnsi="Microsoft Sans Serif" w:cs="Microsoft Sans Serif"/>
          <w:b/>
          <w:bCs/>
        </w:rPr>
        <w:t>610.921.6658</w:t>
      </w:r>
      <w:r w:rsidRPr="00A620B3">
        <w:rPr>
          <w:rFonts w:ascii="Microsoft Sans Serif" w:eastAsia="Microsoft Sans Serif" w:hAnsi="Microsoft Sans Serif" w:cs="Microsoft Sans Serif"/>
          <w:b/>
          <w:bCs/>
        </w:rPr>
        <w:cr/>
      </w:r>
      <w:r>
        <w:rPr>
          <w:rFonts w:ascii="Microsoft Sans Serif" w:eastAsia="Microsoft Sans Serif" w:hAnsi="Microsoft Sans Serif" w:cs="Microsoft Sans Serif"/>
        </w:rPr>
        <w:t>TGIESLER@FIRSTENERGYCORP.COM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p>
    <w:p w14:paraId="1612BF89" w14:textId="77777777" w:rsidR="00762980" w:rsidRDefault="00762980" w:rsidP="00762980">
      <w:pPr>
        <w:spacing w:after="0" w:line="240" w:lineRule="auto"/>
      </w:pPr>
    </w:p>
    <w:p w14:paraId="3DAFE5A7" w14:textId="77777777" w:rsidR="00762980" w:rsidRDefault="00762980" w:rsidP="00762980">
      <w:pPr>
        <w:spacing w:after="0"/>
      </w:pPr>
    </w:p>
    <w:sectPr w:rsidR="00762980" w:rsidSect="0076298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394BE" w14:textId="77777777" w:rsidR="004F6B85" w:rsidRDefault="004F6B85" w:rsidP="00F30DE8">
      <w:pPr>
        <w:spacing w:after="0" w:line="240" w:lineRule="auto"/>
      </w:pPr>
      <w:r>
        <w:separator/>
      </w:r>
    </w:p>
  </w:endnote>
  <w:endnote w:type="continuationSeparator" w:id="0">
    <w:p w14:paraId="2FC737A4" w14:textId="77777777" w:rsidR="004F6B85" w:rsidRDefault="004F6B85" w:rsidP="00F30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640106"/>
      <w:docPartObj>
        <w:docPartGallery w:val="Page Numbers (Bottom of Page)"/>
        <w:docPartUnique/>
      </w:docPartObj>
    </w:sdtPr>
    <w:sdtEndPr>
      <w:rPr>
        <w:noProof/>
        <w:sz w:val="20"/>
        <w:szCs w:val="20"/>
      </w:rPr>
    </w:sdtEndPr>
    <w:sdtContent>
      <w:p w14:paraId="62FF47F2" w14:textId="68BA2E65" w:rsidR="00AB2D44" w:rsidRPr="00762980" w:rsidRDefault="00AB2D44">
        <w:pPr>
          <w:pStyle w:val="Footer"/>
          <w:jc w:val="center"/>
          <w:rPr>
            <w:sz w:val="20"/>
            <w:szCs w:val="20"/>
          </w:rPr>
        </w:pPr>
        <w:r w:rsidRPr="00762980">
          <w:rPr>
            <w:sz w:val="20"/>
            <w:szCs w:val="20"/>
          </w:rPr>
          <w:fldChar w:fldCharType="begin"/>
        </w:r>
        <w:r w:rsidRPr="00762980">
          <w:rPr>
            <w:sz w:val="20"/>
            <w:szCs w:val="20"/>
          </w:rPr>
          <w:instrText xml:space="preserve"> PAGE   \* MERGEFORMAT </w:instrText>
        </w:r>
        <w:r w:rsidRPr="00762980">
          <w:rPr>
            <w:sz w:val="20"/>
            <w:szCs w:val="20"/>
          </w:rPr>
          <w:fldChar w:fldCharType="separate"/>
        </w:r>
        <w:r w:rsidRPr="00762980">
          <w:rPr>
            <w:noProof/>
            <w:sz w:val="20"/>
            <w:szCs w:val="20"/>
          </w:rPr>
          <w:t>2</w:t>
        </w:r>
        <w:r w:rsidRPr="00762980">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C86A0" w14:textId="35F0B523" w:rsidR="00762980" w:rsidRPr="00762980" w:rsidRDefault="0076298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84B3A" w14:textId="77777777" w:rsidR="004F6B85" w:rsidRDefault="004F6B85" w:rsidP="00F30DE8">
      <w:pPr>
        <w:spacing w:after="0" w:line="240" w:lineRule="auto"/>
      </w:pPr>
      <w:r>
        <w:separator/>
      </w:r>
    </w:p>
  </w:footnote>
  <w:footnote w:type="continuationSeparator" w:id="0">
    <w:p w14:paraId="3B7B0193" w14:textId="77777777" w:rsidR="004F6B85" w:rsidRDefault="004F6B85" w:rsidP="00F30DE8">
      <w:pPr>
        <w:spacing w:after="0" w:line="240" w:lineRule="auto"/>
      </w:pPr>
      <w:r>
        <w:continuationSeparator/>
      </w:r>
    </w:p>
  </w:footnote>
  <w:footnote w:id="1">
    <w:p w14:paraId="42B341CD" w14:textId="1F957178" w:rsidR="003623B3" w:rsidRDefault="00043DC1">
      <w:pPr>
        <w:pStyle w:val="FootnoteText"/>
      </w:pPr>
      <w:r>
        <w:tab/>
      </w:r>
      <w:r w:rsidR="003623B3">
        <w:rPr>
          <w:rStyle w:val="FootnoteReference"/>
        </w:rPr>
        <w:footnoteRef/>
      </w:r>
      <w:r w:rsidR="003623B3">
        <w:t xml:space="preserve"> </w:t>
      </w:r>
      <w:r w:rsidR="003623B3">
        <w:tab/>
        <w:t>By notice</w:t>
      </w:r>
      <w:r>
        <w:t xml:space="preserve"> dated November 22, 2022</w:t>
      </w:r>
      <w:r w:rsidR="00BA7598">
        <w:t>,</w:t>
      </w:r>
      <w:r>
        <w:t xml:space="preserve"> the case was reassigned to me.</w:t>
      </w:r>
    </w:p>
  </w:footnote>
  <w:footnote w:id="2">
    <w:p w14:paraId="0885B51E" w14:textId="77777777" w:rsidR="00C5621A" w:rsidRDefault="00C5621A" w:rsidP="00C5621A">
      <w:pPr>
        <w:pStyle w:val="FootnoteText"/>
        <w:ind w:firstLine="720"/>
        <w:rPr>
          <w:spacing w:val="-3"/>
        </w:rPr>
      </w:pPr>
      <w:r w:rsidRPr="002A4DC3">
        <w:rPr>
          <w:rStyle w:val="FootnoteReference"/>
        </w:rPr>
        <w:footnoteRef/>
      </w:r>
      <w:r w:rsidRPr="002A4DC3">
        <w:t xml:space="preserve"> </w:t>
      </w:r>
      <w:r w:rsidRPr="002A4DC3">
        <w:tab/>
      </w:r>
      <w:r w:rsidRPr="002A4DC3">
        <w:rPr>
          <w:spacing w:val="-3"/>
        </w:rPr>
        <w:t>66 Pa.C.S. §332(a).</w:t>
      </w:r>
    </w:p>
    <w:p w14:paraId="0C81E897" w14:textId="77777777" w:rsidR="00C5621A" w:rsidRPr="002A4DC3" w:rsidRDefault="00C5621A" w:rsidP="00C5621A">
      <w:pPr>
        <w:pStyle w:val="FootnoteText"/>
        <w:ind w:firstLine="720"/>
      </w:pPr>
    </w:p>
  </w:footnote>
  <w:footnote w:id="3">
    <w:p w14:paraId="6EC48E2B" w14:textId="77777777" w:rsidR="00C5621A" w:rsidRDefault="00C5621A" w:rsidP="00C5621A">
      <w:pPr>
        <w:pStyle w:val="FootnoteText"/>
        <w:ind w:firstLine="720"/>
      </w:pPr>
      <w:r w:rsidRPr="002A4DC3">
        <w:rPr>
          <w:rStyle w:val="FootnoteReference"/>
        </w:rPr>
        <w:footnoteRef/>
      </w:r>
      <w:r w:rsidRPr="002A4DC3">
        <w:t xml:space="preserve"> </w:t>
      </w:r>
      <w:r w:rsidRPr="002A4DC3">
        <w:tab/>
        <w:t xml:space="preserve">52 Pa. Code § 5.231(a).  </w:t>
      </w:r>
    </w:p>
    <w:p w14:paraId="058EF2FF" w14:textId="77777777" w:rsidR="00C5621A" w:rsidRPr="002A4DC3" w:rsidRDefault="00C5621A" w:rsidP="00C5621A">
      <w:pPr>
        <w:pStyle w:val="FootnoteText"/>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760A80"/>
    <w:multiLevelType w:val="hybridMultilevel"/>
    <w:tmpl w:val="D200DB98"/>
    <w:lvl w:ilvl="0" w:tplc="131A383A">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FA096D"/>
    <w:multiLevelType w:val="hybridMultilevel"/>
    <w:tmpl w:val="949E05F0"/>
    <w:lvl w:ilvl="0" w:tplc="88B0443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490625"/>
    <w:multiLevelType w:val="hybridMultilevel"/>
    <w:tmpl w:val="0776960C"/>
    <w:lvl w:ilvl="0" w:tplc="EA0EC33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8C50089"/>
    <w:multiLevelType w:val="hybridMultilevel"/>
    <w:tmpl w:val="FD4C046E"/>
    <w:lvl w:ilvl="0" w:tplc="54384696">
      <w:start w:val="1"/>
      <w:numFmt w:val="upperLetter"/>
      <w:lvlText w:val="%1."/>
      <w:lvlJc w:val="left"/>
      <w:pPr>
        <w:ind w:left="1080" w:hanging="360"/>
      </w:pPr>
      <w:rPr>
        <w:rFonts w:hint="default"/>
        <w:b w:val="0"/>
        <w:bCs/>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575169208">
    <w:abstractNumId w:val="33"/>
  </w:num>
  <w:num w:numId="2" w16cid:durableId="434331319">
    <w:abstractNumId w:val="23"/>
  </w:num>
  <w:num w:numId="3" w16cid:durableId="700204405">
    <w:abstractNumId w:val="31"/>
  </w:num>
  <w:num w:numId="4" w16cid:durableId="1443763581">
    <w:abstractNumId w:val="35"/>
  </w:num>
  <w:num w:numId="5" w16cid:durableId="1888641000">
    <w:abstractNumId w:val="13"/>
  </w:num>
  <w:num w:numId="6" w16cid:durableId="771897392">
    <w:abstractNumId w:val="8"/>
  </w:num>
  <w:num w:numId="7" w16cid:durableId="401686284">
    <w:abstractNumId w:val="6"/>
  </w:num>
  <w:num w:numId="8" w16cid:durableId="905720563">
    <w:abstractNumId w:val="34"/>
  </w:num>
  <w:num w:numId="9" w16cid:durableId="76749609">
    <w:abstractNumId w:val="3"/>
  </w:num>
  <w:num w:numId="10" w16cid:durableId="1172405981">
    <w:abstractNumId w:val="25"/>
  </w:num>
  <w:num w:numId="11" w16cid:durableId="1312253715">
    <w:abstractNumId w:val="30"/>
  </w:num>
  <w:num w:numId="12" w16cid:durableId="10184379">
    <w:abstractNumId w:val="19"/>
  </w:num>
  <w:num w:numId="13" w16cid:durableId="529227091">
    <w:abstractNumId w:val="27"/>
  </w:num>
  <w:num w:numId="14" w16cid:durableId="2083213294">
    <w:abstractNumId w:val="32"/>
  </w:num>
  <w:num w:numId="15" w16cid:durableId="103304739">
    <w:abstractNumId w:val="0"/>
  </w:num>
  <w:num w:numId="16" w16cid:durableId="1268391741">
    <w:abstractNumId w:val="24"/>
  </w:num>
  <w:num w:numId="17" w16cid:durableId="1737705955">
    <w:abstractNumId w:val="24"/>
  </w:num>
  <w:num w:numId="18" w16cid:durableId="2065447608">
    <w:abstractNumId w:val="12"/>
  </w:num>
  <w:num w:numId="19" w16cid:durableId="240335003">
    <w:abstractNumId w:val="20"/>
  </w:num>
  <w:num w:numId="20" w16cid:durableId="1699697877">
    <w:abstractNumId w:val="37"/>
  </w:num>
  <w:num w:numId="21" w16cid:durableId="1433433638">
    <w:abstractNumId w:val="17"/>
  </w:num>
  <w:num w:numId="22" w16cid:durableId="1235362085">
    <w:abstractNumId w:val="5"/>
  </w:num>
  <w:num w:numId="23" w16cid:durableId="1143349798">
    <w:abstractNumId w:val="18"/>
  </w:num>
  <w:num w:numId="24" w16cid:durableId="638923867">
    <w:abstractNumId w:val="40"/>
  </w:num>
  <w:num w:numId="25" w16cid:durableId="1407266254">
    <w:abstractNumId w:val="1"/>
  </w:num>
  <w:num w:numId="26" w16cid:durableId="1634946696">
    <w:abstractNumId w:val="7"/>
  </w:num>
  <w:num w:numId="27" w16cid:durableId="1395852139">
    <w:abstractNumId w:val="29"/>
  </w:num>
  <w:num w:numId="28" w16cid:durableId="1694070323">
    <w:abstractNumId w:val="16"/>
  </w:num>
  <w:num w:numId="29" w16cid:durableId="722409651">
    <w:abstractNumId w:val="11"/>
  </w:num>
  <w:num w:numId="30" w16cid:durableId="1882018023">
    <w:abstractNumId w:val="22"/>
  </w:num>
  <w:num w:numId="31" w16cid:durableId="1653749281">
    <w:abstractNumId w:val="38"/>
  </w:num>
  <w:num w:numId="32" w16cid:durableId="1057171494">
    <w:abstractNumId w:val="39"/>
  </w:num>
  <w:num w:numId="33" w16cid:durableId="1563904577">
    <w:abstractNumId w:val="28"/>
  </w:num>
  <w:num w:numId="34" w16cid:durableId="1325668127">
    <w:abstractNumId w:val="4"/>
  </w:num>
  <w:num w:numId="35" w16cid:durableId="1633827708">
    <w:abstractNumId w:val="21"/>
  </w:num>
  <w:num w:numId="36" w16cid:durableId="722096734">
    <w:abstractNumId w:val="2"/>
  </w:num>
  <w:num w:numId="37" w16cid:durableId="50353854">
    <w:abstractNumId w:val="14"/>
  </w:num>
  <w:num w:numId="38" w16cid:durableId="1740320400">
    <w:abstractNumId w:val="26"/>
  </w:num>
  <w:num w:numId="39" w16cid:durableId="1583250809">
    <w:abstractNumId w:val="15"/>
  </w:num>
  <w:num w:numId="40" w16cid:durableId="2027363711">
    <w:abstractNumId w:val="9"/>
  </w:num>
  <w:num w:numId="41" w16cid:durableId="203491476">
    <w:abstractNumId w:val="9"/>
  </w:num>
  <w:num w:numId="42" w16cid:durableId="2108693603">
    <w:abstractNumId w:val="9"/>
  </w:num>
  <w:num w:numId="43" w16cid:durableId="1641571876">
    <w:abstractNumId w:val="10"/>
  </w:num>
  <w:num w:numId="44" w16cid:durableId="20291264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DE8"/>
    <w:rsid w:val="00004C37"/>
    <w:rsid w:val="000066B3"/>
    <w:rsid w:val="00043DC1"/>
    <w:rsid w:val="00066D87"/>
    <w:rsid w:val="00083973"/>
    <w:rsid w:val="000C7746"/>
    <w:rsid w:val="000D79B3"/>
    <w:rsid w:val="000E3EDE"/>
    <w:rsid w:val="000E7E5F"/>
    <w:rsid w:val="00107E82"/>
    <w:rsid w:val="00127D20"/>
    <w:rsid w:val="00157DE7"/>
    <w:rsid w:val="001924D2"/>
    <w:rsid w:val="001A21B6"/>
    <w:rsid w:val="001B1CBA"/>
    <w:rsid w:val="001C33B1"/>
    <w:rsid w:val="001D2AF7"/>
    <w:rsid w:val="00207743"/>
    <w:rsid w:val="00213167"/>
    <w:rsid w:val="002512F9"/>
    <w:rsid w:val="002642C2"/>
    <w:rsid w:val="00267405"/>
    <w:rsid w:val="002C0B5A"/>
    <w:rsid w:val="002C697B"/>
    <w:rsid w:val="003145FA"/>
    <w:rsid w:val="00315DE0"/>
    <w:rsid w:val="00333A71"/>
    <w:rsid w:val="003623B3"/>
    <w:rsid w:val="00367A41"/>
    <w:rsid w:val="00393C92"/>
    <w:rsid w:val="003A1A41"/>
    <w:rsid w:val="003A3E09"/>
    <w:rsid w:val="003A6C0F"/>
    <w:rsid w:val="00417566"/>
    <w:rsid w:val="004A3E54"/>
    <w:rsid w:val="004D523C"/>
    <w:rsid w:val="004E0977"/>
    <w:rsid w:val="004F6B85"/>
    <w:rsid w:val="00514205"/>
    <w:rsid w:val="00555F95"/>
    <w:rsid w:val="005A1C17"/>
    <w:rsid w:val="005A20B8"/>
    <w:rsid w:val="005A2ABA"/>
    <w:rsid w:val="005C541F"/>
    <w:rsid w:val="005D180A"/>
    <w:rsid w:val="005E7B69"/>
    <w:rsid w:val="00613EA9"/>
    <w:rsid w:val="0061775F"/>
    <w:rsid w:val="00635593"/>
    <w:rsid w:val="0067347B"/>
    <w:rsid w:val="00674B36"/>
    <w:rsid w:val="006758B2"/>
    <w:rsid w:val="00676160"/>
    <w:rsid w:val="00696C0D"/>
    <w:rsid w:val="006B108B"/>
    <w:rsid w:val="006C6A0D"/>
    <w:rsid w:val="006F0329"/>
    <w:rsid w:val="006F6AB2"/>
    <w:rsid w:val="00700807"/>
    <w:rsid w:val="00712E58"/>
    <w:rsid w:val="00714F48"/>
    <w:rsid w:val="007407AC"/>
    <w:rsid w:val="00755D72"/>
    <w:rsid w:val="00762980"/>
    <w:rsid w:val="007656CA"/>
    <w:rsid w:val="00792796"/>
    <w:rsid w:val="00796B64"/>
    <w:rsid w:val="007E6779"/>
    <w:rsid w:val="007E7728"/>
    <w:rsid w:val="00820B4C"/>
    <w:rsid w:val="00827A91"/>
    <w:rsid w:val="0083239D"/>
    <w:rsid w:val="008529D2"/>
    <w:rsid w:val="00860BD0"/>
    <w:rsid w:val="0088105E"/>
    <w:rsid w:val="00917DCA"/>
    <w:rsid w:val="0092428E"/>
    <w:rsid w:val="00926DE3"/>
    <w:rsid w:val="0093038A"/>
    <w:rsid w:val="00942AB9"/>
    <w:rsid w:val="00974761"/>
    <w:rsid w:val="009C7C72"/>
    <w:rsid w:val="009D6DE0"/>
    <w:rsid w:val="009F4477"/>
    <w:rsid w:val="00A33D97"/>
    <w:rsid w:val="00A34150"/>
    <w:rsid w:val="00A47096"/>
    <w:rsid w:val="00A479E2"/>
    <w:rsid w:val="00A66BFE"/>
    <w:rsid w:val="00A74A63"/>
    <w:rsid w:val="00AA2EC5"/>
    <w:rsid w:val="00AB2D44"/>
    <w:rsid w:val="00AB4C73"/>
    <w:rsid w:val="00AD27C0"/>
    <w:rsid w:val="00AE6F47"/>
    <w:rsid w:val="00B34D0D"/>
    <w:rsid w:val="00B4564A"/>
    <w:rsid w:val="00B91E47"/>
    <w:rsid w:val="00BA7598"/>
    <w:rsid w:val="00BC6B21"/>
    <w:rsid w:val="00BE0509"/>
    <w:rsid w:val="00BE48E1"/>
    <w:rsid w:val="00C04D8A"/>
    <w:rsid w:val="00C43005"/>
    <w:rsid w:val="00C50E13"/>
    <w:rsid w:val="00C5621A"/>
    <w:rsid w:val="00C65884"/>
    <w:rsid w:val="00C87E57"/>
    <w:rsid w:val="00CC2433"/>
    <w:rsid w:val="00CE304C"/>
    <w:rsid w:val="00CF6143"/>
    <w:rsid w:val="00D14843"/>
    <w:rsid w:val="00D37A33"/>
    <w:rsid w:val="00D476D8"/>
    <w:rsid w:val="00DD2888"/>
    <w:rsid w:val="00DD5C37"/>
    <w:rsid w:val="00DE6850"/>
    <w:rsid w:val="00DF35D9"/>
    <w:rsid w:val="00E4239A"/>
    <w:rsid w:val="00E445B2"/>
    <w:rsid w:val="00E66CEB"/>
    <w:rsid w:val="00E85339"/>
    <w:rsid w:val="00EA013A"/>
    <w:rsid w:val="00EB027A"/>
    <w:rsid w:val="00EC175D"/>
    <w:rsid w:val="00EC1CBA"/>
    <w:rsid w:val="00EE27BE"/>
    <w:rsid w:val="00EE7801"/>
    <w:rsid w:val="00F11A19"/>
    <w:rsid w:val="00F16554"/>
    <w:rsid w:val="00F30DE8"/>
    <w:rsid w:val="00F544E1"/>
    <w:rsid w:val="00F7450C"/>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5E201"/>
  <w15:chartTrackingRefBased/>
  <w15:docId w15:val="{143EC23E-11D7-4641-981E-A55405E2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 case note"/>
    <w:qFormat/>
    <w:rsid w:val="00A74A63"/>
    <w:pPr>
      <w:tabs>
        <w:tab w:val="left" w:pos="1440"/>
      </w:tabs>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link w:val="ListParagraphChar"/>
    <w:autoRedefine/>
    <w:uiPriority w:val="34"/>
    <w:qFormat/>
    <w:rsid w:val="00BE48E1"/>
    <w:pPr>
      <w:autoSpaceDE w:val="0"/>
      <w:autoSpaceDN w:val="0"/>
      <w:spacing w:after="0"/>
      <w:ind w:left="360"/>
      <w:contextualSpacing/>
    </w:pPr>
    <w:rPr>
      <w:rFonts w:eastAsia="Times New Roman"/>
    </w:rPr>
  </w:style>
  <w:style w:type="paragraph" w:styleId="FootnoteText">
    <w:name w:val="footnote text"/>
    <w:basedOn w:val="Normal"/>
    <w:link w:val="FootnoteTextChar"/>
    <w:autoRedefine/>
    <w:uiPriority w:val="99"/>
    <w:qFormat/>
    <w:rsid w:val="00A74A63"/>
    <w:rPr>
      <w:rFonts w:eastAsia="Times New Roman"/>
      <w:sz w:val="20"/>
    </w:rPr>
  </w:style>
  <w:style w:type="character" w:customStyle="1" w:styleId="FootnoteTextChar">
    <w:name w:val="Footnote Text Char"/>
    <w:basedOn w:val="DefaultParagraphFont"/>
    <w:link w:val="FootnoteText"/>
    <w:uiPriority w:val="99"/>
    <w:rsid w:val="00A74A63"/>
    <w:rPr>
      <w:rFonts w:eastAsia="Times New Roman" w:cstheme="minorBidi"/>
      <w:sz w:val="20"/>
      <w:szCs w:val="22"/>
    </w:rPr>
  </w:style>
  <w:style w:type="paragraph" w:styleId="EnvelopeReturn">
    <w:name w:val="envelope return"/>
    <w:basedOn w:val="Normal"/>
    <w:uiPriority w:val="99"/>
    <w:semiHidden/>
    <w:unhideWhenUsed/>
    <w:rsid w:val="00A74A63"/>
    <w:rPr>
      <w:rFonts w:asciiTheme="majorHAnsi" w:eastAsiaTheme="majorEastAsia" w:hAnsiTheme="majorHAnsi" w:cstheme="majorBidi"/>
      <w:sz w:val="20"/>
    </w:rPr>
  </w:style>
  <w:style w:type="paragraph" w:styleId="List">
    <w:name w:val="List"/>
    <w:basedOn w:val="Normal"/>
    <w:autoRedefine/>
    <w:uiPriority w:val="99"/>
    <w:unhideWhenUsed/>
    <w:rsid w:val="00A74A63"/>
    <w:pPr>
      <w:ind w:firstLine="1440"/>
    </w:pPr>
  </w:style>
  <w:style w:type="character" w:customStyle="1" w:styleId="ListParagraphChar">
    <w:name w:val="List Paragraph Char"/>
    <w:aliases w:val="List Paragraph - PUC Char"/>
    <w:basedOn w:val="DefaultParagraphFont"/>
    <w:link w:val="ListParagraph"/>
    <w:uiPriority w:val="34"/>
    <w:rsid w:val="00BE48E1"/>
    <w:rPr>
      <w:rFonts w:eastAsia="Times New Roman"/>
    </w:rPr>
  </w:style>
  <w:style w:type="paragraph" w:customStyle="1" w:styleId="Style1">
    <w:name w:val="Style1"/>
    <w:basedOn w:val="ListParagraph"/>
    <w:link w:val="Style1Char"/>
    <w:qFormat/>
    <w:rsid w:val="00A74A63"/>
    <w:pPr>
      <w:ind w:left="0" w:firstLine="1440"/>
    </w:pPr>
  </w:style>
  <w:style w:type="character" w:customStyle="1" w:styleId="Style1Char">
    <w:name w:val="Style1 Char"/>
    <w:basedOn w:val="ListParagraphChar"/>
    <w:link w:val="Style1"/>
    <w:rsid w:val="00A74A63"/>
    <w:rPr>
      <w:rFonts w:eastAsia="Times New Roman"/>
      <w:szCs w:val="24"/>
    </w:rPr>
  </w:style>
  <w:style w:type="character" w:styleId="FootnoteReference">
    <w:name w:val="footnote reference"/>
    <w:aliases w:val="o,fr"/>
    <w:uiPriority w:val="99"/>
    <w:unhideWhenUsed/>
    <w:rsid w:val="00F30DE8"/>
    <w:rPr>
      <w:vertAlign w:val="superscript"/>
    </w:rPr>
  </w:style>
  <w:style w:type="character" w:styleId="Hyperlink">
    <w:name w:val="Hyperlink"/>
    <w:basedOn w:val="DefaultParagraphFont"/>
    <w:uiPriority w:val="99"/>
    <w:unhideWhenUsed/>
    <w:rsid w:val="00F30DE8"/>
    <w:rPr>
      <w:color w:val="0000FF" w:themeColor="hyperlink"/>
      <w:u w:val="single"/>
    </w:rPr>
  </w:style>
  <w:style w:type="character" w:styleId="UnresolvedMention">
    <w:name w:val="Unresolved Mention"/>
    <w:basedOn w:val="DefaultParagraphFont"/>
    <w:uiPriority w:val="99"/>
    <w:semiHidden/>
    <w:unhideWhenUsed/>
    <w:rsid w:val="00F30DE8"/>
    <w:rPr>
      <w:color w:val="605E5C"/>
      <w:shd w:val="clear" w:color="auto" w:fill="E1DFDD"/>
    </w:rPr>
  </w:style>
  <w:style w:type="paragraph" w:styleId="Header">
    <w:name w:val="header"/>
    <w:basedOn w:val="Normal"/>
    <w:link w:val="HeaderChar"/>
    <w:uiPriority w:val="99"/>
    <w:unhideWhenUsed/>
    <w:rsid w:val="00AB2D44"/>
    <w:pPr>
      <w:tabs>
        <w:tab w:val="clear" w:pos="1440"/>
        <w:tab w:val="center" w:pos="4680"/>
        <w:tab w:val="right" w:pos="9360"/>
      </w:tabs>
      <w:spacing w:after="0" w:line="240" w:lineRule="auto"/>
    </w:pPr>
  </w:style>
  <w:style w:type="character" w:customStyle="1" w:styleId="HeaderChar">
    <w:name w:val="Header Char"/>
    <w:basedOn w:val="DefaultParagraphFont"/>
    <w:link w:val="Header"/>
    <w:uiPriority w:val="99"/>
    <w:rsid w:val="00AB2D44"/>
  </w:style>
  <w:style w:type="paragraph" w:styleId="Footer">
    <w:name w:val="footer"/>
    <w:basedOn w:val="Normal"/>
    <w:link w:val="FooterChar"/>
    <w:uiPriority w:val="99"/>
    <w:unhideWhenUsed/>
    <w:rsid w:val="00AB2D44"/>
    <w:pPr>
      <w:tabs>
        <w:tab w:val="clear" w:pos="1440"/>
        <w:tab w:val="center" w:pos="4680"/>
        <w:tab w:val="right" w:pos="9360"/>
      </w:tabs>
      <w:spacing w:after="0" w:line="240" w:lineRule="auto"/>
    </w:pPr>
  </w:style>
  <w:style w:type="character" w:customStyle="1" w:styleId="FooterChar">
    <w:name w:val="Footer Char"/>
    <w:basedOn w:val="DefaultParagraphFont"/>
    <w:link w:val="Footer"/>
    <w:uiPriority w:val="99"/>
    <w:rsid w:val="00AB2D44"/>
  </w:style>
  <w:style w:type="table" w:styleId="TableGrid">
    <w:name w:val="Table Grid"/>
    <w:basedOn w:val="TableNormal"/>
    <w:uiPriority w:val="59"/>
    <w:rsid w:val="00555F9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Tab1">
    <w:name w:val="ParaTab 1"/>
    <w:rsid w:val="00762980"/>
    <w:pPr>
      <w:tabs>
        <w:tab w:val="left" w:pos="-720"/>
      </w:tabs>
      <w:suppressAutoHyphens/>
      <w:autoSpaceDE w:val="0"/>
      <w:autoSpaceDN w:val="0"/>
      <w:spacing w:line="240" w:lineRule="auto"/>
      <w:ind w:firstLine="1440"/>
    </w:pPr>
    <w:rPr>
      <w:rFonts w:ascii="CG Times" w:eastAsia="Times New Roman" w:hAnsi="CG Times" w:cs="CG Time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uc.pa.gov/filing-sources/efil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puc.pa.gov/complaints/formal-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1529</Words>
  <Characters>8717</Characters>
  <Application>Microsoft Office Word</Application>
  <DocSecurity>4</DocSecurity>
  <Lines>72</Lines>
  <Paragraphs>20</Paragraphs>
  <ScaleCrop>false</ScaleCrop>
  <Company/>
  <LinksUpToDate>false</LinksUpToDate>
  <CharactersWithSpaces>10226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Williams, Bobbie Jo</cp:lastModifiedBy>
  <cp:revision>2</cp:revision>
  <dcterms:created xsi:type="dcterms:W3CDTF">2024-02-14T18:23:00Z</dcterms:created>
  <dcterms:modified xsi:type="dcterms:W3CDTF">2024-02-14T18:23:00Z</dcterms:modified>
</cp:coreProperties>
</file>