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A5114" w14:textId="77777777" w:rsidR="00B03216" w:rsidRPr="006A685B" w:rsidRDefault="00B03216" w:rsidP="00B03216">
      <w:pPr>
        <w:spacing w:after="0" w:line="240" w:lineRule="auto"/>
        <w:jc w:val="center"/>
        <w:rPr>
          <w:rFonts w:ascii="Times New Roman" w:eastAsia="Calibri" w:hAnsi="Times New Roman" w:cs="Times New Roman"/>
          <w:b/>
          <w:bCs/>
          <w:sz w:val="24"/>
          <w:szCs w:val="24"/>
        </w:rPr>
      </w:pPr>
      <w:r w:rsidRPr="006A685B">
        <w:rPr>
          <w:rFonts w:ascii="Times New Roman" w:eastAsia="Calibri" w:hAnsi="Times New Roman" w:cs="Times New Roman"/>
          <w:b/>
          <w:bCs/>
          <w:sz w:val="24"/>
          <w:szCs w:val="24"/>
        </w:rPr>
        <w:t xml:space="preserve">BEFORE THE </w:t>
      </w:r>
    </w:p>
    <w:p w14:paraId="03D52EBB" w14:textId="77777777" w:rsidR="00B03216" w:rsidRPr="006A685B" w:rsidRDefault="00B03216" w:rsidP="00B03216">
      <w:pPr>
        <w:spacing w:after="0" w:line="240" w:lineRule="auto"/>
        <w:jc w:val="center"/>
        <w:rPr>
          <w:rFonts w:ascii="Times New Roman" w:eastAsia="Calibri" w:hAnsi="Times New Roman" w:cs="Times New Roman"/>
          <w:b/>
          <w:bCs/>
          <w:sz w:val="24"/>
          <w:szCs w:val="24"/>
        </w:rPr>
      </w:pPr>
      <w:r w:rsidRPr="006A685B">
        <w:rPr>
          <w:rFonts w:ascii="Times New Roman" w:eastAsia="Calibri" w:hAnsi="Times New Roman" w:cs="Times New Roman"/>
          <w:b/>
          <w:bCs/>
          <w:sz w:val="24"/>
          <w:szCs w:val="24"/>
        </w:rPr>
        <w:t>PENNSYLVANIA PUBLIC UTILITY COMMISSION</w:t>
      </w:r>
    </w:p>
    <w:p w14:paraId="246E73D5" w14:textId="77777777" w:rsidR="00B03216" w:rsidRPr="006A685B" w:rsidRDefault="00B03216" w:rsidP="00B03216">
      <w:pPr>
        <w:spacing w:after="0" w:line="240" w:lineRule="auto"/>
        <w:jc w:val="center"/>
        <w:rPr>
          <w:rFonts w:ascii="Times New Roman" w:eastAsia="Calibri" w:hAnsi="Times New Roman" w:cs="Times New Roman"/>
          <w:b/>
          <w:bCs/>
          <w:sz w:val="24"/>
          <w:szCs w:val="24"/>
        </w:rPr>
      </w:pPr>
    </w:p>
    <w:p w14:paraId="3C5E84AF" w14:textId="77777777" w:rsidR="00B03216" w:rsidRPr="006A685B" w:rsidRDefault="00B03216" w:rsidP="00B03216">
      <w:pPr>
        <w:spacing w:after="0" w:line="240" w:lineRule="auto"/>
        <w:jc w:val="center"/>
        <w:rPr>
          <w:rFonts w:ascii="Times New Roman" w:eastAsia="Calibri" w:hAnsi="Times New Roman" w:cs="Times New Roman"/>
          <w:b/>
          <w:bCs/>
          <w:sz w:val="24"/>
          <w:szCs w:val="24"/>
        </w:rPr>
      </w:pPr>
    </w:p>
    <w:p w14:paraId="11150103" w14:textId="77777777" w:rsidR="00B03216" w:rsidRPr="006A685B" w:rsidRDefault="00B03216" w:rsidP="00B03216">
      <w:pPr>
        <w:spacing w:after="0" w:line="240" w:lineRule="auto"/>
        <w:jc w:val="both"/>
        <w:rPr>
          <w:rFonts w:ascii="Times New Roman" w:eastAsia="Calibri" w:hAnsi="Times New Roman" w:cs="Times New Roman"/>
          <w:b/>
          <w:sz w:val="24"/>
          <w:szCs w:val="24"/>
        </w:rPr>
      </w:pPr>
    </w:p>
    <w:p w14:paraId="0D1524D6" w14:textId="15B8B354" w:rsidR="00B03216" w:rsidRDefault="00F70E1B" w:rsidP="00B032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James R. Dummett and</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EA58C71" w14:textId="6C298CA4" w:rsidR="00F70E1B" w:rsidRDefault="00F70E1B" w:rsidP="00B032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William A. Dummett, Sr.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73F0B1A1" w14:textId="209BF31E" w:rsidR="00F70E1B" w:rsidRDefault="00F70E1B" w:rsidP="00B032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44E3876C" w14:textId="7FA2A102" w:rsidR="00F70E1B" w:rsidRDefault="00F70E1B" w:rsidP="00B032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sidR="00D26D16">
        <w:rPr>
          <w:rFonts w:ascii="Times New Roman" w:eastAsia="Calibri" w:hAnsi="Times New Roman" w:cs="Times New Roman"/>
          <w:sz w:val="24"/>
          <w:szCs w:val="24"/>
        </w:rPr>
        <w:tab/>
      </w:r>
      <w:r w:rsidR="00D26D16">
        <w:rPr>
          <w:rFonts w:ascii="Times New Roman" w:eastAsia="Calibri" w:hAnsi="Times New Roman" w:cs="Times New Roman"/>
          <w:sz w:val="24"/>
          <w:szCs w:val="24"/>
        </w:rPr>
        <w:tab/>
      </w:r>
      <w:r w:rsidR="00D26D16">
        <w:rPr>
          <w:rFonts w:ascii="Times New Roman" w:eastAsia="Calibri" w:hAnsi="Times New Roman" w:cs="Times New Roman"/>
          <w:sz w:val="24"/>
          <w:szCs w:val="24"/>
        </w:rPr>
        <w:t>C-2023-3042086</w:t>
      </w:r>
    </w:p>
    <w:p w14:paraId="07740B7E" w14:textId="4CEEFA78" w:rsidR="00F70E1B" w:rsidRDefault="00F70E1B" w:rsidP="00B032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657EBED8" w14:textId="0CB56637" w:rsidR="00F70E1B" w:rsidRDefault="00F70E1B" w:rsidP="00B0321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Pennsylvania Electrtic Company</w:t>
      </w:r>
    </w:p>
    <w:p w14:paraId="0E325D91" w14:textId="77777777" w:rsidR="00F70E1B" w:rsidRDefault="00F70E1B" w:rsidP="00B03216">
      <w:pPr>
        <w:spacing w:after="0" w:line="240" w:lineRule="auto"/>
        <w:rPr>
          <w:rFonts w:ascii="Times New Roman" w:eastAsia="Calibri" w:hAnsi="Times New Roman" w:cs="Times New Roman"/>
          <w:sz w:val="24"/>
          <w:szCs w:val="24"/>
        </w:rPr>
      </w:pPr>
    </w:p>
    <w:p w14:paraId="5E9BE76F" w14:textId="77777777" w:rsidR="00F70E1B" w:rsidRPr="00F70E1B" w:rsidRDefault="00F70E1B" w:rsidP="00B03216">
      <w:pPr>
        <w:spacing w:after="0" w:line="240" w:lineRule="auto"/>
        <w:rPr>
          <w:rFonts w:ascii="Times New Roman" w:eastAsia="Calibri" w:hAnsi="Times New Roman" w:cs="Times New Roman"/>
          <w:sz w:val="24"/>
          <w:szCs w:val="24"/>
        </w:rPr>
      </w:pPr>
    </w:p>
    <w:p w14:paraId="7F32E102" w14:textId="77777777" w:rsidR="00B03216" w:rsidRPr="006A685B" w:rsidRDefault="00B03216" w:rsidP="00B03216">
      <w:pPr>
        <w:spacing w:after="0" w:line="240" w:lineRule="auto"/>
        <w:jc w:val="center"/>
        <w:rPr>
          <w:rFonts w:ascii="Times New Roman" w:eastAsia="Calibri" w:hAnsi="Times New Roman" w:cs="Times New Roman"/>
          <w:b/>
          <w:bCs/>
          <w:sz w:val="24"/>
          <w:szCs w:val="24"/>
        </w:rPr>
      </w:pPr>
      <w:r w:rsidRPr="006A685B">
        <w:rPr>
          <w:rFonts w:ascii="Times New Roman" w:eastAsia="Calibri" w:hAnsi="Times New Roman" w:cs="Times New Roman"/>
          <w:b/>
          <w:bCs/>
          <w:sz w:val="24"/>
          <w:szCs w:val="24"/>
        </w:rPr>
        <w:t>INTERIM ORDER</w:t>
      </w:r>
    </w:p>
    <w:p w14:paraId="76DB7BD7" w14:textId="562C7FCB" w:rsidR="00C74BCF" w:rsidRPr="007D7231" w:rsidRDefault="00B9589F" w:rsidP="00B03216">
      <w:pPr>
        <w:spacing w:after="0" w:line="240" w:lineRule="auto"/>
        <w:jc w:val="center"/>
        <w:rPr>
          <w:rFonts w:ascii="Times New Roman" w:eastAsia="Calibri" w:hAnsi="Times New Roman" w:cs="Times New Roman"/>
          <w:b/>
          <w:bCs/>
          <w:sz w:val="24"/>
          <w:szCs w:val="24"/>
          <w:u w:val="single"/>
        </w:rPr>
      </w:pPr>
      <w:r w:rsidRPr="007D7231">
        <w:rPr>
          <w:rFonts w:ascii="Times New Roman" w:eastAsia="Calibri" w:hAnsi="Times New Roman" w:cs="Times New Roman"/>
          <w:b/>
          <w:bCs/>
          <w:sz w:val="24"/>
          <w:szCs w:val="24"/>
          <w:u w:val="single"/>
        </w:rPr>
        <w:t>DENYING</w:t>
      </w:r>
      <w:r w:rsidR="00BB4F6D" w:rsidRPr="007D7231">
        <w:rPr>
          <w:rFonts w:ascii="Times New Roman" w:eastAsia="Calibri" w:hAnsi="Times New Roman" w:cs="Times New Roman"/>
          <w:b/>
          <w:bCs/>
          <w:sz w:val="24"/>
          <w:szCs w:val="24"/>
          <w:u w:val="single"/>
        </w:rPr>
        <w:t xml:space="preserve"> PRELIMINARY OBJECTION </w:t>
      </w:r>
      <w:r w:rsidRPr="007D7231">
        <w:rPr>
          <w:rFonts w:ascii="Times New Roman" w:eastAsia="Calibri" w:hAnsi="Times New Roman" w:cs="Times New Roman"/>
          <w:b/>
          <w:bCs/>
          <w:sz w:val="24"/>
          <w:szCs w:val="24"/>
          <w:u w:val="single"/>
        </w:rPr>
        <w:t>AND SETTING LITIGATION SCHEDULE</w:t>
      </w:r>
      <w:r w:rsidR="00BB4F6D" w:rsidRPr="007D7231">
        <w:rPr>
          <w:rFonts w:ascii="Times New Roman" w:eastAsia="Calibri" w:hAnsi="Times New Roman" w:cs="Times New Roman"/>
          <w:b/>
          <w:bCs/>
          <w:sz w:val="24"/>
          <w:szCs w:val="24"/>
          <w:u w:val="single"/>
        </w:rPr>
        <w:t xml:space="preserve"> </w:t>
      </w:r>
    </w:p>
    <w:p w14:paraId="5DEEFD90" w14:textId="023413B5" w:rsidR="00B03216" w:rsidRPr="00C74BCF" w:rsidRDefault="00B03216" w:rsidP="00B03216">
      <w:pPr>
        <w:spacing w:after="0" w:line="240" w:lineRule="auto"/>
        <w:jc w:val="center"/>
        <w:rPr>
          <w:rFonts w:ascii="Times New Roman" w:eastAsia="Calibri" w:hAnsi="Times New Roman" w:cs="Times New Roman"/>
          <w:b/>
          <w:bCs/>
          <w:sz w:val="24"/>
          <w:szCs w:val="24"/>
          <w:u w:val="single"/>
        </w:rPr>
      </w:pPr>
    </w:p>
    <w:p w14:paraId="0C0D8E87" w14:textId="06C98105" w:rsidR="00B03216" w:rsidRPr="006A685B" w:rsidRDefault="007A774A" w:rsidP="00B03216">
      <w:pPr>
        <w:spacing w:after="0" w:line="240" w:lineRule="auto"/>
        <w:jc w:val="both"/>
        <w:rPr>
          <w:rFonts w:ascii="Times New Roman" w:eastAsia="Calibri" w:hAnsi="Times New Roman" w:cs="Times New Roman"/>
          <w:b/>
          <w:bCs/>
          <w:sz w:val="24"/>
          <w:szCs w:val="24"/>
        </w:rPr>
      </w:pPr>
      <w:r w:rsidRPr="006A685B">
        <w:rPr>
          <w:rFonts w:ascii="Times New Roman" w:eastAsia="Calibri" w:hAnsi="Times New Roman" w:cs="Times New Roman"/>
          <w:b/>
          <w:bCs/>
          <w:sz w:val="24"/>
          <w:szCs w:val="24"/>
        </w:rPr>
        <w:t>Please read this Order in its entirety.</w:t>
      </w:r>
      <w:r w:rsidR="0005091D" w:rsidRPr="006A685B">
        <w:rPr>
          <w:rFonts w:ascii="Times New Roman" w:eastAsia="Calibri" w:hAnsi="Times New Roman" w:cs="Times New Roman"/>
          <w:b/>
          <w:bCs/>
          <w:sz w:val="24"/>
          <w:szCs w:val="24"/>
        </w:rPr>
        <w:t xml:space="preserve"> It contains important information regarding this case.</w:t>
      </w:r>
    </w:p>
    <w:p w14:paraId="00E128FA" w14:textId="77777777" w:rsidR="00AE5490" w:rsidRPr="006A685B" w:rsidRDefault="00AE5490" w:rsidP="00B03216">
      <w:pPr>
        <w:spacing w:after="0" w:line="240" w:lineRule="auto"/>
        <w:jc w:val="both"/>
        <w:rPr>
          <w:rFonts w:ascii="Times New Roman" w:eastAsia="Calibri" w:hAnsi="Times New Roman" w:cs="Times New Roman"/>
          <w:sz w:val="24"/>
          <w:szCs w:val="24"/>
        </w:rPr>
      </w:pPr>
    </w:p>
    <w:p w14:paraId="18F2DE5F" w14:textId="5D7B3257" w:rsidR="00566EA3" w:rsidRPr="006A685B" w:rsidRDefault="00566EA3" w:rsidP="00B03216">
      <w:pPr>
        <w:spacing w:after="0" w:line="240" w:lineRule="auto"/>
        <w:jc w:val="both"/>
        <w:rPr>
          <w:rFonts w:ascii="Times New Roman" w:eastAsia="Calibri" w:hAnsi="Times New Roman" w:cs="Times New Roman"/>
          <w:sz w:val="24"/>
          <w:szCs w:val="24"/>
          <w:u w:val="single"/>
        </w:rPr>
      </w:pPr>
      <w:r w:rsidRPr="006A685B">
        <w:rPr>
          <w:rFonts w:ascii="Times New Roman" w:eastAsia="Calibri" w:hAnsi="Times New Roman" w:cs="Times New Roman"/>
          <w:sz w:val="24"/>
          <w:szCs w:val="24"/>
          <w:u w:val="single"/>
        </w:rPr>
        <w:t>Procedural History</w:t>
      </w:r>
    </w:p>
    <w:p w14:paraId="2FFAF503" w14:textId="77777777" w:rsidR="00AE5490" w:rsidRPr="006A685B" w:rsidRDefault="00AE5490" w:rsidP="00B03216">
      <w:pPr>
        <w:spacing w:after="0" w:line="240" w:lineRule="auto"/>
        <w:jc w:val="both"/>
        <w:rPr>
          <w:rFonts w:ascii="Times New Roman" w:eastAsia="Calibri" w:hAnsi="Times New Roman" w:cs="Times New Roman"/>
          <w:sz w:val="24"/>
          <w:szCs w:val="24"/>
        </w:rPr>
      </w:pPr>
    </w:p>
    <w:p w14:paraId="4327FC86" w14:textId="33EDD78F" w:rsidR="00B03216" w:rsidRPr="006A685B" w:rsidRDefault="00B03216" w:rsidP="007215B1">
      <w:pPr>
        <w:spacing w:after="0" w:line="360" w:lineRule="auto"/>
        <w:rPr>
          <w:rFonts w:ascii="Times New Roman" w:eastAsia="Calibri" w:hAnsi="Times New Roman" w:cs="Times New Roman"/>
          <w:sz w:val="24"/>
          <w:szCs w:val="24"/>
        </w:rPr>
      </w:pPr>
      <w:r w:rsidRPr="006A685B">
        <w:rPr>
          <w:rFonts w:ascii="Times New Roman" w:eastAsia="Calibri" w:hAnsi="Times New Roman" w:cs="Times New Roman"/>
          <w:sz w:val="24"/>
          <w:szCs w:val="24"/>
        </w:rPr>
        <w:tab/>
      </w:r>
      <w:r w:rsidRPr="006A685B">
        <w:rPr>
          <w:rFonts w:ascii="Times New Roman" w:eastAsia="Calibri" w:hAnsi="Times New Roman" w:cs="Times New Roman"/>
          <w:sz w:val="24"/>
          <w:szCs w:val="24"/>
        </w:rPr>
        <w:tab/>
      </w:r>
      <w:r w:rsidR="004B42F8">
        <w:rPr>
          <w:rFonts w:ascii="Times New Roman" w:eastAsia="Calibri" w:hAnsi="Times New Roman" w:cs="Times New Roman"/>
          <w:sz w:val="24"/>
          <w:szCs w:val="24"/>
        </w:rPr>
        <w:t>August 7</w:t>
      </w:r>
      <w:r w:rsidR="00E461FF" w:rsidRPr="006A685B">
        <w:rPr>
          <w:rFonts w:ascii="Times New Roman" w:eastAsia="Calibri" w:hAnsi="Times New Roman" w:cs="Times New Roman"/>
          <w:sz w:val="24"/>
          <w:szCs w:val="24"/>
        </w:rPr>
        <w:t xml:space="preserve">, </w:t>
      </w:r>
      <w:r w:rsidR="00820E3A" w:rsidRPr="006A685B">
        <w:rPr>
          <w:rFonts w:ascii="Times New Roman" w:eastAsia="Calibri" w:hAnsi="Times New Roman" w:cs="Times New Roman"/>
          <w:sz w:val="24"/>
          <w:szCs w:val="24"/>
        </w:rPr>
        <w:t>20</w:t>
      </w:r>
      <w:r w:rsidR="004B42F8">
        <w:rPr>
          <w:rFonts w:ascii="Times New Roman" w:eastAsia="Calibri" w:hAnsi="Times New Roman" w:cs="Times New Roman"/>
          <w:sz w:val="24"/>
          <w:szCs w:val="24"/>
        </w:rPr>
        <w:t>23</w:t>
      </w:r>
      <w:r w:rsidR="00820E3A" w:rsidRPr="006A685B">
        <w:rPr>
          <w:rFonts w:ascii="Times New Roman" w:eastAsia="Calibri" w:hAnsi="Times New Roman" w:cs="Times New Roman"/>
          <w:sz w:val="24"/>
          <w:szCs w:val="24"/>
        </w:rPr>
        <w:t xml:space="preserve">, James </w:t>
      </w:r>
      <w:r w:rsidR="003E43AC">
        <w:rPr>
          <w:rFonts w:ascii="Times New Roman" w:eastAsia="Calibri" w:hAnsi="Times New Roman" w:cs="Times New Roman"/>
          <w:sz w:val="24"/>
          <w:szCs w:val="24"/>
        </w:rPr>
        <w:t xml:space="preserve">R. Dummett and William A. Dummett, Sr. (Complainants or the </w:t>
      </w:r>
      <w:proofErr w:type="spellStart"/>
      <w:r w:rsidR="003E43AC">
        <w:rPr>
          <w:rFonts w:ascii="Times New Roman" w:eastAsia="Calibri" w:hAnsi="Times New Roman" w:cs="Times New Roman"/>
          <w:sz w:val="24"/>
          <w:szCs w:val="24"/>
        </w:rPr>
        <w:t>Dummetts</w:t>
      </w:r>
      <w:proofErr w:type="spellEnd"/>
      <w:r w:rsidR="004E70F9">
        <w:rPr>
          <w:rFonts w:ascii="Times New Roman" w:eastAsia="Calibri" w:hAnsi="Times New Roman" w:cs="Times New Roman"/>
          <w:sz w:val="24"/>
          <w:szCs w:val="24"/>
        </w:rPr>
        <w:t xml:space="preserve">) </w:t>
      </w:r>
      <w:r w:rsidR="000B4169" w:rsidRPr="006A685B">
        <w:rPr>
          <w:rFonts w:ascii="Times New Roman" w:eastAsia="Calibri" w:hAnsi="Times New Roman" w:cs="Times New Roman"/>
          <w:sz w:val="24"/>
          <w:szCs w:val="24"/>
        </w:rPr>
        <w:t xml:space="preserve">filed a Formal Complaint with the Pennsylvania Public Utility Commission (Commission) against </w:t>
      </w:r>
      <w:r w:rsidR="004E70F9">
        <w:rPr>
          <w:rFonts w:ascii="Times New Roman" w:eastAsia="Calibri" w:hAnsi="Times New Roman" w:cs="Times New Roman"/>
          <w:sz w:val="24"/>
          <w:szCs w:val="24"/>
        </w:rPr>
        <w:t>Pennsylvania Electric</w:t>
      </w:r>
      <w:r w:rsidR="000B4169" w:rsidRPr="006A685B">
        <w:rPr>
          <w:rFonts w:ascii="Times New Roman" w:eastAsia="Calibri" w:hAnsi="Times New Roman" w:cs="Times New Roman"/>
          <w:sz w:val="24"/>
          <w:szCs w:val="24"/>
        </w:rPr>
        <w:t xml:space="preserve"> Company (</w:t>
      </w:r>
      <w:r w:rsidR="004E70F9">
        <w:rPr>
          <w:rFonts w:ascii="Times New Roman" w:eastAsia="Calibri" w:hAnsi="Times New Roman" w:cs="Times New Roman"/>
          <w:sz w:val="24"/>
          <w:szCs w:val="24"/>
        </w:rPr>
        <w:t>Penelec</w:t>
      </w:r>
      <w:r w:rsidR="00276B55" w:rsidRPr="006A685B">
        <w:rPr>
          <w:rFonts w:ascii="Times New Roman" w:eastAsia="Calibri" w:hAnsi="Times New Roman" w:cs="Times New Roman"/>
          <w:sz w:val="24"/>
          <w:szCs w:val="24"/>
        </w:rPr>
        <w:t>, Company, or Respondent)</w:t>
      </w:r>
      <w:r w:rsidR="007215B1" w:rsidRPr="006A685B">
        <w:rPr>
          <w:rFonts w:ascii="Times New Roman" w:eastAsia="Calibri" w:hAnsi="Times New Roman" w:cs="Times New Roman"/>
          <w:sz w:val="24"/>
          <w:szCs w:val="24"/>
        </w:rPr>
        <w:t>.  Complainant</w:t>
      </w:r>
      <w:r w:rsidR="004E70F9">
        <w:rPr>
          <w:rFonts w:ascii="Times New Roman" w:eastAsia="Calibri" w:hAnsi="Times New Roman" w:cs="Times New Roman"/>
          <w:sz w:val="24"/>
          <w:szCs w:val="24"/>
        </w:rPr>
        <w:t>s</w:t>
      </w:r>
      <w:r w:rsidR="007215B1" w:rsidRPr="006A685B">
        <w:rPr>
          <w:rFonts w:ascii="Times New Roman" w:eastAsia="Calibri" w:hAnsi="Times New Roman" w:cs="Times New Roman"/>
          <w:sz w:val="24"/>
          <w:szCs w:val="24"/>
        </w:rPr>
        <w:t xml:space="preserve"> averred that </w:t>
      </w:r>
      <w:r w:rsidR="00565EFE">
        <w:rPr>
          <w:rFonts w:ascii="Times New Roman" w:eastAsia="Calibri" w:hAnsi="Times New Roman" w:cs="Times New Roman"/>
          <w:sz w:val="24"/>
          <w:szCs w:val="24"/>
        </w:rPr>
        <w:t>they are experiencing</w:t>
      </w:r>
      <w:r w:rsidR="007215B1" w:rsidRPr="006A685B">
        <w:rPr>
          <w:rFonts w:ascii="Times New Roman" w:eastAsia="Calibri" w:hAnsi="Times New Roman" w:cs="Times New Roman"/>
          <w:sz w:val="24"/>
          <w:szCs w:val="24"/>
        </w:rPr>
        <w:t xml:space="preserve"> reliability, </w:t>
      </w:r>
      <w:proofErr w:type="gramStart"/>
      <w:r w:rsidR="007215B1" w:rsidRPr="006A685B">
        <w:rPr>
          <w:rFonts w:ascii="Times New Roman" w:eastAsia="Calibri" w:hAnsi="Times New Roman" w:cs="Times New Roman"/>
          <w:sz w:val="24"/>
          <w:szCs w:val="24"/>
        </w:rPr>
        <w:t>safety</w:t>
      </w:r>
      <w:proofErr w:type="gramEnd"/>
      <w:r w:rsidR="007215B1" w:rsidRPr="006A685B">
        <w:rPr>
          <w:rFonts w:ascii="Times New Roman" w:eastAsia="Calibri" w:hAnsi="Times New Roman" w:cs="Times New Roman"/>
          <w:sz w:val="24"/>
          <w:szCs w:val="24"/>
        </w:rPr>
        <w:t xml:space="preserve"> or quality problems with </w:t>
      </w:r>
      <w:r w:rsidR="00565EFE">
        <w:rPr>
          <w:rFonts w:ascii="Times New Roman" w:eastAsia="Calibri" w:hAnsi="Times New Roman" w:cs="Times New Roman"/>
          <w:sz w:val="24"/>
          <w:szCs w:val="24"/>
        </w:rPr>
        <w:t>their</w:t>
      </w:r>
      <w:r w:rsidR="007215B1" w:rsidRPr="006A685B">
        <w:rPr>
          <w:rFonts w:ascii="Times New Roman" w:eastAsia="Calibri" w:hAnsi="Times New Roman" w:cs="Times New Roman"/>
          <w:sz w:val="24"/>
          <w:szCs w:val="24"/>
        </w:rPr>
        <w:t xml:space="preserve"> electric service</w:t>
      </w:r>
      <w:r w:rsidR="00A739D3">
        <w:rPr>
          <w:rFonts w:ascii="Times New Roman" w:eastAsia="Calibri" w:hAnsi="Times New Roman" w:cs="Times New Roman"/>
          <w:sz w:val="24"/>
          <w:szCs w:val="24"/>
        </w:rPr>
        <w:t xml:space="preserve"> at </w:t>
      </w:r>
      <w:r w:rsidR="00941C16">
        <w:rPr>
          <w:rFonts w:ascii="Times New Roman" w:eastAsia="Calibri" w:hAnsi="Times New Roman" w:cs="Times New Roman"/>
          <w:sz w:val="24"/>
          <w:szCs w:val="24"/>
        </w:rPr>
        <w:t>3360 Cedar Avenue, Oil City, PA (service location)</w:t>
      </w:r>
      <w:r w:rsidR="007215B1" w:rsidRPr="006A685B">
        <w:rPr>
          <w:rFonts w:ascii="Times New Roman" w:eastAsia="Calibri" w:hAnsi="Times New Roman" w:cs="Times New Roman"/>
          <w:sz w:val="24"/>
          <w:szCs w:val="24"/>
        </w:rPr>
        <w:t xml:space="preserve">.  </w:t>
      </w:r>
      <w:r w:rsidR="006A06A2">
        <w:rPr>
          <w:rFonts w:ascii="Times New Roman" w:eastAsia="Calibri" w:hAnsi="Times New Roman" w:cs="Times New Roman"/>
          <w:sz w:val="24"/>
          <w:szCs w:val="24"/>
        </w:rPr>
        <w:t>The Complai</w:t>
      </w:r>
      <w:r w:rsidR="009E65A5">
        <w:rPr>
          <w:rFonts w:ascii="Times New Roman" w:eastAsia="Calibri" w:hAnsi="Times New Roman" w:cs="Times New Roman"/>
          <w:sz w:val="24"/>
          <w:szCs w:val="24"/>
        </w:rPr>
        <w:t>nants</w:t>
      </w:r>
      <w:r w:rsidR="006A06A2">
        <w:rPr>
          <w:rFonts w:ascii="Times New Roman" w:eastAsia="Calibri" w:hAnsi="Times New Roman" w:cs="Times New Roman"/>
          <w:sz w:val="24"/>
          <w:szCs w:val="24"/>
        </w:rPr>
        <w:t xml:space="preserve"> </w:t>
      </w:r>
      <w:r w:rsidR="009E65A5">
        <w:rPr>
          <w:rFonts w:ascii="Times New Roman" w:eastAsia="Calibri" w:hAnsi="Times New Roman" w:cs="Times New Roman"/>
          <w:sz w:val="24"/>
          <w:szCs w:val="24"/>
        </w:rPr>
        <w:t>explain that</w:t>
      </w:r>
      <w:r w:rsidR="006A06A2">
        <w:rPr>
          <w:rFonts w:ascii="Times New Roman" w:eastAsia="Calibri" w:hAnsi="Times New Roman" w:cs="Times New Roman"/>
          <w:sz w:val="24"/>
          <w:szCs w:val="24"/>
        </w:rPr>
        <w:t xml:space="preserve"> James Dummett </w:t>
      </w:r>
      <w:r w:rsidR="00DD2616">
        <w:rPr>
          <w:rFonts w:ascii="Times New Roman" w:eastAsia="Calibri" w:hAnsi="Times New Roman" w:cs="Times New Roman"/>
          <w:sz w:val="24"/>
          <w:szCs w:val="24"/>
        </w:rPr>
        <w:t xml:space="preserve">is the tenant of the service location, and William Dummett is the owner of the service location.  </w:t>
      </w:r>
      <w:r w:rsidR="00281458">
        <w:rPr>
          <w:rFonts w:ascii="Times New Roman" w:eastAsia="Calibri" w:hAnsi="Times New Roman" w:cs="Times New Roman"/>
          <w:sz w:val="24"/>
          <w:szCs w:val="24"/>
        </w:rPr>
        <w:t xml:space="preserve">Complainants aver </w:t>
      </w:r>
      <w:r w:rsidR="00986F74">
        <w:rPr>
          <w:rFonts w:ascii="Times New Roman" w:eastAsia="Calibri" w:hAnsi="Times New Roman" w:cs="Times New Roman"/>
          <w:sz w:val="24"/>
          <w:szCs w:val="24"/>
        </w:rPr>
        <w:t xml:space="preserve">James Dummett </w:t>
      </w:r>
      <w:r w:rsidR="007B4545">
        <w:rPr>
          <w:rFonts w:ascii="Times New Roman" w:eastAsia="Calibri" w:hAnsi="Times New Roman" w:cs="Times New Roman"/>
          <w:sz w:val="24"/>
          <w:szCs w:val="24"/>
        </w:rPr>
        <w:t>has been suffering from EMF exposure from the s</w:t>
      </w:r>
      <w:r w:rsidR="002D2510">
        <w:rPr>
          <w:rFonts w:ascii="Times New Roman" w:eastAsia="Calibri" w:hAnsi="Times New Roman" w:cs="Times New Roman"/>
          <w:sz w:val="24"/>
          <w:szCs w:val="24"/>
        </w:rPr>
        <w:t xml:space="preserve">mart meter installed at the service location.  </w:t>
      </w:r>
      <w:r w:rsidR="000263D9">
        <w:rPr>
          <w:rFonts w:ascii="Times New Roman" w:eastAsia="Calibri" w:hAnsi="Times New Roman" w:cs="Times New Roman"/>
          <w:sz w:val="24"/>
          <w:szCs w:val="24"/>
        </w:rPr>
        <w:t xml:space="preserve">Complainants aver James Dummett has spent thousands of dollars addressing the issue </w:t>
      </w:r>
      <w:r w:rsidR="00B91DFB">
        <w:rPr>
          <w:rFonts w:ascii="Times New Roman" w:eastAsia="Calibri" w:hAnsi="Times New Roman" w:cs="Times New Roman"/>
          <w:sz w:val="24"/>
          <w:szCs w:val="24"/>
        </w:rPr>
        <w:t>over the last five years</w:t>
      </w:r>
      <w:r w:rsidR="004C6DC6">
        <w:rPr>
          <w:rFonts w:ascii="Times New Roman" w:eastAsia="Calibri" w:hAnsi="Times New Roman" w:cs="Times New Roman"/>
          <w:sz w:val="24"/>
          <w:szCs w:val="24"/>
        </w:rPr>
        <w:t xml:space="preserve">.  </w:t>
      </w:r>
      <w:r w:rsidR="00CB7CCF">
        <w:rPr>
          <w:rFonts w:ascii="Times New Roman" w:eastAsia="Calibri" w:hAnsi="Times New Roman" w:cs="Times New Roman"/>
          <w:sz w:val="24"/>
          <w:szCs w:val="24"/>
        </w:rPr>
        <w:t xml:space="preserve">Complainants aver James Dummett has had </w:t>
      </w:r>
      <w:r w:rsidR="00B573A2">
        <w:rPr>
          <w:rFonts w:ascii="Times New Roman" w:eastAsia="Calibri" w:hAnsi="Times New Roman" w:cs="Times New Roman"/>
          <w:sz w:val="24"/>
          <w:szCs w:val="24"/>
        </w:rPr>
        <w:t>numerous</w:t>
      </w:r>
      <w:r w:rsidR="00CB7CCF">
        <w:rPr>
          <w:rFonts w:ascii="Times New Roman" w:eastAsia="Calibri" w:hAnsi="Times New Roman" w:cs="Times New Roman"/>
          <w:sz w:val="24"/>
          <w:szCs w:val="24"/>
        </w:rPr>
        <w:t xml:space="preserve"> medical tests </w:t>
      </w:r>
      <w:r w:rsidR="00471028">
        <w:rPr>
          <w:rFonts w:ascii="Times New Roman" w:eastAsia="Calibri" w:hAnsi="Times New Roman" w:cs="Times New Roman"/>
          <w:sz w:val="24"/>
          <w:szCs w:val="24"/>
        </w:rPr>
        <w:t>done to confirm his issues are not from any other disease or underlying condition or</w:t>
      </w:r>
      <w:r w:rsidR="00B573A2">
        <w:rPr>
          <w:rFonts w:ascii="Times New Roman" w:eastAsia="Calibri" w:hAnsi="Times New Roman" w:cs="Times New Roman"/>
          <w:sz w:val="24"/>
          <w:szCs w:val="24"/>
        </w:rPr>
        <w:t xml:space="preserve"> illness.  They aver </w:t>
      </w:r>
      <w:r w:rsidR="009C32CA">
        <w:rPr>
          <w:rFonts w:ascii="Times New Roman" w:eastAsia="Calibri" w:hAnsi="Times New Roman" w:cs="Times New Roman"/>
          <w:sz w:val="24"/>
          <w:szCs w:val="24"/>
        </w:rPr>
        <w:t xml:space="preserve">they have </w:t>
      </w:r>
      <w:r w:rsidR="006602B0">
        <w:rPr>
          <w:rFonts w:ascii="Times New Roman" w:eastAsia="Calibri" w:hAnsi="Times New Roman" w:cs="Times New Roman"/>
          <w:sz w:val="24"/>
          <w:szCs w:val="24"/>
        </w:rPr>
        <w:t xml:space="preserve">routinely documented the EMF levels and </w:t>
      </w:r>
      <w:r w:rsidR="007074EB">
        <w:rPr>
          <w:rFonts w:ascii="Times New Roman" w:eastAsia="Calibri" w:hAnsi="Times New Roman" w:cs="Times New Roman"/>
          <w:sz w:val="24"/>
          <w:szCs w:val="24"/>
        </w:rPr>
        <w:t>their effects on the house’s electrical wiring.</w:t>
      </w:r>
      <w:r w:rsidR="003A308A">
        <w:rPr>
          <w:rFonts w:ascii="Times New Roman" w:eastAsia="Calibri" w:hAnsi="Times New Roman" w:cs="Times New Roman"/>
          <w:sz w:val="24"/>
          <w:szCs w:val="24"/>
        </w:rPr>
        <w:t xml:space="preserve">  As relief, Complainants request they be allowed to opt out of the smart meter program</w:t>
      </w:r>
      <w:r w:rsidR="008A7B6B">
        <w:rPr>
          <w:rFonts w:ascii="Times New Roman" w:eastAsia="Calibri" w:hAnsi="Times New Roman" w:cs="Times New Roman"/>
          <w:sz w:val="24"/>
          <w:szCs w:val="24"/>
        </w:rPr>
        <w:t xml:space="preserve"> and have an analog meter installed.  </w:t>
      </w:r>
    </w:p>
    <w:p w14:paraId="4321EF4A" w14:textId="77777777" w:rsidR="005C182C" w:rsidRPr="006A685B" w:rsidRDefault="005C182C" w:rsidP="007215B1">
      <w:pPr>
        <w:spacing w:after="0" w:line="360" w:lineRule="auto"/>
        <w:rPr>
          <w:rFonts w:ascii="Times New Roman" w:eastAsia="Calibri" w:hAnsi="Times New Roman" w:cs="Times New Roman"/>
          <w:sz w:val="24"/>
          <w:szCs w:val="24"/>
        </w:rPr>
      </w:pPr>
    </w:p>
    <w:p w14:paraId="753D2D6F" w14:textId="2976A20D" w:rsidR="004C3A94" w:rsidRDefault="00CC3499" w:rsidP="004C3A94">
      <w:pPr>
        <w:pStyle w:val="FootnoteText"/>
        <w:spacing w:line="360" w:lineRule="auto"/>
        <w:rPr>
          <w:rFonts w:ascii="Times New Roman" w:eastAsia="Calibri" w:hAnsi="Times New Roman" w:cs="Times New Roman"/>
        </w:rPr>
      </w:pPr>
      <w:r>
        <w:rPr>
          <w:rFonts w:ascii="Times New Roman" w:eastAsia="Calibri" w:hAnsi="Times New Roman" w:cs="Times New Roman"/>
          <w:sz w:val="24"/>
          <w:szCs w:val="24"/>
        </w:rPr>
        <w:tab/>
      </w:r>
      <w:r w:rsidR="00051BEF">
        <w:rPr>
          <w:rFonts w:ascii="Times New Roman" w:eastAsia="Calibri" w:hAnsi="Times New Roman" w:cs="Times New Roman"/>
          <w:sz w:val="24"/>
          <w:szCs w:val="24"/>
        </w:rPr>
        <w:tab/>
      </w:r>
      <w:r w:rsidR="0024684E" w:rsidRPr="006A685B">
        <w:rPr>
          <w:rFonts w:ascii="Times New Roman" w:eastAsia="Calibri" w:hAnsi="Times New Roman" w:cs="Times New Roman"/>
          <w:sz w:val="24"/>
          <w:szCs w:val="24"/>
        </w:rPr>
        <w:t xml:space="preserve">On </w:t>
      </w:r>
      <w:r w:rsidR="00B95DC3">
        <w:rPr>
          <w:rFonts w:ascii="Times New Roman" w:eastAsia="Calibri" w:hAnsi="Times New Roman" w:cs="Times New Roman"/>
          <w:sz w:val="24"/>
          <w:szCs w:val="24"/>
        </w:rPr>
        <w:t>August 25</w:t>
      </w:r>
      <w:r w:rsidR="0024684E" w:rsidRPr="006A685B">
        <w:rPr>
          <w:rFonts w:ascii="Times New Roman" w:eastAsia="Calibri" w:hAnsi="Times New Roman" w:cs="Times New Roman"/>
          <w:sz w:val="24"/>
          <w:szCs w:val="24"/>
        </w:rPr>
        <w:t>, 20</w:t>
      </w:r>
      <w:r w:rsidR="00B95DC3">
        <w:rPr>
          <w:rFonts w:ascii="Times New Roman" w:eastAsia="Calibri" w:hAnsi="Times New Roman" w:cs="Times New Roman"/>
          <w:sz w:val="24"/>
          <w:szCs w:val="24"/>
        </w:rPr>
        <w:t>23</w:t>
      </w:r>
      <w:r w:rsidR="0024684E" w:rsidRPr="006A685B">
        <w:rPr>
          <w:rFonts w:ascii="Times New Roman" w:eastAsia="Calibri" w:hAnsi="Times New Roman" w:cs="Times New Roman"/>
          <w:sz w:val="24"/>
          <w:szCs w:val="24"/>
        </w:rPr>
        <w:t>, Respondent filed an Answer</w:t>
      </w:r>
      <w:r w:rsidR="0079761D">
        <w:rPr>
          <w:rFonts w:ascii="Times New Roman" w:eastAsia="Calibri" w:hAnsi="Times New Roman" w:cs="Times New Roman"/>
          <w:sz w:val="24"/>
          <w:szCs w:val="24"/>
        </w:rPr>
        <w:t>, New Matter,</w:t>
      </w:r>
      <w:r w:rsidR="0024684E" w:rsidRPr="006A685B">
        <w:rPr>
          <w:rFonts w:ascii="Times New Roman" w:eastAsia="Calibri" w:hAnsi="Times New Roman" w:cs="Times New Roman"/>
          <w:sz w:val="24"/>
          <w:szCs w:val="24"/>
        </w:rPr>
        <w:t xml:space="preserve"> and </w:t>
      </w:r>
      <w:r w:rsidR="00B95DC3">
        <w:rPr>
          <w:rFonts w:ascii="Times New Roman" w:eastAsia="Calibri" w:hAnsi="Times New Roman" w:cs="Times New Roman"/>
          <w:sz w:val="24"/>
          <w:szCs w:val="24"/>
        </w:rPr>
        <w:t>Preliminary Objection</w:t>
      </w:r>
      <w:r w:rsidR="0024684E" w:rsidRPr="006A685B">
        <w:rPr>
          <w:rFonts w:ascii="Times New Roman" w:eastAsia="Calibri" w:hAnsi="Times New Roman" w:cs="Times New Roman"/>
          <w:sz w:val="24"/>
          <w:szCs w:val="24"/>
        </w:rPr>
        <w:t xml:space="preserve"> to the Complaint</w:t>
      </w:r>
      <w:r w:rsidR="00B95DC3">
        <w:rPr>
          <w:rFonts w:ascii="Times New Roman" w:eastAsia="Calibri" w:hAnsi="Times New Roman" w:cs="Times New Roman"/>
          <w:sz w:val="24"/>
          <w:szCs w:val="24"/>
        </w:rPr>
        <w:t xml:space="preserve">.  </w:t>
      </w:r>
      <w:r w:rsidR="0024684E" w:rsidRPr="006A685B">
        <w:rPr>
          <w:rFonts w:ascii="Times New Roman" w:eastAsia="Calibri" w:hAnsi="Times New Roman" w:cs="Times New Roman"/>
          <w:sz w:val="24"/>
          <w:szCs w:val="24"/>
        </w:rPr>
        <w:t xml:space="preserve">Respondent admits that it provides residential retail electric service to </w:t>
      </w:r>
      <w:r w:rsidR="00AC21A3">
        <w:rPr>
          <w:rFonts w:ascii="Times New Roman" w:eastAsia="Calibri" w:hAnsi="Times New Roman" w:cs="Times New Roman"/>
          <w:sz w:val="24"/>
          <w:szCs w:val="24"/>
        </w:rPr>
        <w:t>Complainants</w:t>
      </w:r>
      <w:r w:rsidR="00370E7D">
        <w:rPr>
          <w:rFonts w:ascii="Times New Roman" w:eastAsia="Calibri" w:hAnsi="Times New Roman" w:cs="Times New Roman"/>
          <w:sz w:val="24"/>
          <w:szCs w:val="24"/>
        </w:rPr>
        <w:t xml:space="preserve">, but denies the smart meter installed </w:t>
      </w:r>
      <w:r w:rsidR="00810052">
        <w:rPr>
          <w:rFonts w:ascii="Times New Roman" w:eastAsia="Calibri" w:hAnsi="Times New Roman" w:cs="Times New Roman"/>
          <w:sz w:val="24"/>
          <w:szCs w:val="24"/>
        </w:rPr>
        <w:t xml:space="preserve">poses a health, safety, or privacy risk.  </w:t>
      </w:r>
      <w:r w:rsidR="00810052">
        <w:rPr>
          <w:rFonts w:ascii="Times New Roman" w:eastAsia="Calibri" w:hAnsi="Times New Roman" w:cs="Times New Roman"/>
          <w:sz w:val="24"/>
          <w:szCs w:val="24"/>
        </w:rPr>
        <w:lastRenderedPageBreak/>
        <w:t xml:space="preserve">Further, Penelec avers it </w:t>
      </w:r>
      <w:r w:rsidR="00F6393F">
        <w:rPr>
          <w:rFonts w:ascii="Times New Roman" w:eastAsia="Calibri" w:hAnsi="Times New Roman" w:cs="Times New Roman"/>
          <w:sz w:val="24"/>
          <w:szCs w:val="24"/>
        </w:rPr>
        <w:t>is</w:t>
      </w:r>
      <w:r w:rsidR="009A502F" w:rsidRPr="009A502F">
        <w:rPr>
          <w:rFonts w:ascii="Times New Roman" w:eastAsia="Calibri" w:hAnsi="Times New Roman" w:cs="Times New Roman"/>
          <w:sz w:val="24"/>
          <w:szCs w:val="24"/>
        </w:rPr>
        <w:t xml:space="preserve"> legally required to install and retain the smart meter by the Public Utility Code, the Commission’s orders, and the Company’s Commission-approved Smart Meter Deployment Plan.</w:t>
      </w:r>
      <w:r w:rsidR="004C3A94">
        <w:rPr>
          <w:rFonts w:ascii="Times New Roman" w:eastAsia="Calibri" w:hAnsi="Times New Roman" w:cs="Times New Roman"/>
          <w:sz w:val="24"/>
          <w:szCs w:val="24"/>
        </w:rPr>
        <w:t xml:space="preserve">  </w:t>
      </w:r>
      <w:r w:rsidR="004C3A94" w:rsidRPr="004C3A94">
        <w:rPr>
          <w:rFonts w:ascii="Times New Roman" w:eastAsia="Calibri" w:hAnsi="Times New Roman" w:cs="Times New Roman"/>
          <w:i/>
          <w:iCs/>
          <w:sz w:val="24"/>
          <w:szCs w:val="24"/>
        </w:rPr>
        <w:t>See</w:t>
      </w:r>
      <w:r w:rsidR="004C3A94" w:rsidRPr="004C3A94">
        <w:rPr>
          <w:rFonts w:ascii="Times New Roman" w:eastAsia="Calibri" w:hAnsi="Times New Roman" w:cs="Times New Roman"/>
          <w:sz w:val="24"/>
          <w:szCs w:val="24"/>
        </w:rPr>
        <w:t xml:space="preserve"> 66 Pa.C.S. § 2807(f); </w:t>
      </w:r>
      <w:r w:rsidR="004C3A94" w:rsidRPr="004C3A94">
        <w:rPr>
          <w:rFonts w:ascii="Times New Roman" w:eastAsia="Calibri" w:hAnsi="Times New Roman" w:cs="Times New Roman"/>
          <w:i/>
          <w:iCs/>
          <w:sz w:val="24"/>
          <w:szCs w:val="24"/>
        </w:rPr>
        <w:t>Joint Petition of Metropolitan Edison Company, Pennsylvania Electric Company, and Pennsylvania Power Company for Approval of Smart Meter Technology Procurement and Installation Plan</w:t>
      </w:r>
      <w:r w:rsidR="004C3A94" w:rsidRPr="004C3A94">
        <w:rPr>
          <w:rFonts w:ascii="Times New Roman" w:eastAsia="Calibri" w:hAnsi="Times New Roman" w:cs="Times New Roman"/>
          <w:sz w:val="24"/>
          <w:szCs w:val="24"/>
        </w:rPr>
        <w:t>, Docket No. M-2009-2123950 (Order June</w:t>
      </w:r>
      <w:r w:rsidR="00D856E5">
        <w:rPr>
          <w:rFonts w:ascii="Times New Roman" w:eastAsia="Calibri" w:hAnsi="Times New Roman" w:cs="Times New Roman"/>
          <w:sz w:val="24"/>
          <w:szCs w:val="24"/>
        </w:rPr>
        <w:t> </w:t>
      </w:r>
      <w:r w:rsidR="004C3A94" w:rsidRPr="004C3A94">
        <w:rPr>
          <w:rFonts w:ascii="Times New Roman" w:eastAsia="Calibri" w:hAnsi="Times New Roman" w:cs="Times New Roman"/>
          <w:sz w:val="24"/>
          <w:szCs w:val="24"/>
        </w:rPr>
        <w:t>9, 2010).</w:t>
      </w:r>
    </w:p>
    <w:p w14:paraId="7CC47BF1" w14:textId="0EE0BD07" w:rsidR="0079761D" w:rsidRDefault="009A502F" w:rsidP="00F678BB">
      <w:pPr>
        <w:pStyle w:val="FootnoteText"/>
        <w:spacing w:line="360" w:lineRule="auto"/>
        <w:ind w:firstLine="720"/>
        <w:rPr>
          <w:rFonts w:ascii="Times New Roman" w:eastAsia="Calibri" w:hAnsi="Times New Roman" w:cs="Times New Roman"/>
          <w:sz w:val="24"/>
          <w:szCs w:val="24"/>
        </w:rPr>
      </w:pPr>
      <w:r w:rsidRPr="009A502F">
        <w:rPr>
          <w:rFonts w:ascii="Times New Roman" w:eastAsia="Calibri" w:hAnsi="Times New Roman" w:cs="Times New Roman"/>
          <w:sz w:val="24"/>
          <w:szCs w:val="24"/>
        </w:rPr>
        <w:t xml:space="preserve"> </w:t>
      </w:r>
      <w:r w:rsidR="00BD2678">
        <w:rPr>
          <w:rFonts w:ascii="Times New Roman" w:eastAsia="Calibri" w:hAnsi="Times New Roman" w:cs="Times New Roman"/>
          <w:sz w:val="24"/>
          <w:szCs w:val="24"/>
        </w:rPr>
        <w:t xml:space="preserve"> </w:t>
      </w:r>
    </w:p>
    <w:p w14:paraId="0E390DAB" w14:textId="1F6B7065" w:rsidR="0079761D" w:rsidRPr="00AD2138" w:rsidRDefault="0079761D" w:rsidP="00F678BB">
      <w:pPr>
        <w:pStyle w:val="FootnoteText"/>
        <w:spacing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ab/>
        <w:t xml:space="preserve">In its New Matter, Penelec avers </w:t>
      </w:r>
      <w:r w:rsidR="00FE5F79">
        <w:rPr>
          <w:rFonts w:ascii="Times New Roman" w:eastAsia="Calibri" w:hAnsi="Times New Roman" w:cs="Times New Roman"/>
          <w:sz w:val="24"/>
          <w:szCs w:val="24"/>
        </w:rPr>
        <w:t xml:space="preserve">the </w:t>
      </w:r>
      <w:r w:rsidR="00BE6875">
        <w:rPr>
          <w:rFonts w:ascii="Times New Roman" w:eastAsia="Calibri" w:hAnsi="Times New Roman" w:cs="Times New Roman"/>
          <w:sz w:val="24"/>
          <w:szCs w:val="24"/>
        </w:rPr>
        <w:t>Pennsylvania Supreme Court (</w:t>
      </w:r>
      <w:r w:rsidR="00067003">
        <w:rPr>
          <w:rFonts w:ascii="Times New Roman" w:eastAsia="Calibri" w:hAnsi="Times New Roman" w:cs="Times New Roman"/>
          <w:sz w:val="24"/>
          <w:szCs w:val="24"/>
        </w:rPr>
        <w:t>Supreme Court</w:t>
      </w:r>
      <w:r w:rsidR="00BE6875">
        <w:rPr>
          <w:rFonts w:ascii="Times New Roman" w:eastAsia="Calibri" w:hAnsi="Times New Roman" w:cs="Times New Roman"/>
          <w:sz w:val="24"/>
          <w:szCs w:val="24"/>
        </w:rPr>
        <w:t>)</w:t>
      </w:r>
      <w:r w:rsidR="00067003">
        <w:rPr>
          <w:rFonts w:ascii="Times New Roman" w:eastAsia="Calibri" w:hAnsi="Times New Roman" w:cs="Times New Roman"/>
          <w:sz w:val="24"/>
          <w:szCs w:val="24"/>
        </w:rPr>
        <w:t xml:space="preserve"> has recently ruled that the </w:t>
      </w:r>
      <w:r w:rsidR="00365520">
        <w:rPr>
          <w:rFonts w:ascii="Times New Roman" w:eastAsia="Calibri" w:hAnsi="Times New Roman" w:cs="Times New Roman"/>
          <w:sz w:val="24"/>
          <w:szCs w:val="24"/>
        </w:rPr>
        <w:t xml:space="preserve">Commission is unable to provide the requested </w:t>
      </w:r>
      <w:r w:rsidR="00FE5F79">
        <w:rPr>
          <w:rFonts w:ascii="Times New Roman" w:eastAsia="Calibri" w:hAnsi="Times New Roman" w:cs="Times New Roman"/>
          <w:sz w:val="24"/>
          <w:szCs w:val="24"/>
        </w:rPr>
        <w:t>relief sought by Complainants</w:t>
      </w:r>
      <w:r w:rsidR="008C22E9">
        <w:rPr>
          <w:rFonts w:ascii="Times New Roman" w:eastAsia="Calibri" w:hAnsi="Times New Roman" w:cs="Times New Roman"/>
          <w:sz w:val="24"/>
          <w:szCs w:val="24"/>
        </w:rPr>
        <w:t>, opt-out of the smart meter program</w:t>
      </w:r>
      <w:r w:rsidR="00067003">
        <w:rPr>
          <w:rFonts w:ascii="Times New Roman" w:eastAsia="Calibri" w:hAnsi="Times New Roman" w:cs="Times New Roman"/>
          <w:sz w:val="24"/>
          <w:szCs w:val="24"/>
        </w:rPr>
        <w:t>.</w:t>
      </w:r>
      <w:r w:rsidR="00AD2138">
        <w:rPr>
          <w:rFonts w:ascii="Times New Roman" w:eastAsia="Calibri" w:hAnsi="Times New Roman" w:cs="Times New Roman"/>
          <w:sz w:val="24"/>
          <w:szCs w:val="24"/>
        </w:rPr>
        <w:t xml:space="preserve">  </w:t>
      </w:r>
      <w:r w:rsidR="00AD2138" w:rsidRPr="00AD2138">
        <w:rPr>
          <w:rFonts w:ascii="Times New Roman" w:hAnsi="Times New Roman" w:cs="Times New Roman"/>
          <w:i/>
          <w:iCs/>
          <w:sz w:val="24"/>
          <w:szCs w:val="24"/>
        </w:rPr>
        <w:t xml:space="preserve">See </w:t>
      </w:r>
      <w:proofErr w:type="spellStart"/>
      <w:r w:rsidR="00AD2138" w:rsidRPr="00AD2138">
        <w:rPr>
          <w:rFonts w:ascii="Times New Roman" w:hAnsi="Times New Roman" w:cs="Times New Roman"/>
          <w:i/>
          <w:iCs/>
          <w:sz w:val="24"/>
          <w:szCs w:val="24"/>
        </w:rPr>
        <w:t>Povacz</w:t>
      </w:r>
      <w:proofErr w:type="spellEnd"/>
      <w:r w:rsidR="00AD2138" w:rsidRPr="00AD2138">
        <w:rPr>
          <w:rFonts w:ascii="Times New Roman" w:hAnsi="Times New Roman" w:cs="Times New Roman"/>
          <w:i/>
          <w:iCs/>
          <w:sz w:val="24"/>
          <w:szCs w:val="24"/>
        </w:rPr>
        <w:t xml:space="preserve"> v. Pa. PUC</w:t>
      </w:r>
      <w:r w:rsidR="00AD2138" w:rsidRPr="00AD2138">
        <w:rPr>
          <w:rFonts w:ascii="Times New Roman" w:hAnsi="Times New Roman" w:cs="Times New Roman"/>
          <w:sz w:val="24"/>
          <w:szCs w:val="24"/>
        </w:rPr>
        <w:t>, 280 A.3d 975 (Pa. 2022).</w:t>
      </w:r>
    </w:p>
    <w:p w14:paraId="2B39008A" w14:textId="77777777" w:rsidR="003B2609" w:rsidRDefault="003B2609" w:rsidP="00F678BB">
      <w:pPr>
        <w:pStyle w:val="FootnoteText"/>
        <w:spacing w:line="360" w:lineRule="auto"/>
        <w:ind w:firstLine="720"/>
        <w:rPr>
          <w:rFonts w:ascii="Times New Roman" w:eastAsia="Calibri" w:hAnsi="Times New Roman" w:cs="Times New Roman"/>
          <w:sz w:val="24"/>
          <w:szCs w:val="24"/>
        </w:rPr>
      </w:pPr>
    </w:p>
    <w:p w14:paraId="742B58A3" w14:textId="0B9A48E2" w:rsidR="003B2609" w:rsidRDefault="003B2609" w:rsidP="00F678BB">
      <w:pPr>
        <w:pStyle w:val="FootnoteText"/>
        <w:spacing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ab/>
        <w:t xml:space="preserve">The New Matter included a </w:t>
      </w:r>
      <w:r w:rsidR="00E63B1E">
        <w:rPr>
          <w:rFonts w:ascii="Times New Roman" w:eastAsia="Calibri" w:hAnsi="Times New Roman" w:cs="Times New Roman"/>
          <w:sz w:val="24"/>
          <w:szCs w:val="24"/>
        </w:rPr>
        <w:t xml:space="preserve">Notice to Plead, directing Complainants to file a response within </w:t>
      </w:r>
      <w:r w:rsidR="00306FCC">
        <w:rPr>
          <w:rFonts w:ascii="Times New Roman" w:eastAsia="Calibri" w:hAnsi="Times New Roman" w:cs="Times New Roman"/>
          <w:sz w:val="24"/>
          <w:szCs w:val="24"/>
        </w:rPr>
        <w:t xml:space="preserve">twenty days of service.  </w:t>
      </w:r>
    </w:p>
    <w:p w14:paraId="20FDA782" w14:textId="77777777" w:rsidR="00306FCC" w:rsidRDefault="00306FCC" w:rsidP="00F678BB">
      <w:pPr>
        <w:pStyle w:val="FootnoteText"/>
        <w:spacing w:line="360" w:lineRule="auto"/>
        <w:ind w:firstLine="720"/>
        <w:rPr>
          <w:rFonts w:ascii="Times New Roman" w:eastAsia="Calibri" w:hAnsi="Times New Roman" w:cs="Times New Roman"/>
          <w:sz w:val="24"/>
          <w:szCs w:val="24"/>
        </w:rPr>
      </w:pPr>
    </w:p>
    <w:p w14:paraId="487A68E1" w14:textId="53670AE3" w:rsidR="00306FCC" w:rsidRDefault="00306FCC" w:rsidP="00F678BB">
      <w:pPr>
        <w:pStyle w:val="FootnoteText"/>
        <w:spacing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ab/>
      </w:r>
      <w:r w:rsidR="00796195">
        <w:rPr>
          <w:rFonts w:ascii="Times New Roman" w:eastAsia="Calibri" w:hAnsi="Times New Roman" w:cs="Times New Roman"/>
          <w:sz w:val="24"/>
          <w:szCs w:val="24"/>
        </w:rPr>
        <w:t xml:space="preserve">In the </w:t>
      </w:r>
      <w:r>
        <w:rPr>
          <w:rFonts w:ascii="Times New Roman" w:eastAsia="Calibri" w:hAnsi="Times New Roman" w:cs="Times New Roman"/>
          <w:sz w:val="24"/>
          <w:szCs w:val="24"/>
        </w:rPr>
        <w:t>Preliminary Objection</w:t>
      </w:r>
      <w:r w:rsidR="00796195">
        <w:rPr>
          <w:rFonts w:ascii="Times New Roman" w:eastAsia="Calibri" w:hAnsi="Times New Roman" w:cs="Times New Roman"/>
          <w:sz w:val="24"/>
          <w:szCs w:val="24"/>
        </w:rPr>
        <w:t xml:space="preserve">, </w:t>
      </w:r>
      <w:r w:rsidR="001C0B09">
        <w:rPr>
          <w:rFonts w:ascii="Times New Roman" w:eastAsia="Calibri" w:hAnsi="Times New Roman" w:cs="Times New Roman"/>
          <w:sz w:val="24"/>
          <w:szCs w:val="24"/>
        </w:rPr>
        <w:t xml:space="preserve">Penelec argues the Complaint is legally insufficient because </w:t>
      </w:r>
      <w:r w:rsidR="009B5C7E">
        <w:rPr>
          <w:rFonts w:ascii="Times New Roman" w:eastAsia="Calibri" w:hAnsi="Times New Roman" w:cs="Times New Roman"/>
          <w:sz w:val="24"/>
          <w:szCs w:val="24"/>
        </w:rPr>
        <w:t>Complainants</w:t>
      </w:r>
      <w:r w:rsidR="001C0B09">
        <w:rPr>
          <w:rFonts w:ascii="Times New Roman" w:eastAsia="Calibri" w:hAnsi="Times New Roman" w:cs="Times New Roman"/>
          <w:sz w:val="24"/>
          <w:szCs w:val="24"/>
        </w:rPr>
        <w:t xml:space="preserve"> seek relief the Commission is </w:t>
      </w:r>
      <w:r w:rsidR="009B5C7E">
        <w:rPr>
          <w:rFonts w:ascii="Times New Roman" w:eastAsia="Calibri" w:hAnsi="Times New Roman" w:cs="Times New Roman"/>
          <w:sz w:val="24"/>
          <w:szCs w:val="24"/>
        </w:rPr>
        <w:t>unable to provide as a matter of law.</w:t>
      </w:r>
    </w:p>
    <w:p w14:paraId="44886827" w14:textId="77777777" w:rsidR="00306FCC" w:rsidRDefault="00306FCC" w:rsidP="00F678BB">
      <w:pPr>
        <w:pStyle w:val="FootnoteText"/>
        <w:spacing w:line="360" w:lineRule="auto"/>
        <w:ind w:firstLine="720"/>
        <w:rPr>
          <w:rFonts w:ascii="Times New Roman" w:eastAsia="Calibri" w:hAnsi="Times New Roman" w:cs="Times New Roman"/>
          <w:sz w:val="24"/>
          <w:szCs w:val="24"/>
        </w:rPr>
      </w:pPr>
    </w:p>
    <w:p w14:paraId="51E65EC1" w14:textId="331999A1" w:rsidR="00306FCC" w:rsidRDefault="00306FCC" w:rsidP="00F678BB">
      <w:pPr>
        <w:pStyle w:val="FootnoteText"/>
        <w:spacing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ab/>
        <w:t xml:space="preserve">The Preliminary Objection included a Notice to Plead, directing Complainants to file a response within ten days of service.  </w:t>
      </w:r>
    </w:p>
    <w:p w14:paraId="5D5065FD" w14:textId="77777777" w:rsidR="00BD2678" w:rsidRDefault="00BD2678" w:rsidP="00F678BB">
      <w:pPr>
        <w:pStyle w:val="FootnoteText"/>
        <w:spacing w:line="360" w:lineRule="auto"/>
        <w:ind w:firstLine="720"/>
        <w:rPr>
          <w:rFonts w:ascii="Times New Roman" w:eastAsia="Calibri" w:hAnsi="Times New Roman" w:cs="Times New Roman"/>
          <w:sz w:val="24"/>
          <w:szCs w:val="24"/>
        </w:rPr>
      </w:pPr>
    </w:p>
    <w:p w14:paraId="415B5CF0" w14:textId="765CAA8C" w:rsidR="00D338ED" w:rsidRPr="006A685B" w:rsidRDefault="0015174C" w:rsidP="00656F09">
      <w:pPr>
        <w:pStyle w:val="ListNumber"/>
        <w:numPr>
          <w:ilvl w:val="0"/>
          <w:numId w:val="0"/>
        </w:numPr>
        <w:spacing w:line="360" w:lineRule="auto"/>
        <w:ind w:firstLine="1440"/>
        <w:jc w:val="left"/>
        <w:rPr>
          <w:rFonts w:eastAsia="Calibri"/>
          <w:szCs w:val="24"/>
        </w:rPr>
      </w:pPr>
      <w:r>
        <w:rPr>
          <w:rFonts w:eastAsia="Calibri"/>
          <w:szCs w:val="24"/>
        </w:rPr>
        <w:t>Complainants did not file a response to either the New Matter or the Preli</w:t>
      </w:r>
      <w:r w:rsidR="009D367B">
        <w:rPr>
          <w:rFonts w:eastAsia="Calibri"/>
          <w:szCs w:val="24"/>
        </w:rPr>
        <w:t xml:space="preserve">minary Objection.  </w:t>
      </w:r>
    </w:p>
    <w:p w14:paraId="37144B3D" w14:textId="77777777" w:rsidR="00685BD0" w:rsidRPr="006A685B" w:rsidRDefault="00685BD0" w:rsidP="00391AF1">
      <w:pPr>
        <w:pStyle w:val="ListNumber"/>
        <w:numPr>
          <w:ilvl w:val="0"/>
          <w:numId w:val="0"/>
        </w:numPr>
        <w:spacing w:line="360" w:lineRule="auto"/>
        <w:jc w:val="left"/>
        <w:rPr>
          <w:rFonts w:eastAsia="Calibri"/>
          <w:i/>
          <w:iCs/>
          <w:szCs w:val="24"/>
          <w:u w:val="single"/>
        </w:rPr>
      </w:pPr>
    </w:p>
    <w:p w14:paraId="39E11608" w14:textId="2C4D932F" w:rsidR="00DE0B7A" w:rsidRPr="006A685B" w:rsidRDefault="00391AF1" w:rsidP="00391AF1">
      <w:pPr>
        <w:pStyle w:val="ListNumber"/>
        <w:numPr>
          <w:ilvl w:val="0"/>
          <w:numId w:val="0"/>
        </w:numPr>
        <w:spacing w:line="360" w:lineRule="auto"/>
        <w:jc w:val="left"/>
        <w:rPr>
          <w:rFonts w:eastAsia="Calibri"/>
          <w:szCs w:val="24"/>
          <w:u w:val="single"/>
        </w:rPr>
      </w:pPr>
      <w:proofErr w:type="spellStart"/>
      <w:r w:rsidRPr="006A685B">
        <w:rPr>
          <w:rFonts w:eastAsia="Calibri"/>
          <w:i/>
          <w:iCs/>
          <w:szCs w:val="24"/>
          <w:u w:val="single"/>
        </w:rPr>
        <w:t>Pova</w:t>
      </w:r>
      <w:r w:rsidR="007C079D" w:rsidRPr="006A685B">
        <w:rPr>
          <w:rFonts w:eastAsia="Calibri"/>
          <w:i/>
          <w:iCs/>
          <w:szCs w:val="24"/>
          <w:u w:val="single"/>
        </w:rPr>
        <w:t>c</w:t>
      </w:r>
      <w:r w:rsidRPr="006A685B">
        <w:rPr>
          <w:rFonts w:eastAsia="Calibri"/>
          <w:i/>
          <w:iCs/>
          <w:szCs w:val="24"/>
          <w:u w:val="single"/>
        </w:rPr>
        <w:t>z</w:t>
      </w:r>
      <w:proofErr w:type="spellEnd"/>
      <w:r w:rsidR="003578C0" w:rsidRPr="006A685B">
        <w:rPr>
          <w:rFonts w:eastAsia="Calibri"/>
          <w:i/>
          <w:iCs/>
          <w:szCs w:val="24"/>
          <w:u w:val="single"/>
        </w:rPr>
        <w:t xml:space="preserve"> I, </w:t>
      </w:r>
      <w:proofErr w:type="spellStart"/>
      <w:r w:rsidR="00737CCE" w:rsidRPr="006A685B">
        <w:rPr>
          <w:rFonts w:eastAsia="Calibri"/>
          <w:i/>
          <w:iCs/>
          <w:szCs w:val="24"/>
          <w:u w:val="single"/>
        </w:rPr>
        <w:t>Povacz</w:t>
      </w:r>
      <w:proofErr w:type="spellEnd"/>
      <w:r w:rsidR="00737CCE" w:rsidRPr="006A685B">
        <w:rPr>
          <w:rFonts w:eastAsia="Calibri"/>
          <w:i/>
          <w:iCs/>
          <w:szCs w:val="24"/>
          <w:u w:val="single"/>
        </w:rPr>
        <w:t xml:space="preserve"> II,</w:t>
      </w:r>
      <w:r w:rsidRPr="006A685B">
        <w:rPr>
          <w:rFonts w:eastAsia="Calibri"/>
          <w:szCs w:val="24"/>
          <w:u w:val="single"/>
        </w:rPr>
        <w:t xml:space="preserve"> </w:t>
      </w:r>
      <w:r w:rsidR="007C079D" w:rsidRPr="006A685B">
        <w:rPr>
          <w:rFonts w:eastAsia="Calibri"/>
          <w:szCs w:val="24"/>
          <w:u w:val="single"/>
        </w:rPr>
        <w:t>and The Commission’s Stay Order</w:t>
      </w:r>
    </w:p>
    <w:p w14:paraId="0FA7C02E" w14:textId="77777777" w:rsidR="00DE0B7A" w:rsidRPr="006A685B" w:rsidRDefault="00DE0B7A" w:rsidP="00656F09">
      <w:pPr>
        <w:pStyle w:val="ListNumber"/>
        <w:numPr>
          <w:ilvl w:val="0"/>
          <w:numId w:val="0"/>
        </w:numPr>
        <w:spacing w:line="360" w:lineRule="auto"/>
        <w:ind w:firstLine="1440"/>
        <w:jc w:val="left"/>
        <w:rPr>
          <w:rFonts w:eastAsia="Calibri"/>
          <w:szCs w:val="24"/>
        </w:rPr>
      </w:pPr>
    </w:p>
    <w:p w14:paraId="68F91C1A" w14:textId="130ECA86" w:rsidR="00DF112E" w:rsidRPr="006A685B" w:rsidRDefault="00EC7ED5" w:rsidP="00656F09">
      <w:pPr>
        <w:pStyle w:val="ListNumber"/>
        <w:numPr>
          <w:ilvl w:val="0"/>
          <w:numId w:val="0"/>
        </w:numPr>
        <w:spacing w:line="360" w:lineRule="auto"/>
        <w:ind w:firstLine="1440"/>
        <w:jc w:val="left"/>
        <w:rPr>
          <w:szCs w:val="24"/>
        </w:rPr>
      </w:pPr>
      <w:r w:rsidRPr="006A685B">
        <w:rPr>
          <w:szCs w:val="24"/>
        </w:rPr>
        <w:t xml:space="preserve">On October 8, 2020, the Commonwealth Court of Pennsylvania (Commonwealth Court) issued an Opinion in </w:t>
      </w:r>
      <w:proofErr w:type="spellStart"/>
      <w:r w:rsidRPr="006A685B">
        <w:rPr>
          <w:i/>
          <w:iCs/>
          <w:szCs w:val="24"/>
        </w:rPr>
        <w:t>Povacz</w:t>
      </w:r>
      <w:proofErr w:type="spellEnd"/>
      <w:r w:rsidRPr="006A685B">
        <w:rPr>
          <w:i/>
          <w:iCs/>
          <w:szCs w:val="24"/>
        </w:rPr>
        <w:t>, et al. v. Pa. Public Utility Commission</w:t>
      </w:r>
      <w:r w:rsidRPr="006A685B">
        <w:rPr>
          <w:szCs w:val="24"/>
        </w:rPr>
        <w:t>, 241 A.3d 481 (Pa. Cmwlth. 2020) (</w:t>
      </w:r>
      <w:proofErr w:type="spellStart"/>
      <w:r w:rsidRPr="006A685B">
        <w:rPr>
          <w:i/>
          <w:iCs/>
          <w:szCs w:val="24"/>
        </w:rPr>
        <w:t>Povacz</w:t>
      </w:r>
      <w:proofErr w:type="spellEnd"/>
      <w:r w:rsidRPr="006A685B">
        <w:rPr>
          <w:i/>
          <w:iCs/>
          <w:szCs w:val="24"/>
        </w:rPr>
        <w:t xml:space="preserve"> I</w:t>
      </w:r>
      <w:r w:rsidRPr="006A685B">
        <w:rPr>
          <w:szCs w:val="24"/>
        </w:rPr>
        <w:t>), the first of several appeals involving PECO Energy Company’s (PECO) deployment of smart meter technology pursuant to</w:t>
      </w:r>
      <w:r w:rsidR="00BF0573" w:rsidRPr="006A685B">
        <w:rPr>
          <w:szCs w:val="24"/>
        </w:rPr>
        <w:t xml:space="preserve"> </w:t>
      </w:r>
      <w:r w:rsidRPr="006A685B">
        <w:rPr>
          <w:szCs w:val="24"/>
        </w:rPr>
        <w:t xml:space="preserve">Act 129, codified at 66 Pa. C.S. § 2807(f). </w:t>
      </w:r>
      <w:r w:rsidR="00BF0573" w:rsidRPr="006A685B">
        <w:rPr>
          <w:szCs w:val="24"/>
        </w:rPr>
        <w:t xml:space="preserve"> </w:t>
      </w:r>
      <w:r w:rsidRPr="006A685B">
        <w:rPr>
          <w:szCs w:val="24"/>
        </w:rPr>
        <w:t xml:space="preserve">In the </w:t>
      </w:r>
      <w:proofErr w:type="spellStart"/>
      <w:r w:rsidRPr="006A685B">
        <w:rPr>
          <w:i/>
          <w:iCs/>
          <w:szCs w:val="24"/>
        </w:rPr>
        <w:t>Povacz</w:t>
      </w:r>
      <w:proofErr w:type="spellEnd"/>
      <w:r w:rsidRPr="006A685B">
        <w:rPr>
          <w:i/>
          <w:iCs/>
          <w:szCs w:val="24"/>
        </w:rPr>
        <w:t xml:space="preserve"> I</w:t>
      </w:r>
      <w:r w:rsidRPr="006A685B">
        <w:rPr>
          <w:szCs w:val="24"/>
        </w:rPr>
        <w:t xml:space="preserve"> consolidated opinion, the Commonwealth Court partially affirmed, and </w:t>
      </w:r>
      <w:r w:rsidRPr="006A685B">
        <w:rPr>
          <w:szCs w:val="24"/>
        </w:rPr>
        <w:lastRenderedPageBreak/>
        <w:t>partially reversed and remanded, the Commission’s March 28, 2019</w:t>
      </w:r>
      <w:r w:rsidR="00BF0573" w:rsidRPr="006A685B">
        <w:rPr>
          <w:szCs w:val="24"/>
        </w:rPr>
        <w:t>,</w:t>
      </w:r>
      <w:r w:rsidRPr="006A685B">
        <w:rPr>
          <w:szCs w:val="24"/>
        </w:rPr>
        <w:t xml:space="preserve"> and May 9, 2019</w:t>
      </w:r>
      <w:r w:rsidR="00A935C2" w:rsidRPr="006A685B">
        <w:rPr>
          <w:szCs w:val="24"/>
        </w:rPr>
        <w:t>,</w:t>
      </w:r>
      <w:r w:rsidRPr="006A685B">
        <w:rPr>
          <w:szCs w:val="24"/>
        </w:rPr>
        <w:t xml:space="preserve"> Orders in Maria </w:t>
      </w:r>
      <w:proofErr w:type="spellStart"/>
      <w:r w:rsidRPr="006A685B">
        <w:rPr>
          <w:szCs w:val="24"/>
        </w:rPr>
        <w:t>Povacz</w:t>
      </w:r>
      <w:proofErr w:type="spellEnd"/>
      <w:r w:rsidRPr="006A685B">
        <w:rPr>
          <w:szCs w:val="24"/>
        </w:rPr>
        <w:t xml:space="preserve">, Laura Sunstein Murphy, and Cynthia Randall.  </w:t>
      </w:r>
      <w:proofErr w:type="spellStart"/>
      <w:r w:rsidRPr="006A685B">
        <w:rPr>
          <w:i/>
          <w:iCs/>
          <w:szCs w:val="24"/>
        </w:rPr>
        <w:t>Povacz</w:t>
      </w:r>
      <w:proofErr w:type="spellEnd"/>
      <w:r w:rsidRPr="006A685B">
        <w:rPr>
          <w:i/>
          <w:iCs/>
          <w:szCs w:val="24"/>
        </w:rPr>
        <w:t xml:space="preserve"> I</w:t>
      </w:r>
      <w:r w:rsidRPr="006A685B">
        <w:rPr>
          <w:szCs w:val="24"/>
        </w:rPr>
        <w:t xml:space="preserve"> at 495. </w:t>
      </w:r>
      <w:r w:rsidR="00F07339" w:rsidRPr="006A685B">
        <w:rPr>
          <w:szCs w:val="24"/>
        </w:rPr>
        <w:t xml:space="preserve"> </w:t>
      </w:r>
      <w:r w:rsidRPr="006A685B">
        <w:rPr>
          <w:szCs w:val="24"/>
        </w:rPr>
        <w:t xml:space="preserve">Specifically, the Commonwealth Court, in </w:t>
      </w:r>
      <w:proofErr w:type="spellStart"/>
      <w:r w:rsidRPr="006A685B">
        <w:rPr>
          <w:i/>
          <w:iCs/>
          <w:szCs w:val="24"/>
        </w:rPr>
        <w:t>Povacz</w:t>
      </w:r>
      <w:proofErr w:type="spellEnd"/>
      <w:r w:rsidRPr="006A685B">
        <w:rPr>
          <w:i/>
          <w:iCs/>
          <w:szCs w:val="24"/>
        </w:rPr>
        <w:t xml:space="preserve"> I</w:t>
      </w:r>
      <w:r w:rsidRPr="006A685B">
        <w:rPr>
          <w:szCs w:val="24"/>
        </w:rPr>
        <w:t xml:space="preserve">, held that Act 129 does not mandate the installation of smart meters, and that the Commission had the authority to grant customers accommodations based on their health concerns. </w:t>
      </w:r>
      <w:r w:rsidR="00E50CEA" w:rsidRPr="006A685B">
        <w:rPr>
          <w:szCs w:val="24"/>
        </w:rPr>
        <w:t xml:space="preserve"> </w:t>
      </w:r>
      <w:r w:rsidRPr="006A685B">
        <w:rPr>
          <w:i/>
          <w:iCs/>
          <w:szCs w:val="24"/>
        </w:rPr>
        <w:t>Id.</w:t>
      </w:r>
      <w:r w:rsidRPr="006A685B">
        <w:rPr>
          <w:szCs w:val="24"/>
        </w:rPr>
        <w:t xml:space="preserve"> at 490. </w:t>
      </w:r>
      <w:r w:rsidR="00E50CEA" w:rsidRPr="006A685B">
        <w:rPr>
          <w:szCs w:val="24"/>
        </w:rPr>
        <w:t xml:space="preserve"> </w:t>
      </w:r>
      <w:r w:rsidRPr="006A685B">
        <w:rPr>
          <w:szCs w:val="24"/>
        </w:rPr>
        <w:t xml:space="preserve">However, the Commonwealth Court affirmed: (1) the Commission’s application of the preponderance of evidence standard; (2) the Commission’s finding that the customers in Maria </w:t>
      </w:r>
      <w:proofErr w:type="spellStart"/>
      <w:r w:rsidRPr="006A685B">
        <w:rPr>
          <w:szCs w:val="24"/>
        </w:rPr>
        <w:t>Povacz</w:t>
      </w:r>
      <w:proofErr w:type="spellEnd"/>
      <w:r w:rsidRPr="006A685B">
        <w:rPr>
          <w:szCs w:val="24"/>
        </w:rPr>
        <w:t xml:space="preserve">, Laura Sunstein Murphy, and Cynthia Randall failed to sustain their burden of proof; and (3) that the Commission’s findings of fact were supported by substantial evidence. </w:t>
      </w:r>
      <w:r w:rsidR="00E50CEA" w:rsidRPr="006A685B">
        <w:rPr>
          <w:szCs w:val="24"/>
        </w:rPr>
        <w:t xml:space="preserve"> </w:t>
      </w:r>
      <w:r w:rsidRPr="006A685B">
        <w:rPr>
          <w:i/>
          <w:iCs/>
          <w:szCs w:val="24"/>
        </w:rPr>
        <w:t>Id.</w:t>
      </w:r>
      <w:r w:rsidRPr="006A685B">
        <w:rPr>
          <w:szCs w:val="24"/>
        </w:rPr>
        <w:t xml:space="preserve"> at 490, 491, 493-495. </w:t>
      </w:r>
      <w:r w:rsidR="00E50CEA" w:rsidRPr="006A685B">
        <w:rPr>
          <w:szCs w:val="24"/>
        </w:rPr>
        <w:t xml:space="preserve"> </w:t>
      </w:r>
      <w:r w:rsidRPr="006A685B">
        <w:rPr>
          <w:szCs w:val="24"/>
        </w:rPr>
        <w:t xml:space="preserve">The Commonwealth Court also declined to find that the deployment of smart meters violated the customers’ Fourteenth Amendment liberty interests in bodily integrity. </w:t>
      </w:r>
      <w:r w:rsidR="00E50CEA" w:rsidRPr="006A685B">
        <w:rPr>
          <w:szCs w:val="24"/>
        </w:rPr>
        <w:t xml:space="preserve"> </w:t>
      </w:r>
      <w:r w:rsidRPr="006A685B">
        <w:rPr>
          <w:i/>
          <w:iCs/>
          <w:szCs w:val="24"/>
        </w:rPr>
        <w:t>Id</w:t>
      </w:r>
      <w:r w:rsidRPr="006A685B">
        <w:rPr>
          <w:szCs w:val="24"/>
        </w:rPr>
        <w:t xml:space="preserve">. at 487- 488. </w:t>
      </w:r>
      <w:r w:rsidR="00E50CEA" w:rsidRPr="006A685B">
        <w:rPr>
          <w:szCs w:val="24"/>
        </w:rPr>
        <w:t xml:space="preserve"> </w:t>
      </w:r>
    </w:p>
    <w:p w14:paraId="263FFBE4" w14:textId="77777777" w:rsidR="00DF112E" w:rsidRPr="006A685B" w:rsidRDefault="00DF112E" w:rsidP="00656F09">
      <w:pPr>
        <w:pStyle w:val="ListNumber"/>
        <w:numPr>
          <w:ilvl w:val="0"/>
          <w:numId w:val="0"/>
        </w:numPr>
        <w:spacing w:line="360" w:lineRule="auto"/>
        <w:ind w:firstLine="1440"/>
        <w:jc w:val="left"/>
        <w:rPr>
          <w:szCs w:val="24"/>
        </w:rPr>
      </w:pPr>
    </w:p>
    <w:p w14:paraId="1144B9CF" w14:textId="38A03504" w:rsidR="00150072" w:rsidRPr="006A685B" w:rsidRDefault="00EC7ED5" w:rsidP="00656F09">
      <w:pPr>
        <w:pStyle w:val="ListNumber"/>
        <w:numPr>
          <w:ilvl w:val="0"/>
          <w:numId w:val="0"/>
        </w:numPr>
        <w:spacing w:line="360" w:lineRule="auto"/>
        <w:ind w:firstLine="1440"/>
        <w:jc w:val="left"/>
        <w:rPr>
          <w:szCs w:val="24"/>
        </w:rPr>
      </w:pPr>
      <w:r w:rsidRPr="006A685B">
        <w:rPr>
          <w:szCs w:val="24"/>
        </w:rPr>
        <w:t xml:space="preserve">In light of the Commonwealth Court’s decision in </w:t>
      </w:r>
      <w:proofErr w:type="spellStart"/>
      <w:r w:rsidRPr="006A685B">
        <w:rPr>
          <w:i/>
          <w:iCs/>
          <w:szCs w:val="24"/>
        </w:rPr>
        <w:t>Povacz</w:t>
      </w:r>
      <w:proofErr w:type="spellEnd"/>
      <w:r w:rsidRPr="006A685B">
        <w:rPr>
          <w:i/>
          <w:iCs/>
          <w:szCs w:val="24"/>
        </w:rPr>
        <w:t xml:space="preserve"> I</w:t>
      </w:r>
      <w:r w:rsidRPr="006A685B">
        <w:rPr>
          <w:szCs w:val="24"/>
        </w:rPr>
        <w:t xml:space="preserve">, the Commission entered an Order and Notice, at </w:t>
      </w:r>
      <w:r w:rsidR="0093086A" w:rsidRPr="006A685B">
        <w:rPr>
          <w:szCs w:val="24"/>
        </w:rPr>
        <w:t>Docket No. M-2009-2092655</w:t>
      </w:r>
      <w:r w:rsidRPr="006A685B">
        <w:rPr>
          <w:szCs w:val="24"/>
        </w:rPr>
        <w:t>, on November 4, 2020, pursuant to 66 Pa. C.S. § 501, instituting a stay of certain formal complaint proceedings then-pending before the Commission involving challenges to EDC deployment of smart meter technology as being in violation of Section 1501 of the Code (</w:t>
      </w:r>
      <w:r w:rsidRPr="006A685B">
        <w:rPr>
          <w:i/>
          <w:iCs/>
          <w:szCs w:val="24"/>
        </w:rPr>
        <w:t>November 4, 2020</w:t>
      </w:r>
      <w:r w:rsidR="00DF112E" w:rsidRPr="006A685B">
        <w:rPr>
          <w:i/>
          <w:iCs/>
          <w:szCs w:val="24"/>
        </w:rPr>
        <w:t>,</w:t>
      </w:r>
      <w:r w:rsidRPr="006A685B">
        <w:rPr>
          <w:i/>
          <w:iCs/>
          <w:szCs w:val="24"/>
        </w:rPr>
        <w:t xml:space="preserve"> Stay Order</w:t>
      </w:r>
      <w:r w:rsidRPr="006A685B">
        <w:rPr>
          <w:szCs w:val="24"/>
        </w:rPr>
        <w:t xml:space="preserve">). </w:t>
      </w:r>
      <w:r w:rsidR="00DF112E" w:rsidRPr="006A685B">
        <w:rPr>
          <w:szCs w:val="24"/>
        </w:rPr>
        <w:t xml:space="preserve"> </w:t>
      </w:r>
      <w:r w:rsidRPr="006A685B">
        <w:rPr>
          <w:i/>
          <w:iCs/>
          <w:szCs w:val="24"/>
        </w:rPr>
        <w:t>The November 4, 2020</w:t>
      </w:r>
      <w:r w:rsidR="00DF112E" w:rsidRPr="006A685B">
        <w:rPr>
          <w:i/>
          <w:iCs/>
          <w:szCs w:val="24"/>
        </w:rPr>
        <w:t>,</w:t>
      </w:r>
      <w:r w:rsidRPr="006A685B">
        <w:rPr>
          <w:i/>
          <w:iCs/>
          <w:szCs w:val="24"/>
        </w:rPr>
        <w:t xml:space="preserve"> Stay Order</w:t>
      </w:r>
      <w:r w:rsidRPr="006A685B">
        <w:rPr>
          <w:szCs w:val="24"/>
        </w:rPr>
        <w:t xml:space="preserve"> also directed that the stay would apply to any new formal complaints filed with the Commission claiming that EDC deployment of smart meter</w:t>
      </w:r>
      <w:r w:rsidR="00DF112E" w:rsidRPr="006A685B">
        <w:rPr>
          <w:szCs w:val="24"/>
        </w:rPr>
        <w:t xml:space="preserve"> </w:t>
      </w:r>
      <w:r w:rsidRPr="006A685B">
        <w:rPr>
          <w:szCs w:val="24"/>
        </w:rPr>
        <w:t xml:space="preserve">technology was a violation of Section 1501, and that the stay would remain in place until it was lifted by further Commission action. </w:t>
      </w:r>
      <w:r w:rsidR="00DF112E" w:rsidRPr="006A685B">
        <w:rPr>
          <w:szCs w:val="24"/>
        </w:rPr>
        <w:t xml:space="preserve"> </w:t>
      </w:r>
      <w:r w:rsidR="0030330E" w:rsidRPr="006A685B">
        <w:rPr>
          <w:szCs w:val="24"/>
        </w:rPr>
        <w:t xml:space="preserve">The </w:t>
      </w:r>
      <w:r w:rsidR="0030330E" w:rsidRPr="006A685B">
        <w:rPr>
          <w:i/>
          <w:iCs/>
          <w:szCs w:val="24"/>
        </w:rPr>
        <w:t xml:space="preserve">November 4, 2020, Stay Order </w:t>
      </w:r>
      <w:r w:rsidR="0030330E" w:rsidRPr="006A685B">
        <w:rPr>
          <w:szCs w:val="24"/>
        </w:rPr>
        <w:t xml:space="preserve">applied to and was docketed at </w:t>
      </w:r>
      <w:r w:rsidR="008F3C55" w:rsidRPr="006A685B">
        <w:rPr>
          <w:szCs w:val="24"/>
        </w:rPr>
        <w:t>the instant case.</w:t>
      </w:r>
    </w:p>
    <w:p w14:paraId="489E0622" w14:textId="77777777" w:rsidR="00150072" w:rsidRPr="006A685B" w:rsidRDefault="00150072" w:rsidP="00656F09">
      <w:pPr>
        <w:pStyle w:val="ListNumber"/>
        <w:numPr>
          <w:ilvl w:val="0"/>
          <w:numId w:val="0"/>
        </w:numPr>
        <w:spacing w:line="360" w:lineRule="auto"/>
        <w:ind w:firstLine="1440"/>
        <w:jc w:val="left"/>
        <w:rPr>
          <w:szCs w:val="24"/>
        </w:rPr>
      </w:pPr>
    </w:p>
    <w:p w14:paraId="770E490B" w14:textId="1498E536" w:rsidR="001A7ECE" w:rsidRPr="006A685B" w:rsidRDefault="00EC7ED5" w:rsidP="00656F09">
      <w:pPr>
        <w:pStyle w:val="ListNumber"/>
        <w:numPr>
          <w:ilvl w:val="0"/>
          <w:numId w:val="0"/>
        </w:numPr>
        <w:spacing w:line="360" w:lineRule="auto"/>
        <w:ind w:firstLine="1440"/>
        <w:jc w:val="left"/>
        <w:rPr>
          <w:rFonts w:eastAsia="Calibri"/>
          <w:szCs w:val="24"/>
        </w:rPr>
      </w:pPr>
      <w:r w:rsidRPr="006A685B">
        <w:rPr>
          <w:szCs w:val="24"/>
        </w:rPr>
        <w:t xml:space="preserve">The Commission, as well as all other parties in </w:t>
      </w:r>
      <w:proofErr w:type="spellStart"/>
      <w:r w:rsidRPr="006A685B">
        <w:rPr>
          <w:i/>
          <w:iCs/>
          <w:szCs w:val="24"/>
        </w:rPr>
        <w:t>Povacz</w:t>
      </w:r>
      <w:proofErr w:type="spellEnd"/>
      <w:r w:rsidRPr="006A685B">
        <w:rPr>
          <w:i/>
          <w:iCs/>
          <w:szCs w:val="24"/>
        </w:rPr>
        <w:t xml:space="preserve"> I</w:t>
      </w:r>
      <w:r w:rsidRPr="006A685B">
        <w:rPr>
          <w:szCs w:val="24"/>
        </w:rPr>
        <w:t xml:space="preserve"> subsequently sought and were granted review of the Commonwealth Court’s </w:t>
      </w:r>
      <w:proofErr w:type="spellStart"/>
      <w:r w:rsidRPr="006A685B">
        <w:rPr>
          <w:i/>
          <w:iCs/>
          <w:szCs w:val="24"/>
        </w:rPr>
        <w:t>Povacz</w:t>
      </w:r>
      <w:proofErr w:type="spellEnd"/>
      <w:r w:rsidRPr="006A685B">
        <w:rPr>
          <w:i/>
          <w:iCs/>
          <w:szCs w:val="24"/>
        </w:rPr>
        <w:t xml:space="preserve"> I</w:t>
      </w:r>
      <w:r w:rsidRPr="006A685B">
        <w:rPr>
          <w:szCs w:val="24"/>
        </w:rPr>
        <w:t xml:space="preserve"> decision by the Supreme Court of Pennsylvania</w:t>
      </w:r>
      <w:r w:rsidR="00DF112E" w:rsidRPr="006A685B">
        <w:rPr>
          <w:szCs w:val="24"/>
        </w:rPr>
        <w:t>.</w:t>
      </w:r>
    </w:p>
    <w:p w14:paraId="1635F729" w14:textId="77777777" w:rsidR="001A7ECE" w:rsidRPr="006A685B" w:rsidRDefault="001A7ECE" w:rsidP="00656F09">
      <w:pPr>
        <w:pStyle w:val="ListNumber"/>
        <w:numPr>
          <w:ilvl w:val="0"/>
          <w:numId w:val="0"/>
        </w:numPr>
        <w:spacing w:line="360" w:lineRule="auto"/>
        <w:ind w:firstLine="1440"/>
        <w:jc w:val="left"/>
        <w:rPr>
          <w:rFonts w:eastAsia="Calibri"/>
          <w:szCs w:val="24"/>
        </w:rPr>
      </w:pPr>
    </w:p>
    <w:p w14:paraId="7A1F993E" w14:textId="77777777" w:rsidR="00F31455" w:rsidRDefault="00BB5DA2" w:rsidP="00F31455">
      <w:pPr>
        <w:pStyle w:val="ListNumber"/>
        <w:numPr>
          <w:ilvl w:val="0"/>
          <w:numId w:val="0"/>
        </w:numPr>
        <w:spacing w:line="360" w:lineRule="auto"/>
        <w:ind w:firstLine="1440"/>
        <w:jc w:val="left"/>
        <w:rPr>
          <w:szCs w:val="24"/>
        </w:rPr>
      </w:pPr>
      <w:r w:rsidRPr="006A685B">
        <w:rPr>
          <w:szCs w:val="24"/>
        </w:rPr>
        <w:t xml:space="preserve">Previously, the Commonwealth Court stayed the proceedings in several other unconsolidated appeals that raised the same, or similar, smart meter issues pending its disposition of </w:t>
      </w:r>
      <w:proofErr w:type="spellStart"/>
      <w:r w:rsidRPr="006A685B">
        <w:rPr>
          <w:i/>
          <w:iCs/>
          <w:szCs w:val="24"/>
        </w:rPr>
        <w:t>Povacz</w:t>
      </w:r>
      <w:proofErr w:type="spellEnd"/>
      <w:r w:rsidRPr="006A685B">
        <w:rPr>
          <w:i/>
          <w:iCs/>
          <w:szCs w:val="24"/>
        </w:rPr>
        <w:t xml:space="preserve"> I</w:t>
      </w:r>
      <w:r w:rsidRPr="006A685B">
        <w:rPr>
          <w:szCs w:val="24"/>
        </w:rPr>
        <w:t xml:space="preserve">.  Upon application by the Commission, the Commonwealth Court continued the stay of these appeals pending the Supreme Court’s disposition of </w:t>
      </w:r>
      <w:proofErr w:type="spellStart"/>
      <w:r w:rsidRPr="006A685B">
        <w:rPr>
          <w:i/>
          <w:iCs/>
          <w:szCs w:val="24"/>
        </w:rPr>
        <w:t>Povacz</w:t>
      </w:r>
      <w:proofErr w:type="spellEnd"/>
      <w:r w:rsidRPr="006A685B">
        <w:rPr>
          <w:i/>
          <w:iCs/>
          <w:szCs w:val="24"/>
        </w:rPr>
        <w:t xml:space="preserve"> II</w:t>
      </w:r>
      <w:r w:rsidRPr="006A685B">
        <w:rPr>
          <w:szCs w:val="24"/>
        </w:rPr>
        <w:t xml:space="preserve">.  </w:t>
      </w:r>
    </w:p>
    <w:p w14:paraId="0458A84F" w14:textId="77777777" w:rsidR="00D26D16" w:rsidRPr="006A685B" w:rsidRDefault="00D26D16" w:rsidP="00F31455">
      <w:pPr>
        <w:pStyle w:val="ListNumber"/>
        <w:numPr>
          <w:ilvl w:val="0"/>
          <w:numId w:val="0"/>
        </w:numPr>
        <w:spacing w:line="360" w:lineRule="auto"/>
        <w:ind w:firstLine="1440"/>
        <w:jc w:val="left"/>
        <w:rPr>
          <w:szCs w:val="24"/>
        </w:rPr>
      </w:pPr>
    </w:p>
    <w:p w14:paraId="4F8F203B" w14:textId="0039C15F" w:rsidR="001A7ECE" w:rsidRPr="006A685B" w:rsidRDefault="00F31455" w:rsidP="00F31455">
      <w:pPr>
        <w:pStyle w:val="ListNumber"/>
        <w:numPr>
          <w:ilvl w:val="0"/>
          <w:numId w:val="0"/>
        </w:numPr>
        <w:spacing w:line="360" w:lineRule="auto"/>
        <w:ind w:firstLine="1440"/>
        <w:jc w:val="left"/>
        <w:rPr>
          <w:szCs w:val="24"/>
        </w:rPr>
      </w:pPr>
      <w:r w:rsidRPr="006A685B">
        <w:rPr>
          <w:szCs w:val="24"/>
        </w:rPr>
        <w:lastRenderedPageBreak/>
        <w:t xml:space="preserve">On August 16, 2022, the Supreme Court issued an Opinion and Order, </w:t>
      </w:r>
      <w:proofErr w:type="spellStart"/>
      <w:r w:rsidRPr="006A685B">
        <w:rPr>
          <w:i/>
          <w:iCs/>
          <w:szCs w:val="24"/>
        </w:rPr>
        <w:t>Povacz</w:t>
      </w:r>
      <w:proofErr w:type="spellEnd"/>
      <w:r w:rsidRPr="006A685B">
        <w:rPr>
          <w:i/>
          <w:iCs/>
          <w:szCs w:val="24"/>
        </w:rPr>
        <w:t>, et al. v. Pa. Public Utility Commission</w:t>
      </w:r>
      <w:r w:rsidRPr="006A685B">
        <w:rPr>
          <w:szCs w:val="24"/>
        </w:rPr>
        <w:t>, 280 A.3d 975 (Pa. 2022) (</w:t>
      </w:r>
      <w:proofErr w:type="spellStart"/>
      <w:r w:rsidRPr="006A685B">
        <w:rPr>
          <w:i/>
          <w:iCs/>
          <w:szCs w:val="24"/>
        </w:rPr>
        <w:t>Povacz</w:t>
      </w:r>
      <w:proofErr w:type="spellEnd"/>
      <w:r w:rsidRPr="006A685B">
        <w:rPr>
          <w:i/>
          <w:iCs/>
          <w:szCs w:val="24"/>
        </w:rPr>
        <w:t xml:space="preserve"> II</w:t>
      </w:r>
      <w:r w:rsidRPr="006A685B">
        <w:rPr>
          <w:szCs w:val="24"/>
        </w:rPr>
        <w:t>)</w:t>
      </w:r>
      <w:r w:rsidR="000A2AE7" w:rsidRPr="006A685B">
        <w:rPr>
          <w:szCs w:val="24"/>
        </w:rPr>
        <w:t xml:space="preserve">.  </w:t>
      </w:r>
      <w:r w:rsidR="00BB5DA2" w:rsidRPr="006A685B">
        <w:rPr>
          <w:szCs w:val="24"/>
        </w:rPr>
        <w:t xml:space="preserve">Since the Supreme Court’s issuance of its </w:t>
      </w:r>
      <w:proofErr w:type="spellStart"/>
      <w:r w:rsidR="00BB5DA2" w:rsidRPr="006A685B">
        <w:rPr>
          <w:i/>
          <w:iCs/>
          <w:szCs w:val="24"/>
        </w:rPr>
        <w:t>Povacz</w:t>
      </w:r>
      <w:proofErr w:type="spellEnd"/>
      <w:r w:rsidR="00BB5DA2" w:rsidRPr="006A685B">
        <w:rPr>
          <w:i/>
          <w:iCs/>
          <w:szCs w:val="24"/>
        </w:rPr>
        <w:t xml:space="preserve"> II</w:t>
      </w:r>
      <w:r w:rsidR="00BB5DA2" w:rsidRPr="006A685B">
        <w:rPr>
          <w:szCs w:val="24"/>
        </w:rPr>
        <w:t xml:space="preserve"> decision, the Commonwealth Court has lifted the stays on the remaining unconsolidated smart meter appeals and directed the parties to submit briefs, supplemental briefs, and other appropriate filings as warranted.  The Commonwealth Court has ultimately affirmed the Commission in several unpublished and published opinions.</w:t>
      </w:r>
      <w:r w:rsidR="000B5686" w:rsidRPr="006A685B">
        <w:rPr>
          <w:rStyle w:val="FootnoteReference"/>
          <w:szCs w:val="24"/>
        </w:rPr>
        <w:footnoteReference w:id="1"/>
      </w:r>
    </w:p>
    <w:p w14:paraId="6B27619A" w14:textId="77777777" w:rsidR="00656F09" w:rsidRPr="006A685B" w:rsidRDefault="00656F09" w:rsidP="00656F09">
      <w:pPr>
        <w:pStyle w:val="ListNumber"/>
        <w:numPr>
          <w:ilvl w:val="0"/>
          <w:numId w:val="0"/>
        </w:numPr>
        <w:spacing w:line="360" w:lineRule="auto"/>
        <w:ind w:firstLine="1440"/>
        <w:jc w:val="left"/>
        <w:rPr>
          <w:rFonts w:eastAsia="Calibri"/>
          <w:szCs w:val="24"/>
        </w:rPr>
      </w:pPr>
    </w:p>
    <w:p w14:paraId="07448067" w14:textId="51D71DC2" w:rsidR="0047302F" w:rsidRPr="006A685B" w:rsidRDefault="00234535" w:rsidP="00656F09">
      <w:pPr>
        <w:pStyle w:val="ListNumber"/>
        <w:numPr>
          <w:ilvl w:val="0"/>
          <w:numId w:val="0"/>
        </w:numPr>
        <w:spacing w:line="360" w:lineRule="auto"/>
        <w:ind w:firstLine="1440"/>
        <w:jc w:val="left"/>
        <w:rPr>
          <w:i/>
          <w:iCs/>
          <w:szCs w:val="24"/>
        </w:rPr>
      </w:pPr>
      <w:r w:rsidRPr="006A685B">
        <w:rPr>
          <w:szCs w:val="24"/>
        </w:rPr>
        <w:t xml:space="preserve">In its </w:t>
      </w:r>
      <w:r w:rsidR="00164457" w:rsidRPr="006A685B">
        <w:rPr>
          <w:szCs w:val="24"/>
        </w:rPr>
        <w:t xml:space="preserve">Opinion in </w:t>
      </w:r>
      <w:proofErr w:type="spellStart"/>
      <w:r w:rsidR="0047302F" w:rsidRPr="006A685B">
        <w:rPr>
          <w:i/>
          <w:iCs/>
          <w:szCs w:val="24"/>
        </w:rPr>
        <w:t>Povacz</w:t>
      </w:r>
      <w:proofErr w:type="spellEnd"/>
      <w:r w:rsidR="0047302F" w:rsidRPr="006A685B">
        <w:rPr>
          <w:i/>
          <w:iCs/>
          <w:szCs w:val="24"/>
        </w:rPr>
        <w:t xml:space="preserve"> II</w:t>
      </w:r>
      <w:r w:rsidR="0047302F" w:rsidRPr="006A685B">
        <w:rPr>
          <w:szCs w:val="24"/>
        </w:rPr>
        <w:t xml:space="preserve">, </w:t>
      </w:r>
      <w:r w:rsidR="00164457" w:rsidRPr="006A685B">
        <w:rPr>
          <w:szCs w:val="24"/>
        </w:rPr>
        <w:t xml:space="preserve">the Supreme Court affirmed </w:t>
      </w:r>
      <w:r w:rsidR="0047302F" w:rsidRPr="006A685B">
        <w:rPr>
          <w:szCs w:val="24"/>
        </w:rPr>
        <w:t>the Commission’s determinations in all respects.  The Supreme Court reversed the Commonwealth Court’s determination that Act 129 does not mandate smart meter installation and that Court’s remand to the Commission for consideration as to whether the installation of a smart meter was unreasonable service under Section 1501 of the Code, 66 Pa.C.S. § 1501.  The Supreme Court did, however, affirm the Commonwealth</w:t>
      </w:r>
      <w:r w:rsidR="00936E54" w:rsidRPr="006A685B">
        <w:rPr>
          <w:szCs w:val="24"/>
        </w:rPr>
        <w:t xml:space="preserve"> Court’s conclusion that the “Customers failed to meet their burden of proving, by a preponderance of the evidence, a conclusive causal connection between [radio frequency] emissions from smart meters and adverse human health effects.  </w:t>
      </w:r>
      <w:r w:rsidR="00936E54" w:rsidRPr="006A685B">
        <w:rPr>
          <w:i/>
          <w:iCs/>
          <w:szCs w:val="24"/>
        </w:rPr>
        <w:t xml:space="preserve">Id. </w:t>
      </w:r>
      <w:r w:rsidR="00936E54" w:rsidRPr="006A685B">
        <w:rPr>
          <w:szCs w:val="24"/>
        </w:rPr>
        <w:t xml:space="preserve">at 1014.  The Supreme Court concluded that Act 129 mandates smart meter deployment and requires the system-wide installation of smart meter technology by EDCs. </w:t>
      </w:r>
      <w:r w:rsidR="00686C97" w:rsidRPr="006A685B">
        <w:rPr>
          <w:i/>
          <w:iCs/>
          <w:szCs w:val="24"/>
        </w:rPr>
        <w:t xml:space="preserve">Id. </w:t>
      </w:r>
      <w:r w:rsidR="00936E54" w:rsidRPr="006A685B">
        <w:rPr>
          <w:szCs w:val="24"/>
        </w:rPr>
        <w:t xml:space="preserve">at 992. </w:t>
      </w:r>
      <w:r w:rsidR="00F779AF" w:rsidRPr="006A685B">
        <w:rPr>
          <w:szCs w:val="24"/>
        </w:rPr>
        <w:t xml:space="preserve"> </w:t>
      </w:r>
      <w:r w:rsidR="00936E54" w:rsidRPr="006A685B">
        <w:rPr>
          <w:szCs w:val="24"/>
        </w:rPr>
        <w:t>The Supreme Court found that Section 2807(f)(1), when read in conjunction with Section 2807(f)(2), provides instructions for furnishing smart meters to all customers.  In short, the Supreme Court found that under Act 129, customers may choose what to do with smart meter technology but have no right to refuse smart meter installation.</w:t>
      </w:r>
      <w:r w:rsidR="00F779AF" w:rsidRPr="006A685B">
        <w:rPr>
          <w:szCs w:val="24"/>
        </w:rPr>
        <w:t xml:space="preserve"> </w:t>
      </w:r>
      <w:r w:rsidR="00936E54" w:rsidRPr="006A685B">
        <w:rPr>
          <w:szCs w:val="24"/>
        </w:rPr>
        <w:t xml:space="preserve"> </w:t>
      </w:r>
      <w:r w:rsidR="00936E54" w:rsidRPr="006A685B">
        <w:rPr>
          <w:i/>
          <w:iCs/>
          <w:szCs w:val="24"/>
        </w:rPr>
        <w:t xml:space="preserve">Id. </w:t>
      </w:r>
      <w:r w:rsidR="00936E54" w:rsidRPr="006A685B">
        <w:rPr>
          <w:szCs w:val="24"/>
        </w:rPr>
        <w:t xml:space="preserve">at 997. </w:t>
      </w:r>
      <w:r w:rsidR="004A10AD" w:rsidRPr="006A685B">
        <w:rPr>
          <w:szCs w:val="24"/>
        </w:rPr>
        <w:t xml:space="preserve"> </w:t>
      </w:r>
      <w:r w:rsidR="00936E54" w:rsidRPr="006A685B">
        <w:rPr>
          <w:szCs w:val="24"/>
        </w:rPr>
        <w:t xml:space="preserve">Accordingly, the Supreme Court reversed the Commonwealth Court, and affirmed the Commission’s interpretation in </w:t>
      </w:r>
      <w:r w:rsidR="00936E54" w:rsidRPr="006A685B">
        <w:rPr>
          <w:i/>
          <w:iCs/>
          <w:szCs w:val="24"/>
        </w:rPr>
        <w:t xml:space="preserve">Maria </w:t>
      </w:r>
      <w:proofErr w:type="spellStart"/>
      <w:r w:rsidR="00936E54" w:rsidRPr="006A685B">
        <w:rPr>
          <w:i/>
          <w:iCs/>
          <w:szCs w:val="24"/>
        </w:rPr>
        <w:t>Povacz</w:t>
      </w:r>
      <w:proofErr w:type="spellEnd"/>
      <w:r w:rsidR="00936E54" w:rsidRPr="006A685B">
        <w:rPr>
          <w:szCs w:val="24"/>
        </w:rPr>
        <w:t xml:space="preserve">, </w:t>
      </w:r>
      <w:r w:rsidR="00936E54" w:rsidRPr="006A685B">
        <w:rPr>
          <w:i/>
          <w:iCs/>
          <w:szCs w:val="24"/>
        </w:rPr>
        <w:t>Laura Sunstein Murphy</w:t>
      </w:r>
      <w:r w:rsidR="00936E54" w:rsidRPr="006A685B">
        <w:rPr>
          <w:szCs w:val="24"/>
        </w:rPr>
        <w:t xml:space="preserve">, and </w:t>
      </w:r>
      <w:r w:rsidR="00936E54" w:rsidRPr="006A685B">
        <w:rPr>
          <w:i/>
          <w:iCs/>
          <w:szCs w:val="24"/>
        </w:rPr>
        <w:t>Cynthia Randall</w:t>
      </w:r>
      <w:r w:rsidR="00936E54" w:rsidRPr="006A685B">
        <w:rPr>
          <w:szCs w:val="24"/>
        </w:rPr>
        <w:t xml:space="preserve"> that Act 129 mandates universal smart meter installation. </w:t>
      </w:r>
      <w:r w:rsidR="00F779AF" w:rsidRPr="006A685B">
        <w:rPr>
          <w:szCs w:val="24"/>
        </w:rPr>
        <w:t xml:space="preserve"> </w:t>
      </w:r>
      <w:r w:rsidR="00936E54" w:rsidRPr="006A685B">
        <w:rPr>
          <w:i/>
          <w:iCs/>
          <w:szCs w:val="24"/>
        </w:rPr>
        <w:t>Id</w:t>
      </w:r>
      <w:r w:rsidR="00F779AF" w:rsidRPr="006A685B">
        <w:rPr>
          <w:i/>
          <w:iCs/>
          <w:szCs w:val="24"/>
        </w:rPr>
        <w:t>.</w:t>
      </w:r>
    </w:p>
    <w:p w14:paraId="655DA870" w14:textId="77777777" w:rsidR="00F779AF" w:rsidRPr="006A685B" w:rsidRDefault="00F779AF" w:rsidP="00656F09">
      <w:pPr>
        <w:pStyle w:val="ListNumber"/>
        <w:numPr>
          <w:ilvl w:val="0"/>
          <w:numId w:val="0"/>
        </w:numPr>
        <w:spacing w:line="360" w:lineRule="auto"/>
        <w:ind w:firstLine="1440"/>
        <w:jc w:val="left"/>
        <w:rPr>
          <w:i/>
          <w:iCs/>
          <w:szCs w:val="24"/>
        </w:rPr>
      </w:pPr>
    </w:p>
    <w:p w14:paraId="72CBF450" w14:textId="7EEAD5B4" w:rsidR="00F779AF" w:rsidRPr="006A685B" w:rsidRDefault="009433E0" w:rsidP="00656F09">
      <w:pPr>
        <w:pStyle w:val="ListNumber"/>
        <w:numPr>
          <w:ilvl w:val="0"/>
          <w:numId w:val="0"/>
        </w:numPr>
        <w:spacing w:line="360" w:lineRule="auto"/>
        <w:ind w:firstLine="1440"/>
        <w:jc w:val="left"/>
        <w:rPr>
          <w:szCs w:val="24"/>
        </w:rPr>
      </w:pPr>
      <w:r w:rsidRPr="006A685B">
        <w:rPr>
          <w:szCs w:val="24"/>
        </w:rPr>
        <w:lastRenderedPageBreak/>
        <w:t xml:space="preserve">The Supreme Court </w:t>
      </w:r>
      <w:r w:rsidRPr="00790EA0">
        <w:rPr>
          <w:szCs w:val="24"/>
        </w:rPr>
        <w:t xml:space="preserve">noted that while Act 129 does not provide customers with the right to opt-out of smart meter installation at their residence, they may file a complaint with the Commission raising a claim that installation of a smart meter violates Section 1501 of the Code, 66 Pa.C.S. § 1501.  The </w:t>
      </w:r>
      <w:r w:rsidRPr="006A685B">
        <w:rPr>
          <w:szCs w:val="24"/>
        </w:rPr>
        <w:t xml:space="preserve">Supreme Court reiterated that complainants seeking relief from the Commission must satisfy their burden of proof by a preponderance of the evidence.  The Supreme Court explained that inconclusive evidence – evidence that does not lead to a conclusion of a definite result one way or the other – does not meet even the minimal requirements of the preponderance of the evidence standard. </w:t>
      </w:r>
      <w:r w:rsidR="00272F7B" w:rsidRPr="006A685B">
        <w:rPr>
          <w:szCs w:val="24"/>
        </w:rPr>
        <w:t xml:space="preserve"> </w:t>
      </w:r>
      <w:r w:rsidRPr="006A685B">
        <w:rPr>
          <w:i/>
          <w:iCs/>
          <w:szCs w:val="24"/>
        </w:rPr>
        <w:t>Id.</w:t>
      </w:r>
      <w:r w:rsidRPr="006A685B">
        <w:rPr>
          <w:szCs w:val="24"/>
        </w:rPr>
        <w:t xml:space="preserve"> at 1005.  The Supreme Court opined that while a customer’s evidence does</w:t>
      </w:r>
      <w:r w:rsidR="00272F7B" w:rsidRPr="006A685B">
        <w:rPr>
          <w:szCs w:val="24"/>
        </w:rPr>
        <w:t xml:space="preserve"> not need to prove their assertion beyond any doubt, evidence of a mere possibility that harm could result is insufficient to satisfy the preponderance of the evidence standard.  </w:t>
      </w:r>
      <w:r w:rsidR="00272F7B" w:rsidRPr="006A685B">
        <w:rPr>
          <w:i/>
          <w:iCs/>
          <w:szCs w:val="24"/>
        </w:rPr>
        <w:t>Id.</w:t>
      </w:r>
      <w:r w:rsidR="00272F7B" w:rsidRPr="006A685B">
        <w:rPr>
          <w:szCs w:val="24"/>
        </w:rPr>
        <w:t xml:space="preserve"> at 1008.</w:t>
      </w:r>
    </w:p>
    <w:p w14:paraId="78E8C15E" w14:textId="77777777" w:rsidR="002B37E5" w:rsidRPr="006A685B" w:rsidRDefault="002B37E5" w:rsidP="00656F09">
      <w:pPr>
        <w:pStyle w:val="ListNumber"/>
        <w:numPr>
          <w:ilvl w:val="0"/>
          <w:numId w:val="0"/>
        </w:numPr>
        <w:spacing w:line="360" w:lineRule="auto"/>
        <w:ind w:firstLine="1440"/>
        <w:jc w:val="left"/>
        <w:rPr>
          <w:i/>
          <w:iCs/>
          <w:szCs w:val="24"/>
        </w:rPr>
      </w:pPr>
    </w:p>
    <w:p w14:paraId="3D77A2D2" w14:textId="62B0F543" w:rsidR="002B37E5" w:rsidRPr="006A685B" w:rsidRDefault="002B37E5" w:rsidP="00656F09">
      <w:pPr>
        <w:pStyle w:val="ListNumber"/>
        <w:numPr>
          <w:ilvl w:val="0"/>
          <w:numId w:val="0"/>
        </w:numPr>
        <w:spacing w:line="360" w:lineRule="auto"/>
        <w:ind w:firstLine="1440"/>
        <w:jc w:val="left"/>
        <w:rPr>
          <w:szCs w:val="24"/>
        </w:rPr>
      </w:pPr>
      <w:r w:rsidRPr="006A685B">
        <w:rPr>
          <w:szCs w:val="24"/>
        </w:rPr>
        <w:t>The Supreme Court noted that the burden of proof is two-fold for Section 1501 claims involving the safety of smart meters and RF emissions</w:t>
      </w:r>
      <w:r w:rsidRPr="00790EA0">
        <w:rPr>
          <w:szCs w:val="24"/>
        </w:rPr>
        <w:t xml:space="preserve">.  First, a customer must present expert opinion rendered to a reasonable degree of scientific certainty that radio frequency emissions from smart meters cause adverse health effects.  Next, a customer must present expert opinion rendered to a reasonable degree of medical certainty that RF emissions from the smart meters, either alone or cumulative to other sources of RF emissions, caused them harm.  The utility may then refute the customer’s evidence by providing scientific and/or medical expert testimony that, within a reasonable degree of certainty, the RF emissions from smart meters did not cause the alleged harm.  </w:t>
      </w:r>
      <w:r w:rsidRPr="00790EA0">
        <w:rPr>
          <w:i/>
          <w:iCs/>
          <w:szCs w:val="24"/>
        </w:rPr>
        <w:t>Id.</w:t>
      </w:r>
      <w:r w:rsidRPr="00790EA0">
        <w:rPr>
          <w:szCs w:val="24"/>
        </w:rPr>
        <w:t xml:space="preserve"> </w:t>
      </w:r>
      <w:r w:rsidR="008154DF" w:rsidRPr="00790EA0">
        <w:rPr>
          <w:szCs w:val="24"/>
        </w:rPr>
        <w:t xml:space="preserve"> </w:t>
      </w:r>
      <w:r w:rsidRPr="00790EA0">
        <w:rPr>
          <w:szCs w:val="24"/>
        </w:rPr>
        <w:t>Once the parties</w:t>
      </w:r>
      <w:r w:rsidRPr="006A685B">
        <w:rPr>
          <w:szCs w:val="24"/>
        </w:rPr>
        <w:t xml:space="preserve"> have presented their evidence, the onus then falls on the </w:t>
      </w:r>
      <w:r w:rsidR="001F6084" w:rsidRPr="006A685B">
        <w:rPr>
          <w:szCs w:val="24"/>
        </w:rPr>
        <w:t>f</w:t>
      </w:r>
      <w:r w:rsidRPr="006A685B">
        <w:rPr>
          <w:szCs w:val="24"/>
        </w:rPr>
        <w:t xml:space="preserve">act finder to weigh the evidence and determine whether it is more likely than not that the smart meter caused the customer harm. </w:t>
      </w:r>
      <w:r w:rsidR="008154DF" w:rsidRPr="006A685B">
        <w:rPr>
          <w:szCs w:val="24"/>
        </w:rPr>
        <w:t xml:space="preserve"> </w:t>
      </w:r>
      <w:r w:rsidRPr="006A685B">
        <w:rPr>
          <w:i/>
          <w:iCs/>
          <w:szCs w:val="24"/>
        </w:rPr>
        <w:t>Id.</w:t>
      </w:r>
      <w:r w:rsidRPr="006A685B">
        <w:rPr>
          <w:szCs w:val="24"/>
        </w:rPr>
        <w:t xml:space="preserve"> at 1006. </w:t>
      </w:r>
      <w:r w:rsidR="008154DF" w:rsidRPr="006A685B">
        <w:rPr>
          <w:szCs w:val="24"/>
        </w:rPr>
        <w:t xml:space="preserve"> </w:t>
      </w:r>
      <w:r w:rsidRPr="006A685B">
        <w:rPr>
          <w:szCs w:val="24"/>
        </w:rPr>
        <w:t>The Supreme Court concluded that neither fear nor inconclusive scientific research was sufficient to prove that smart meter technology constitutes unsafe service under Section 1501</w:t>
      </w:r>
      <w:r w:rsidRPr="006A685B">
        <w:rPr>
          <w:i/>
          <w:iCs/>
          <w:szCs w:val="24"/>
        </w:rPr>
        <w:t>.</w:t>
      </w:r>
      <w:r w:rsidR="008154DF" w:rsidRPr="006A685B">
        <w:rPr>
          <w:i/>
          <w:iCs/>
          <w:szCs w:val="24"/>
        </w:rPr>
        <w:t xml:space="preserve"> </w:t>
      </w:r>
      <w:r w:rsidRPr="006A685B">
        <w:rPr>
          <w:i/>
          <w:iCs/>
          <w:szCs w:val="24"/>
        </w:rPr>
        <w:t xml:space="preserve"> Id.</w:t>
      </w:r>
      <w:r w:rsidRPr="006A685B">
        <w:rPr>
          <w:szCs w:val="24"/>
        </w:rPr>
        <w:t xml:space="preserve"> at 1005. </w:t>
      </w:r>
      <w:r w:rsidR="008154DF" w:rsidRPr="006A685B">
        <w:rPr>
          <w:szCs w:val="24"/>
        </w:rPr>
        <w:t xml:space="preserve"> </w:t>
      </w:r>
      <w:r w:rsidRPr="006A685B">
        <w:rPr>
          <w:szCs w:val="24"/>
        </w:rPr>
        <w:t>The Supreme Court held that if a customer establishes by a preponderance of the evidence, based on the totality of the circumstances, that smart meter service violates Section 1501, they are entitled to an accommodation to the extent allowed by Act 129</w:t>
      </w:r>
      <w:r w:rsidR="00B35A59" w:rsidRPr="006A685B">
        <w:rPr>
          <w:szCs w:val="24"/>
        </w:rPr>
        <w:t xml:space="preserve"> and a utility’s tariff.  However, given that Act 129 mandates smart meter deployment, the Supreme Court clarified that such accommodation may not rise to the level of an opt-out from smart meter installation.  </w:t>
      </w:r>
      <w:r w:rsidR="00B35A59" w:rsidRPr="006A685B">
        <w:rPr>
          <w:i/>
          <w:iCs/>
          <w:szCs w:val="24"/>
        </w:rPr>
        <w:t>Id.</w:t>
      </w:r>
      <w:r w:rsidR="00B35A59" w:rsidRPr="006A685B">
        <w:rPr>
          <w:szCs w:val="24"/>
        </w:rPr>
        <w:t xml:space="preserve"> at 1015.</w:t>
      </w:r>
    </w:p>
    <w:p w14:paraId="3E74F9E6" w14:textId="77777777" w:rsidR="005444E2" w:rsidRPr="006A685B" w:rsidRDefault="005444E2" w:rsidP="00656F09">
      <w:pPr>
        <w:pStyle w:val="ListNumber"/>
        <w:numPr>
          <w:ilvl w:val="0"/>
          <w:numId w:val="0"/>
        </w:numPr>
        <w:spacing w:line="360" w:lineRule="auto"/>
        <w:ind w:firstLine="1440"/>
        <w:jc w:val="left"/>
        <w:rPr>
          <w:szCs w:val="24"/>
        </w:rPr>
      </w:pPr>
    </w:p>
    <w:p w14:paraId="2B1943BB" w14:textId="10DD314D" w:rsidR="005444E2" w:rsidRPr="006A685B" w:rsidRDefault="00256FD6" w:rsidP="00656F09">
      <w:pPr>
        <w:pStyle w:val="ListNumber"/>
        <w:numPr>
          <w:ilvl w:val="0"/>
          <w:numId w:val="0"/>
        </w:numPr>
        <w:spacing w:line="360" w:lineRule="auto"/>
        <w:ind w:firstLine="1440"/>
        <w:jc w:val="left"/>
        <w:rPr>
          <w:i/>
          <w:iCs/>
          <w:szCs w:val="24"/>
        </w:rPr>
      </w:pPr>
      <w:r w:rsidRPr="006A685B">
        <w:rPr>
          <w:szCs w:val="24"/>
        </w:rPr>
        <w:lastRenderedPageBreak/>
        <w:t xml:space="preserve">Given the Supreme Court’s decision in </w:t>
      </w:r>
      <w:proofErr w:type="spellStart"/>
      <w:r w:rsidRPr="006A685B">
        <w:rPr>
          <w:i/>
          <w:iCs/>
          <w:szCs w:val="24"/>
        </w:rPr>
        <w:t>Povacz</w:t>
      </w:r>
      <w:proofErr w:type="spellEnd"/>
      <w:r w:rsidRPr="006A685B">
        <w:rPr>
          <w:i/>
          <w:iCs/>
          <w:szCs w:val="24"/>
        </w:rPr>
        <w:t xml:space="preserve"> II</w:t>
      </w:r>
      <w:r w:rsidRPr="006A685B">
        <w:rPr>
          <w:szCs w:val="24"/>
        </w:rPr>
        <w:t xml:space="preserve">, the Commission lifted the stay </w:t>
      </w:r>
      <w:r w:rsidR="00DC0FF2" w:rsidRPr="006A685B">
        <w:rPr>
          <w:szCs w:val="24"/>
        </w:rPr>
        <w:t xml:space="preserve">implemented by the </w:t>
      </w:r>
      <w:r w:rsidRPr="006A685B">
        <w:rPr>
          <w:i/>
          <w:iCs/>
          <w:szCs w:val="24"/>
        </w:rPr>
        <w:t>November 4, 2020</w:t>
      </w:r>
      <w:r w:rsidR="00DC0FF2" w:rsidRPr="006A685B">
        <w:rPr>
          <w:i/>
          <w:iCs/>
          <w:szCs w:val="24"/>
        </w:rPr>
        <w:t>,</w:t>
      </w:r>
      <w:r w:rsidRPr="006A685B">
        <w:rPr>
          <w:i/>
          <w:iCs/>
          <w:szCs w:val="24"/>
        </w:rPr>
        <w:t xml:space="preserve"> Stay Order</w:t>
      </w:r>
      <w:r w:rsidRPr="006A685B">
        <w:rPr>
          <w:szCs w:val="24"/>
        </w:rPr>
        <w:t xml:space="preserve"> </w:t>
      </w:r>
      <w:r w:rsidR="00AC59E4" w:rsidRPr="006A685B">
        <w:rPr>
          <w:szCs w:val="24"/>
        </w:rPr>
        <w:t xml:space="preserve">on November 9, 2023.  </w:t>
      </w:r>
      <w:r w:rsidR="00AE5951" w:rsidRPr="006A685B">
        <w:rPr>
          <w:szCs w:val="24"/>
        </w:rPr>
        <w:t>The</w:t>
      </w:r>
      <w:r w:rsidR="00AC59E4" w:rsidRPr="006A685B">
        <w:rPr>
          <w:szCs w:val="24"/>
        </w:rPr>
        <w:t xml:space="preserve"> Commission </w:t>
      </w:r>
      <w:r w:rsidR="009D5EBD" w:rsidRPr="006A685B">
        <w:rPr>
          <w:szCs w:val="24"/>
        </w:rPr>
        <w:t>entered an Order at Docket No.</w:t>
      </w:r>
      <w:r w:rsidR="00AE5951" w:rsidRPr="006A685B">
        <w:rPr>
          <w:szCs w:val="24"/>
        </w:rPr>
        <w:t xml:space="preserve"> M-2009-2092655, </w:t>
      </w:r>
      <w:r w:rsidR="00575E91" w:rsidRPr="006A685B">
        <w:rPr>
          <w:szCs w:val="24"/>
        </w:rPr>
        <w:t xml:space="preserve">explaining </w:t>
      </w:r>
      <w:r w:rsidR="003331B0" w:rsidRPr="006A685B">
        <w:rPr>
          <w:szCs w:val="24"/>
        </w:rPr>
        <w:t>t</w:t>
      </w:r>
      <w:r w:rsidR="003F5FB6" w:rsidRPr="006A685B">
        <w:rPr>
          <w:szCs w:val="24"/>
        </w:rPr>
        <w:t xml:space="preserve">hat cases pending before the Office of Administrative Law Judge, such as the instant case, </w:t>
      </w:r>
      <w:r w:rsidR="00CF4B70" w:rsidRPr="006A685B">
        <w:rPr>
          <w:szCs w:val="24"/>
        </w:rPr>
        <w:t xml:space="preserve">would proceed as directed by the assigned presiding officer. </w:t>
      </w:r>
    </w:p>
    <w:p w14:paraId="010AED05" w14:textId="77777777" w:rsidR="00605221" w:rsidRPr="006A685B" w:rsidRDefault="00605221" w:rsidP="002D3915">
      <w:pPr>
        <w:pStyle w:val="ListNumber"/>
        <w:numPr>
          <w:ilvl w:val="0"/>
          <w:numId w:val="0"/>
        </w:numPr>
        <w:spacing w:line="360" w:lineRule="auto"/>
        <w:jc w:val="left"/>
        <w:rPr>
          <w:rFonts w:eastAsia="Calibri"/>
          <w:szCs w:val="24"/>
        </w:rPr>
      </w:pPr>
    </w:p>
    <w:p w14:paraId="5565CAD3" w14:textId="464BE99C" w:rsidR="00727BE9" w:rsidRDefault="00605221" w:rsidP="002D3915">
      <w:pPr>
        <w:pStyle w:val="ListNumber"/>
        <w:numPr>
          <w:ilvl w:val="0"/>
          <w:numId w:val="0"/>
        </w:numPr>
        <w:spacing w:line="360" w:lineRule="auto"/>
        <w:jc w:val="left"/>
        <w:rPr>
          <w:rFonts w:eastAsia="Calibri"/>
          <w:szCs w:val="24"/>
        </w:rPr>
      </w:pPr>
      <w:r w:rsidRPr="006A685B">
        <w:rPr>
          <w:rFonts w:eastAsia="Calibri"/>
          <w:szCs w:val="24"/>
        </w:rPr>
        <w:tab/>
      </w:r>
      <w:r w:rsidRPr="006A685B">
        <w:rPr>
          <w:rFonts w:eastAsia="Calibri"/>
          <w:szCs w:val="24"/>
        </w:rPr>
        <w:tab/>
      </w:r>
      <w:r w:rsidR="006D5D5E" w:rsidRPr="006A685B">
        <w:rPr>
          <w:rFonts w:eastAsia="Calibri"/>
          <w:szCs w:val="24"/>
        </w:rPr>
        <w:t xml:space="preserve">The instant case was reassigned to me </w:t>
      </w:r>
      <w:r w:rsidR="00CC411B">
        <w:rPr>
          <w:rFonts w:eastAsia="Calibri"/>
          <w:szCs w:val="24"/>
        </w:rPr>
        <w:t>via a Motion Judge Assignment Notice issued November 20, 2023</w:t>
      </w:r>
      <w:r w:rsidR="00727BE9" w:rsidRPr="006A685B">
        <w:rPr>
          <w:rFonts w:eastAsia="Calibri"/>
          <w:szCs w:val="24"/>
        </w:rPr>
        <w:t xml:space="preserve">.  </w:t>
      </w:r>
    </w:p>
    <w:p w14:paraId="20D21349" w14:textId="77777777" w:rsidR="00355C3F" w:rsidRDefault="00355C3F" w:rsidP="002D3915">
      <w:pPr>
        <w:pStyle w:val="ListNumber"/>
        <w:numPr>
          <w:ilvl w:val="0"/>
          <w:numId w:val="0"/>
        </w:numPr>
        <w:spacing w:line="360" w:lineRule="auto"/>
        <w:jc w:val="left"/>
        <w:rPr>
          <w:rFonts w:eastAsia="Calibri"/>
          <w:szCs w:val="24"/>
        </w:rPr>
      </w:pPr>
    </w:p>
    <w:p w14:paraId="7EDC2B57" w14:textId="3B12B34A" w:rsidR="00355C3F" w:rsidRDefault="00355C3F" w:rsidP="002D3915">
      <w:pPr>
        <w:pStyle w:val="ListNumber"/>
        <w:numPr>
          <w:ilvl w:val="0"/>
          <w:numId w:val="0"/>
        </w:numPr>
        <w:spacing w:line="360" w:lineRule="auto"/>
        <w:jc w:val="left"/>
        <w:rPr>
          <w:rFonts w:eastAsia="Calibri"/>
          <w:szCs w:val="24"/>
        </w:rPr>
      </w:pPr>
      <w:r>
        <w:rPr>
          <w:rFonts w:eastAsia="Calibri"/>
          <w:szCs w:val="24"/>
        </w:rPr>
        <w:tab/>
      </w:r>
      <w:r>
        <w:rPr>
          <w:rFonts w:eastAsia="Calibri"/>
          <w:szCs w:val="24"/>
        </w:rPr>
        <w:tab/>
        <w:t>On November 28, 2023, I prepared an Interim Order, essentially identical to the instant one, and sent it to my administrative staff to be served.  The November 28, 2023, Order directed parties to</w:t>
      </w:r>
      <w:r w:rsidR="005659C6">
        <w:rPr>
          <w:rFonts w:eastAsia="Calibri"/>
          <w:szCs w:val="24"/>
        </w:rPr>
        <w:t xml:space="preserve">, </w:t>
      </w:r>
      <w:r w:rsidR="005659C6">
        <w:rPr>
          <w:rFonts w:eastAsia="Calibri"/>
          <w:i/>
          <w:iCs/>
          <w:szCs w:val="24"/>
        </w:rPr>
        <w:t xml:space="preserve">inter </w:t>
      </w:r>
      <w:r w:rsidR="005659C6" w:rsidRPr="005659C6">
        <w:rPr>
          <w:rFonts w:eastAsia="Calibri"/>
          <w:i/>
          <w:iCs/>
          <w:szCs w:val="24"/>
        </w:rPr>
        <w:t>alia</w:t>
      </w:r>
      <w:r w:rsidR="005659C6">
        <w:rPr>
          <w:rFonts w:eastAsia="Calibri"/>
          <w:szCs w:val="24"/>
        </w:rPr>
        <w:t xml:space="preserve">, submit a status report by January 17, 2024, submit dispositive motions by January 24, and responses to dispositive motions within twenty days of service of the motion.  </w:t>
      </w:r>
      <w:r w:rsidRPr="005659C6">
        <w:rPr>
          <w:rFonts w:eastAsia="Calibri"/>
          <w:szCs w:val="24"/>
        </w:rPr>
        <w:t>Although</w:t>
      </w:r>
      <w:r>
        <w:rPr>
          <w:rFonts w:eastAsia="Calibri"/>
          <w:szCs w:val="24"/>
        </w:rPr>
        <w:t xml:space="preserve"> I was told it had been served, it </w:t>
      </w:r>
      <w:proofErr w:type="gramStart"/>
      <w:r>
        <w:rPr>
          <w:rFonts w:eastAsia="Calibri"/>
          <w:szCs w:val="24"/>
        </w:rPr>
        <w:t>actually had</w:t>
      </w:r>
      <w:proofErr w:type="gramEnd"/>
      <w:r>
        <w:rPr>
          <w:rFonts w:eastAsia="Calibri"/>
          <w:szCs w:val="24"/>
        </w:rPr>
        <w:t xml:space="preserve"> not been served.  I was not made aware of the fact the November 28, 2023, Order was not served on the parties until February 14, 2024.  </w:t>
      </w:r>
    </w:p>
    <w:p w14:paraId="5629CBFF" w14:textId="77777777" w:rsidR="005659C6" w:rsidRDefault="005659C6" w:rsidP="002D3915">
      <w:pPr>
        <w:pStyle w:val="ListNumber"/>
        <w:numPr>
          <w:ilvl w:val="0"/>
          <w:numId w:val="0"/>
        </w:numPr>
        <w:spacing w:line="360" w:lineRule="auto"/>
        <w:jc w:val="left"/>
        <w:rPr>
          <w:rFonts w:eastAsia="Calibri"/>
          <w:szCs w:val="24"/>
        </w:rPr>
      </w:pPr>
    </w:p>
    <w:p w14:paraId="0895C32B" w14:textId="75931AB3" w:rsidR="005659C6" w:rsidRDefault="005659C6" w:rsidP="002D3915">
      <w:pPr>
        <w:pStyle w:val="ListNumber"/>
        <w:numPr>
          <w:ilvl w:val="0"/>
          <w:numId w:val="0"/>
        </w:numPr>
        <w:spacing w:line="360" w:lineRule="auto"/>
        <w:jc w:val="left"/>
        <w:rPr>
          <w:rFonts w:eastAsia="Calibri"/>
          <w:szCs w:val="24"/>
        </w:rPr>
      </w:pPr>
      <w:r>
        <w:rPr>
          <w:rFonts w:eastAsia="Calibri"/>
          <w:szCs w:val="24"/>
        </w:rPr>
        <w:tab/>
      </w:r>
      <w:r>
        <w:rPr>
          <w:rFonts w:eastAsia="Calibri"/>
          <w:szCs w:val="24"/>
        </w:rPr>
        <w:tab/>
        <w:t xml:space="preserve">By February 8, 2024, I had not received any filings from either party.  Therefore, I issued an Interim Order directing the parties to submit status reports.  As mentioned above, I became aware that the November 28, 2023, Order had not been served, on February 14, 2024.  </w:t>
      </w:r>
    </w:p>
    <w:p w14:paraId="30F88C8C" w14:textId="77777777" w:rsidR="005659C6" w:rsidRDefault="005659C6" w:rsidP="002D3915">
      <w:pPr>
        <w:pStyle w:val="ListNumber"/>
        <w:numPr>
          <w:ilvl w:val="0"/>
          <w:numId w:val="0"/>
        </w:numPr>
        <w:spacing w:line="360" w:lineRule="auto"/>
        <w:jc w:val="left"/>
        <w:rPr>
          <w:rFonts w:eastAsia="Calibri"/>
          <w:szCs w:val="24"/>
        </w:rPr>
      </w:pPr>
    </w:p>
    <w:p w14:paraId="36CBAF36" w14:textId="7B20EB15" w:rsidR="00355C3F" w:rsidRPr="006A685B" w:rsidRDefault="005659C6" w:rsidP="002D3915">
      <w:pPr>
        <w:pStyle w:val="ListNumber"/>
        <w:numPr>
          <w:ilvl w:val="0"/>
          <w:numId w:val="0"/>
        </w:numPr>
        <w:spacing w:line="360" w:lineRule="auto"/>
        <w:jc w:val="left"/>
        <w:rPr>
          <w:rFonts w:eastAsia="Calibri"/>
          <w:szCs w:val="24"/>
        </w:rPr>
      </w:pPr>
      <w:r>
        <w:rPr>
          <w:rFonts w:eastAsia="Calibri"/>
          <w:szCs w:val="24"/>
        </w:rPr>
        <w:tab/>
      </w:r>
      <w:r>
        <w:rPr>
          <w:rFonts w:eastAsia="Calibri"/>
          <w:szCs w:val="24"/>
        </w:rPr>
        <w:tab/>
        <w:t xml:space="preserve">Therefore, I prepared the instant Order, which is essentially identical to the one that I intended to have served in November.  I have, however, adjusted the deadlines for the litigation schedule.  </w:t>
      </w:r>
      <w:r w:rsidR="00355C3F">
        <w:rPr>
          <w:rFonts w:eastAsia="Calibri"/>
          <w:szCs w:val="24"/>
        </w:rPr>
        <w:tab/>
      </w:r>
      <w:r w:rsidR="00355C3F">
        <w:rPr>
          <w:rFonts w:eastAsia="Calibri"/>
          <w:szCs w:val="24"/>
        </w:rPr>
        <w:tab/>
      </w:r>
    </w:p>
    <w:p w14:paraId="006F1F8F" w14:textId="77777777" w:rsidR="00727BE9" w:rsidRPr="006A685B" w:rsidRDefault="00727BE9" w:rsidP="002D3915">
      <w:pPr>
        <w:pStyle w:val="ListNumber"/>
        <w:numPr>
          <w:ilvl w:val="0"/>
          <w:numId w:val="0"/>
        </w:numPr>
        <w:spacing w:line="360" w:lineRule="auto"/>
        <w:jc w:val="left"/>
        <w:rPr>
          <w:rFonts w:eastAsia="Calibri"/>
          <w:szCs w:val="24"/>
        </w:rPr>
      </w:pPr>
    </w:p>
    <w:p w14:paraId="1E9102F5" w14:textId="48F08207" w:rsidR="005659C6" w:rsidRDefault="00727BE9" w:rsidP="009D76F9">
      <w:pPr>
        <w:pStyle w:val="ListNumber"/>
        <w:numPr>
          <w:ilvl w:val="0"/>
          <w:numId w:val="0"/>
        </w:numPr>
        <w:spacing w:line="276" w:lineRule="auto"/>
        <w:jc w:val="left"/>
        <w:rPr>
          <w:rFonts w:eastAsia="Calibri"/>
          <w:szCs w:val="24"/>
        </w:rPr>
      </w:pPr>
      <w:r w:rsidRPr="006A685B">
        <w:rPr>
          <w:rFonts w:eastAsia="Calibri"/>
          <w:szCs w:val="24"/>
        </w:rPr>
        <w:tab/>
      </w:r>
      <w:r w:rsidRPr="006A685B">
        <w:rPr>
          <w:rFonts w:eastAsia="Calibri"/>
          <w:szCs w:val="24"/>
        </w:rPr>
        <w:tab/>
      </w:r>
      <w:r w:rsidR="00B9589F">
        <w:rPr>
          <w:rFonts w:eastAsia="Calibri"/>
          <w:szCs w:val="24"/>
        </w:rPr>
        <w:t xml:space="preserve">It is now appropriate for me to rule on the Preliminary Objection. </w:t>
      </w:r>
    </w:p>
    <w:p w14:paraId="3F6D71DF" w14:textId="48082AC8" w:rsidR="009D76F9" w:rsidRDefault="00F03F51" w:rsidP="009D76F9">
      <w:pPr>
        <w:autoSpaceDE w:val="0"/>
        <w:autoSpaceDN w:val="0"/>
        <w:rPr>
          <w:rFonts w:eastAsia="Calibri"/>
          <w:szCs w:val="24"/>
        </w:rPr>
      </w:pPr>
      <w:r>
        <w:rPr>
          <w:rFonts w:eastAsia="Calibri"/>
          <w:szCs w:val="24"/>
        </w:rPr>
        <w:tab/>
      </w:r>
    </w:p>
    <w:p w14:paraId="67CF6061" w14:textId="6AE62839" w:rsidR="009D76F9" w:rsidRDefault="009D76F9" w:rsidP="00D26D16">
      <w:pPr>
        <w:keepNext/>
        <w:autoSpaceDE w:val="0"/>
        <w:autoSpaceDN w:val="0"/>
        <w:spacing w:after="0" w:line="360" w:lineRule="auto"/>
        <w:rPr>
          <w:rFonts w:ascii="Times New Roman" w:eastAsia="Calibri" w:hAnsi="Times New Roman" w:cs="Times New Roman"/>
          <w:sz w:val="24"/>
          <w:szCs w:val="24"/>
          <w:u w:val="single"/>
        </w:rPr>
      </w:pPr>
      <w:r w:rsidRPr="009D76F9">
        <w:rPr>
          <w:rFonts w:ascii="Times New Roman" w:eastAsia="Calibri" w:hAnsi="Times New Roman" w:cs="Times New Roman"/>
          <w:sz w:val="24"/>
          <w:szCs w:val="24"/>
          <w:u w:val="single"/>
        </w:rPr>
        <w:lastRenderedPageBreak/>
        <w:t>Preliminary Objection</w:t>
      </w:r>
    </w:p>
    <w:p w14:paraId="53E7E6FB" w14:textId="77777777" w:rsidR="009D76F9" w:rsidRDefault="009D76F9" w:rsidP="00D26D16">
      <w:pPr>
        <w:keepNext/>
        <w:autoSpaceDE w:val="0"/>
        <w:autoSpaceDN w:val="0"/>
        <w:spacing w:after="0" w:line="360" w:lineRule="auto"/>
        <w:rPr>
          <w:rFonts w:eastAsia="Calibri"/>
          <w:szCs w:val="24"/>
        </w:rPr>
      </w:pPr>
      <w:r>
        <w:rPr>
          <w:rFonts w:eastAsia="Calibri"/>
          <w:szCs w:val="24"/>
        </w:rPr>
        <w:tab/>
      </w:r>
      <w:r>
        <w:rPr>
          <w:rFonts w:eastAsia="Calibri"/>
          <w:szCs w:val="24"/>
        </w:rPr>
        <w:tab/>
      </w:r>
    </w:p>
    <w:p w14:paraId="760FAE9F" w14:textId="486C72CC" w:rsidR="00BB18B4" w:rsidRPr="00BB18B4" w:rsidRDefault="009D76F9" w:rsidP="00D26D16">
      <w:pPr>
        <w:pStyle w:val="FootnoteText"/>
        <w:keepNext/>
        <w:spacing w:line="360" w:lineRule="auto"/>
        <w:rPr>
          <w:rFonts w:ascii="Times New Roman" w:hAnsi="Times New Roman" w:cs="Times New Roman"/>
          <w:sz w:val="24"/>
          <w:szCs w:val="24"/>
        </w:rPr>
      </w:pPr>
      <w:r>
        <w:rPr>
          <w:rFonts w:ascii="CG Times" w:eastAsia="SimSun" w:hAnsi="CG Times" w:cs="Times New Roman"/>
          <w:sz w:val="24"/>
          <w:szCs w:val="24"/>
        </w:rPr>
        <w:tab/>
      </w:r>
      <w:r>
        <w:rPr>
          <w:rFonts w:ascii="CG Times" w:eastAsia="SimSun" w:hAnsi="CG Times" w:cs="Times New Roman"/>
          <w:sz w:val="24"/>
          <w:szCs w:val="24"/>
        </w:rPr>
        <w:tab/>
      </w:r>
      <w:r w:rsidR="00F03F51" w:rsidRPr="00F03F51">
        <w:rPr>
          <w:rFonts w:ascii="CG Times" w:eastAsia="SimSun" w:hAnsi="CG Times" w:cs="Times New Roman"/>
          <w:sz w:val="24"/>
          <w:szCs w:val="24"/>
        </w:rPr>
        <w:t xml:space="preserve">Preliminary </w:t>
      </w:r>
      <w:r w:rsidR="00F03F51" w:rsidRPr="00BB18B4">
        <w:rPr>
          <w:rFonts w:ascii="Times New Roman" w:eastAsia="SimSun" w:hAnsi="Times New Roman" w:cs="Times New Roman"/>
          <w:sz w:val="24"/>
          <w:szCs w:val="24"/>
        </w:rPr>
        <w:t xml:space="preserve">objection practice before the Commission is similar to Pennsylvania civil practice respecting preliminary objections.  </w:t>
      </w:r>
      <w:r w:rsidR="00BB18B4" w:rsidRPr="00BB18B4">
        <w:rPr>
          <w:rFonts w:ascii="Times New Roman" w:hAnsi="Times New Roman" w:cs="Times New Roman"/>
          <w:i/>
          <w:sz w:val="24"/>
          <w:szCs w:val="24"/>
        </w:rPr>
        <w:t>Equitable Small Transportation Intervenors v. Equitable Gas Company</w:t>
      </w:r>
      <w:r w:rsidR="00BB18B4" w:rsidRPr="00BB18B4">
        <w:rPr>
          <w:rFonts w:ascii="Times New Roman" w:hAnsi="Times New Roman" w:cs="Times New Roman"/>
          <w:sz w:val="24"/>
          <w:szCs w:val="24"/>
        </w:rPr>
        <w:t xml:space="preserve">, 1994 Pa. PUC LEXIS 69, Docket No. C-00935435 (July 18, 1994).  </w:t>
      </w:r>
    </w:p>
    <w:p w14:paraId="6802E7F0" w14:textId="558DEA85" w:rsidR="00F03F51" w:rsidRPr="00F03F51" w:rsidRDefault="00F03F51" w:rsidP="00D26D16">
      <w:pPr>
        <w:pStyle w:val="FootnoteText"/>
        <w:keepNext/>
        <w:spacing w:line="360" w:lineRule="auto"/>
        <w:rPr>
          <w:rFonts w:ascii="Times New Roman" w:hAnsi="Times New Roman" w:cs="Times New Roman"/>
          <w:sz w:val="24"/>
          <w:szCs w:val="24"/>
        </w:rPr>
      </w:pPr>
      <w:r w:rsidRPr="00BB18B4">
        <w:rPr>
          <w:rFonts w:ascii="Times New Roman" w:eastAsia="SimSun" w:hAnsi="Times New Roman" w:cs="Times New Roman"/>
          <w:sz w:val="24"/>
          <w:szCs w:val="24"/>
        </w:rPr>
        <w:t xml:space="preserve">Pursuant to Section 5.101(a)(1) a party may object to a pleading due to lack of Commission jurisdiction.  </w:t>
      </w:r>
      <w:r w:rsidR="00BB18B4" w:rsidRPr="00BB18B4">
        <w:rPr>
          <w:rFonts w:ascii="Times New Roman" w:hAnsi="Times New Roman" w:cs="Times New Roman"/>
          <w:sz w:val="24"/>
          <w:szCs w:val="24"/>
        </w:rPr>
        <w:t xml:space="preserve">52 Pa. Code § 5.101(a)(1). </w:t>
      </w:r>
      <w:r w:rsidR="00BB18B4">
        <w:rPr>
          <w:rFonts w:ascii="Times New Roman" w:hAnsi="Times New Roman" w:cs="Times New Roman"/>
          <w:sz w:val="24"/>
          <w:szCs w:val="24"/>
        </w:rPr>
        <w:t xml:space="preserve"> </w:t>
      </w:r>
      <w:r w:rsidRPr="00BB18B4">
        <w:rPr>
          <w:rFonts w:ascii="Times New Roman" w:eastAsia="Times New Roman" w:hAnsi="Times New Roman" w:cs="Times New Roman"/>
          <w:sz w:val="24"/>
          <w:szCs w:val="24"/>
        </w:rPr>
        <w:t xml:space="preserve">The moving party may not rely on its own factual assertions but must accept for the purposes of disposition of the preliminary objection, all well-pleaded, material facts of the other party, as well as every inference fairly deducible from those facts. </w:t>
      </w:r>
      <w:r w:rsidR="00F21A6E">
        <w:rPr>
          <w:rFonts w:ascii="Times New Roman" w:eastAsia="Times New Roman" w:hAnsi="Times New Roman" w:cs="Times New Roman"/>
          <w:sz w:val="24"/>
          <w:szCs w:val="24"/>
        </w:rPr>
        <w:t xml:space="preserve"> </w:t>
      </w:r>
      <w:r w:rsidR="005C0557" w:rsidRPr="00BB18B4">
        <w:rPr>
          <w:rFonts w:ascii="Times New Roman" w:hAnsi="Times New Roman" w:cs="Times New Roman"/>
          <w:i/>
          <w:iCs/>
          <w:sz w:val="24"/>
          <w:szCs w:val="24"/>
        </w:rPr>
        <w:t>County of Allegheny v. Cmwlth. of Pa.</w:t>
      </w:r>
      <w:r w:rsidR="005C0557" w:rsidRPr="00BB18B4">
        <w:rPr>
          <w:rFonts w:ascii="Times New Roman" w:hAnsi="Times New Roman" w:cs="Times New Roman"/>
          <w:sz w:val="24"/>
          <w:szCs w:val="24"/>
        </w:rPr>
        <w:t>, 490 A.2d 402 (Pa. 1985).</w:t>
      </w:r>
      <w:r w:rsidRPr="00BB18B4">
        <w:rPr>
          <w:rFonts w:ascii="Times New Roman" w:eastAsia="Times New Roman" w:hAnsi="Times New Roman" w:cs="Times New Roman"/>
          <w:sz w:val="24"/>
          <w:szCs w:val="24"/>
        </w:rPr>
        <w:t xml:space="preserve"> </w:t>
      </w:r>
      <w:r w:rsidR="00F21A6E">
        <w:rPr>
          <w:rFonts w:ascii="Times New Roman" w:eastAsia="Times New Roman" w:hAnsi="Times New Roman" w:cs="Times New Roman"/>
          <w:sz w:val="24"/>
          <w:szCs w:val="24"/>
        </w:rPr>
        <w:t xml:space="preserve"> </w:t>
      </w:r>
      <w:r w:rsidRPr="00BB18B4">
        <w:rPr>
          <w:rFonts w:ascii="Times New Roman" w:eastAsia="Times New Roman" w:hAnsi="Times New Roman" w:cs="Times New Roman"/>
          <w:sz w:val="24"/>
          <w:szCs w:val="24"/>
        </w:rPr>
        <w:t>However, the Commission need not accept as true conclusions of law, unwarranted inferences from facts, argumentative allegations, or expressions of opinion.</w:t>
      </w:r>
      <w:r w:rsidR="00BB18B4" w:rsidRPr="00BB18B4">
        <w:rPr>
          <w:rFonts w:ascii="Times New Roman" w:eastAsia="Times New Roman" w:hAnsi="Times New Roman" w:cs="Times New Roman"/>
          <w:sz w:val="24"/>
          <w:szCs w:val="24"/>
        </w:rPr>
        <w:t xml:space="preserve">  </w:t>
      </w:r>
      <w:r w:rsidR="00F21A6E" w:rsidRPr="0087197E">
        <w:rPr>
          <w:rFonts w:ascii="Times New Roman" w:hAnsi="Times New Roman" w:cs="Times New Roman"/>
          <w:i/>
          <w:iCs/>
          <w:sz w:val="24"/>
          <w:szCs w:val="24"/>
        </w:rPr>
        <w:t xml:space="preserve">Stanton-Negley Drug Co. v. </w:t>
      </w:r>
      <w:proofErr w:type="spellStart"/>
      <w:r w:rsidR="00F21A6E" w:rsidRPr="0087197E">
        <w:rPr>
          <w:rFonts w:ascii="Times New Roman" w:hAnsi="Times New Roman" w:cs="Times New Roman"/>
          <w:i/>
          <w:iCs/>
          <w:sz w:val="24"/>
          <w:szCs w:val="24"/>
        </w:rPr>
        <w:t>Dep’t</w:t>
      </w:r>
      <w:proofErr w:type="spellEnd"/>
      <w:r w:rsidR="00F21A6E" w:rsidRPr="0087197E">
        <w:rPr>
          <w:rFonts w:ascii="Times New Roman" w:hAnsi="Times New Roman" w:cs="Times New Roman"/>
          <w:i/>
          <w:iCs/>
          <w:sz w:val="24"/>
          <w:szCs w:val="24"/>
        </w:rPr>
        <w:t xml:space="preserve"> of Pub. Welfare</w:t>
      </w:r>
      <w:r w:rsidR="00F21A6E" w:rsidRPr="0087197E">
        <w:rPr>
          <w:rFonts w:ascii="Times New Roman" w:hAnsi="Times New Roman" w:cs="Times New Roman"/>
          <w:sz w:val="24"/>
          <w:szCs w:val="24"/>
        </w:rPr>
        <w:t>, 927 A.2d 671, 673 (Pa. Cmwlth. 2007).</w:t>
      </w:r>
    </w:p>
    <w:p w14:paraId="5288DA4C" w14:textId="22A47AAA" w:rsidR="00F03F51" w:rsidRPr="00BB18B4" w:rsidRDefault="00F03F51" w:rsidP="00BB18B4">
      <w:pPr>
        <w:autoSpaceDE w:val="0"/>
        <w:autoSpaceDN w:val="0"/>
        <w:spacing w:after="0" w:line="360" w:lineRule="auto"/>
        <w:rPr>
          <w:rFonts w:ascii="Times New Roman" w:eastAsia="Times New Roman" w:hAnsi="Times New Roman" w:cs="Times New Roman"/>
          <w:sz w:val="24"/>
          <w:szCs w:val="24"/>
        </w:rPr>
      </w:pPr>
      <w:r w:rsidRPr="00F03F51">
        <w:rPr>
          <w:rFonts w:ascii="Times New Roman" w:eastAsia="SimSun" w:hAnsi="Times New Roman" w:cs="Times New Roman"/>
          <w:sz w:val="24"/>
          <w:szCs w:val="24"/>
        </w:rPr>
        <w:tab/>
      </w:r>
      <w:r w:rsidRPr="00F03F51">
        <w:rPr>
          <w:rFonts w:ascii="Times New Roman" w:eastAsia="SimSun" w:hAnsi="Times New Roman" w:cs="Times New Roman"/>
          <w:sz w:val="24"/>
          <w:szCs w:val="24"/>
        </w:rPr>
        <w:tab/>
      </w:r>
    </w:p>
    <w:p w14:paraId="182FB5E3" w14:textId="6E1A7D17" w:rsidR="00F03F51" w:rsidRPr="00F03F51" w:rsidRDefault="00F03F51" w:rsidP="00BB18B4">
      <w:pPr>
        <w:spacing w:after="0" w:line="360" w:lineRule="auto"/>
        <w:rPr>
          <w:rFonts w:ascii="Times New Roman" w:eastAsia="Calibri" w:hAnsi="Times New Roman" w:cs="Times New Roman"/>
          <w:sz w:val="24"/>
          <w:szCs w:val="24"/>
        </w:rPr>
      </w:pPr>
      <w:r w:rsidRPr="00BB18B4">
        <w:rPr>
          <w:rFonts w:ascii="Times New Roman" w:eastAsia="Times New Roman" w:hAnsi="Times New Roman" w:cs="Times New Roman"/>
          <w:sz w:val="24"/>
          <w:szCs w:val="24"/>
        </w:rPr>
        <w:tab/>
      </w:r>
      <w:r w:rsidRPr="00BB18B4">
        <w:rPr>
          <w:rFonts w:ascii="Times New Roman" w:eastAsia="Times New Roman" w:hAnsi="Times New Roman" w:cs="Times New Roman"/>
          <w:sz w:val="24"/>
          <w:szCs w:val="24"/>
        </w:rPr>
        <w:tab/>
        <w:t xml:space="preserve">As discussed above, </w:t>
      </w:r>
      <w:r w:rsidRPr="00BB18B4">
        <w:rPr>
          <w:rFonts w:ascii="Times New Roman" w:eastAsia="Calibri" w:hAnsi="Times New Roman" w:cs="Times New Roman"/>
          <w:sz w:val="24"/>
          <w:szCs w:val="24"/>
        </w:rPr>
        <w:t>Complainants</w:t>
      </w:r>
      <w:r>
        <w:rPr>
          <w:rFonts w:ascii="Times New Roman" w:eastAsia="Calibri" w:hAnsi="Times New Roman" w:cs="Times New Roman"/>
          <w:sz w:val="24"/>
          <w:szCs w:val="24"/>
        </w:rPr>
        <w:t xml:space="preserve"> aver James Dummett has been suffering from EMF exposure from the smart meter installed at the service location and has been subjected to extensive medical testing. As relief, Complainants request they be allowed to opt out of the smart meter program and have an analog meter installed.  I must accept these facts to be true for the purpose of disposing of the Preliminary Objection.     </w:t>
      </w:r>
    </w:p>
    <w:p w14:paraId="216279A2" w14:textId="77777777" w:rsidR="00F03F51" w:rsidRDefault="00B9589F" w:rsidP="002D3915">
      <w:pPr>
        <w:pStyle w:val="ListNumber"/>
        <w:numPr>
          <w:ilvl w:val="0"/>
          <w:numId w:val="0"/>
        </w:numPr>
        <w:spacing w:line="360" w:lineRule="auto"/>
        <w:jc w:val="left"/>
        <w:rPr>
          <w:rFonts w:eastAsia="Calibri"/>
          <w:szCs w:val="24"/>
        </w:rPr>
      </w:pPr>
      <w:r>
        <w:rPr>
          <w:rFonts w:eastAsia="Calibri"/>
          <w:szCs w:val="24"/>
        </w:rPr>
        <w:tab/>
      </w:r>
      <w:r>
        <w:rPr>
          <w:rFonts w:eastAsia="Calibri"/>
          <w:szCs w:val="24"/>
        </w:rPr>
        <w:tab/>
      </w:r>
    </w:p>
    <w:p w14:paraId="0A61596A" w14:textId="2A15A3F8" w:rsidR="00560427" w:rsidRPr="00510DB6" w:rsidRDefault="00F03F51" w:rsidP="002D3915">
      <w:pPr>
        <w:pStyle w:val="ListNumber"/>
        <w:numPr>
          <w:ilvl w:val="0"/>
          <w:numId w:val="0"/>
        </w:numPr>
        <w:spacing w:line="360" w:lineRule="auto"/>
        <w:jc w:val="left"/>
        <w:rPr>
          <w:rFonts w:eastAsia="Calibri"/>
          <w:szCs w:val="24"/>
        </w:rPr>
      </w:pPr>
      <w:r>
        <w:rPr>
          <w:rFonts w:eastAsia="Calibri"/>
          <w:szCs w:val="24"/>
        </w:rPr>
        <w:tab/>
      </w:r>
      <w:r>
        <w:rPr>
          <w:rFonts w:eastAsia="Calibri"/>
          <w:szCs w:val="24"/>
        </w:rPr>
        <w:tab/>
      </w:r>
      <w:r w:rsidR="00CC411B">
        <w:rPr>
          <w:rFonts w:eastAsia="Calibri"/>
          <w:szCs w:val="24"/>
        </w:rPr>
        <w:t xml:space="preserve">In </w:t>
      </w:r>
      <w:proofErr w:type="spellStart"/>
      <w:r w:rsidR="00CC411B" w:rsidRPr="006A685B">
        <w:rPr>
          <w:i/>
          <w:iCs/>
          <w:szCs w:val="24"/>
        </w:rPr>
        <w:t>Povacz</w:t>
      </w:r>
      <w:proofErr w:type="spellEnd"/>
      <w:r w:rsidR="00CC411B" w:rsidRPr="006A685B">
        <w:rPr>
          <w:i/>
          <w:iCs/>
          <w:szCs w:val="24"/>
        </w:rPr>
        <w:t xml:space="preserve"> II</w:t>
      </w:r>
      <w:r w:rsidR="00CC411B">
        <w:rPr>
          <w:rFonts w:eastAsia="Calibri"/>
          <w:szCs w:val="24"/>
        </w:rPr>
        <w:t xml:space="preserve">, the Supreme Court </w:t>
      </w:r>
      <w:r w:rsidR="00560427">
        <w:rPr>
          <w:rFonts w:eastAsia="Calibri"/>
          <w:szCs w:val="24"/>
        </w:rPr>
        <w:t xml:space="preserve">made clear </w:t>
      </w:r>
      <w:r w:rsidR="00B36E77" w:rsidRPr="00510DB6">
        <w:rPr>
          <w:rFonts w:eastAsia="Calibri"/>
          <w:szCs w:val="24"/>
        </w:rPr>
        <w:t xml:space="preserve">that </w:t>
      </w:r>
      <w:r w:rsidR="00B36E77" w:rsidRPr="00510DB6">
        <w:rPr>
          <w:szCs w:val="24"/>
        </w:rPr>
        <w:t xml:space="preserve">while Act 129 does not provide customers with the right to opt-out of smart meter installation at their residence, they may file a complaint with the Commission raising a claim that installation of a smart meter violates Section 1501 of the Code, 66 Pa.C.S. § 1501.  The Court explained, </w:t>
      </w:r>
      <w:r w:rsidR="005F0B98" w:rsidRPr="00510DB6">
        <w:rPr>
          <w:szCs w:val="24"/>
        </w:rPr>
        <w:t>the complainant</w:t>
      </w:r>
      <w:r w:rsidR="00510DB6" w:rsidRPr="00510DB6">
        <w:rPr>
          <w:szCs w:val="24"/>
        </w:rPr>
        <w:t xml:space="preserve">’s </w:t>
      </w:r>
      <w:r w:rsidR="005F0B98" w:rsidRPr="00510DB6">
        <w:rPr>
          <w:szCs w:val="24"/>
        </w:rPr>
        <w:t xml:space="preserve">burden of proof is two-fold for Section 1501 claims involving the safety of smart meters and RF emissions.  First, a customer must </w:t>
      </w:r>
      <w:r w:rsidR="005F0B98" w:rsidRPr="005730C9">
        <w:rPr>
          <w:szCs w:val="24"/>
        </w:rPr>
        <w:t>present expert opinion rendered to a reasonable degree of scientific certainty that radio frequency emissions from smart meters cause adverse health effects.  Next, a customer must present expert opinion rendered to a reasonable degree of medical certainty that RF emissions from the smart meters, either alone or cumulative to other sources of RF emissions, caused them harm.</w:t>
      </w:r>
      <w:r w:rsidR="005F0B98" w:rsidRPr="00510DB6">
        <w:rPr>
          <w:szCs w:val="24"/>
        </w:rPr>
        <w:t xml:space="preserve">  </w:t>
      </w:r>
      <w:r w:rsidR="00AA65AE">
        <w:rPr>
          <w:szCs w:val="24"/>
        </w:rPr>
        <w:t xml:space="preserve">Therefore, a customer </w:t>
      </w:r>
      <w:r w:rsidR="00AA65AE" w:rsidRPr="00DF53B3">
        <w:rPr>
          <w:b/>
          <w:bCs/>
          <w:szCs w:val="24"/>
          <w:u w:val="single"/>
        </w:rPr>
        <w:t>cannot</w:t>
      </w:r>
      <w:r w:rsidR="00AA65AE">
        <w:rPr>
          <w:szCs w:val="24"/>
        </w:rPr>
        <w:t xml:space="preserve"> successfully present a </w:t>
      </w:r>
      <w:r w:rsidR="00AA65AE" w:rsidRPr="00DE4291">
        <w:rPr>
          <w:i/>
          <w:iCs/>
          <w:szCs w:val="24"/>
        </w:rPr>
        <w:t>prima facie</w:t>
      </w:r>
      <w:r w:rsidR="00AA65AE">
        <w:rPr>
          <w:szCs w:val="24"/>
        </w:rPr>
        <w:t xml:space="preserve"> case </w:t>
      </w:r>
      <w:r w:rsidR="00337E36">
        <w:rPr>
          <w:szCs w:val="24"/>
        </w:rPr>
        <w:lastRenderedPageBreak/>
        <w:t>involving an alleged violation</w:t>
      </w:r>
      <w:r w:rsidR="0016399A">
        <w:rPr>
          <w:szCs w:val="24"/>
        </w:rPr>
        <w:t xml:space="preserve"> of 66 Pa.C.S. </w:t>
      </w:r>
      <w:r w:rsidR="0016399A" w:rsidRPr="00510DB6">
        <w:rPr>
          <w:szCs w:val="24"/>
        </w:rPr>
        <w:t>§ 1501</w:t>
      </w:r>
      <w:r w:rsidR="0016399A">
        <w:rPr>
          <w:szCs w:val="24"/>
        </w:rPr>
        <w:t xml:space="preserve"> </w:t>
      </w:r>
      <w:r w:rsidR="008D44F2">
        <w:rPr>
          <w:szCs w:val="24"/>
        </w:rPr>
        <w:t xml:space="preserve">unless that customer presents </w:t>
      </w:r>
      <w:r w:rsidR="00DF53B3" w:rsidRPr="00DF53B3">
        <w:rPr>
          <w:b/>
          <w:bCs/>
          <w:szCs w:val="24"/>
          <w:u w:val="single"/>
        </w:rPr>
        <w:t xml:space="preserve">expert scientific and medical </w:t>
      </w:r>
      <w:r w:rsidR="008D44F2" w:rsidRPr="00DF53B3">
        <w:rPr>
          <w:b/>
          <w:bCs/>
          <w:szCs w:val="24"/>
          <w:u w:val="single"/>
        </w:rPr>
        <w:t>testimony</w:t>
      </w:r>
      <w:r w:rsidR="00DF53B3">
        <w:rPr>
          <w:szCs w:val="24"/>
        </w:rPr>
        <w:t xml:space="preserve">.  </w:t>
      </w:r>
    </w:p>
    <w:p w14:paraId="1F7A6FD9" w14:textId="77777777" w:rsidR="00560427" w:rsidRPr="00510DB6" w:rsidRDefault="00560427" w:rsidP="002D3915">
      <w:pPr>
        <w:pStyle w:val="ListNumber"/>
        <w:numPr>
          <w:ilvl w:val="0"/>
          <w:numId w:val="0"/>
        </w:numPr>
        <w:spacing w:line="360" w:lineRule="auto"/>
        <w:jc w:val="left"/>
        <w:rPr>
          <w:rFonts w:eastAsia="Calibri"/>
          <w:szCs w:val="24"/>
        </w:rPr>
      </w:pPr>
    </w:p>
    <w:p w14:paraId="38CE8556" w14:textId="13DD5751" w:rsidR="005730C9" w:rsidRPr="006A685B" w:rsidRDefault="000A1203" w:rsidP="005730C9">
      <w:pPr>
        <w:pStyle w:val="ListNumber"/>
        <w:numPr>
          <w:ilvl w:val="0"/>
          <w:numId w:val="0"/>
        </w:numPr>
        <w:spacing w:line="360" w:lineRule="auto"/>
        <w:ind w:firstLine="1440"/>
        <w:jc w:val="left"/>
        <w:rPr>
          <w:szCs w:val="24"/>
        </w:rPr>
      </w:pPr>
      <w:r>
        <w:rPr>
          <w:rFonts w:eastAsia="Calibri"/>
          <w:szCs w:val="24"/>
        </w:rPr>
        <w:t xml:space="preserve">In this case, </w:t>
      </w:r>
      <w:r w:rsidR="00F03F51">
        <w:rPr>
          <w:rFonts w:eastAsia="Calibri"/>
          <w:szCs w:val="24"/>
        </w:rPr>
        <w:t>if Complainants present expert medical and scientific evidence</w:t>
      </w:r>
      <w:r w:rsidR="00CC7EB0">
        <w:rPr>
          <w:rFonts w:eastAsia="Calibri"/>
          <w:szCs w:val="24"/>
        </w:rPr>
        <w:t xml:space="preserve"> to support the averments made in the Complaint, they may be able to meet their burden of proof.  </w:t>
      </w:r>
      <w:r w:rsidR="002403F7">
        <w:rPr>
          <w:rFonts w:eastAsia="Calibri"/>
          <w:szCs w:val="24"/>
        </w:rPr>
        <w:t xml:space="preserve">If they </w:t>
      </w:r>
      <w:proofErr w:type="gramStart"/>
      <w:r w:rsidR="002403F7">
        <w:rPr>
          <w:rFonts w:eastAsia="Calibri"/>
          <w:szCs w:val="24"/>
        </w:rPr>
        <w:t>are able to</w:t>
      </w:r>
      <w:proofErr w:type="gramEnd"/>
      <w:r w:rsidR="002403F7">
        <w:rPr>
          <w:rFonts w:eastAsia="Calibri"/>
          <w:szCs w:val="24"/>
        </w:rPr>
        <w:t xml:space="preserve"> meet their burden of proof</w:t>
      </w:r>
      <w:r w:rsidR="005730C9">
        <w:rPr>
          <w:rFonts w:eastAsia="Calibri"/>
          <w:szCs w:val="24"/>
        </w:rPr>
        <w:t xml:space="preserve">, they may </w:t>
      </w:r>
      <w:r w:rsidR="000E2031">
        <w:rPr>
          <w:rFonts w:eastAsia="Calibri"/>
          <w:szCs w:val="24"/>
        </w:rPr>
        <w:t xml:space="preserve">be </w:t>
      </w:r>
      <w:r w:rsidR="005730C9" w:rsidRPr="006A685B">
        <w:rPr>
          <w:szCs w:val="24"/>
        </w:rPr>
        <w:t xml:space="preserve">entitled to </w:t>
      </w:r>
      <w:proofErr w:type="gramStart"/>
      <w:r w:rsidR="005730C9" w:rsidRPr="006A685B">
        <w:rPr>
          <w:szCs w:val="24"/>
        </w:rPr>
        <w:t>an accommodation</w:t>
      </w:r>
      <w:proofErr w:type="gramEnd"/>
      <w:r w:rsidR="005730C9" w:rsidRPr="006A685B">
        <w:rPr>
          <w:szCs w:val="24"/>
        </w:rPr>
        <w:t xml:space="preserve"> to the extent allowed by Act 129 and </w:t>
      </w:r>
      <w:r w:rsidR="000E2031">
        <w:rPr>
          <w:szCs w:val="24"/>
        </w:rPr>
        <w:t>the Company’s</w:t>
      </w:r>
      <w:r w:rsidR="005730C9" w:rsidRPr="006A685B">
        <w:rPr>
          <w:szCs w:val="24"/>
        </w:rPr>
        <w:t xml:space="preserve"> tariff.  However, that accommodation may not rise to the level of an opt-out from smart meter installation.  </w:t>
      </w:r>
      <w:r w:rsidR="00CC7EB0">
        <w:rPr>
          <w:szCs w:val="24"/>
        </w:rPr>
        <w:t>While the Commission is not able to grant the specific relief requested in the Complaint (opt-out), Complainants, if able to meet their burden of proof, may be entitled to an “accommodation</w:t>
      </w:r>
      <w:r w:rsidR="002913C2">
        <w:rPr>
          <w:szCs w:val="24"/>
        </w:rPr>
        <w:t>.</w:t>
      </w:r>
      <w:r w:rsidR="00CC7EB0">
        <w:rPr>
          <w:szCs w:val="24"/>
        </w:rPr>
        <w:t>”</w:t>
      </w:r>
      <w:r w:rsidR="002913C2">
        <w:rPr>
          <w:szCs w:val="24"/>
        </w:rPr>
        <w:t xml:space="preserve">  While the Supreme Court did not expound upon what such an “accommodation” may be, the fact remains that such an “accommodation” exists as a matter of law.  </w:t>
      </w:r>
    </w:p>
    <w:p w14:paraId="21E38E15" w14:textId="65DE0A68" w:rsidR="00560427" w:rsidRDefault="00560427" w:rsidP="002D3915">
      <w:pPr>
        <w:pStyle w:val="ListNumber"/>
        <w:numPr>
          <w:ilvl w:val="0"/>
          <w:numId w:val="0"/>
        </w:numPr>
        <w:spacing w:line="360" w:lineRule="auto"/>
        <w:jc w:val="left"/>
        <w:rPr>
          <w:rFonts w:eastAsia="Calibri"/>
          <w:szCs w:val="24"/>
        </w:rPr>
      </w:pPr>
    </w:p>
    <w:p w14:paraId="4E275B93" w14:textId="77777777" w:rsidR="005659C6" w:rsidRDefault="00F70E1B" w:rsidP="005659C6">
      <w:pPr>
        <w:pStyle w:val="ListNumber"/>
        <w:numPr>
          <w:ilvl w:val="0"/>
          <w:numId w:val="0"/>
        </w:numPr>
        <w:spacing w:line="360" w:lineRule="auto"/>
        <w:jc w:val="left"/>
        <w:rPr>
          <w:rFonts w:eastAsia="Calibri"/>
          <w:szCs w:val="24"/>
        </w:rPr>
      </w:pPr>
      <w:r>
        <w:rPr>
          <w:rFonts w:eastAsia="Calibri"/>
          <w:szCs w:val="24"/>
        </w:rPr>
        <w:t>As such, the Preliminary Objection is denied.  I</w:t>
      </w:r>
      <w:r w:rsidRPr="006A685B">
        <w:rPr>
          <w:rFonts w:eastAsia="Calibri"/>
          <w:szCs w:val="24"/>
        </w:rPr>
        <w:t xml:space="preserve">t is </w:t>
      </w:r>
      <w:r>
        <w:rPr>
          <w:rFonts w:eastAsia="Calibri"/>
          <w:szCs w:val="24"/>
        </w:rPr>
        <w:t xml:space="preserve">now </w:t>
      </w:r>
      <w:r w:rsidRPr="006A685B">
        <w:rPr>
          <w:rFonts w:eastAsia="Calibri"/>
          <w:szCs w:val="24"/>
        </w:rPr>
        <w:t xml:space="preserve">appropriate </w:t>
      </w:r>
      <w:r>
        <w:rPr>
          <w:rFonts w:eastAsia="Calibri"/>
          <w:szCs w:val="24"/>
        </w:rPr>
        <w:t xml:space="preserve">to set a litigation schedule. </w:t>
      </w:r>
    </w:p>
    <w:p w14:paraId="74544B28" w14:textId="77777777" w:rsidR="005659C6" w:rsidRDefault="005659C6" w:rsidP="005659C6">
      <w:pPr>
        <w:pStyle w:val="ListNumber"/>
        <w:numPr>
          <w:ilvl w:val="0"/>
          <w:numId w:val="0"/>
        </w:numPr>
        <w:spacing w:line="360" w:lineRule="auto"/>
        <w:jc w:val="left"/>
        <w:rPr>
          <w:rFonts w:eastAsia="Calibri"/>
          <w:szCs w:val="24"/>
        </w:rPr>
      </w:pPr>
    </w:p>
    <w:p w14:paraId="7D55EAD7" w14:textId="56F0F0D7" w:rsidR="009D76F9" w:rsidRPr="009D76F9" w:rsidRDefault="009D76F9" w:rsidP="005659C6">
      <w:pPr>
        <w:pStyle w:val="ListNumber"/>
        <w:numPr>
          <w:ilvl w:val="0"/>
          <w:numId w:val="0"/>
        </w:numPr>
        <w:spacing w:line="360" w:lineRule="auto"/>
        <w:jc w:val="left"/>
        <w:rPr>
          <w:szCs w:val="24"/>
          <w:u w:val="single"/>
        </w:rPr>
      </w:pPr>
      <w:r w:rsidRPr="009D76F9">
        <w:rPr>
          <w:szCs w:val="24"/>
          <w:u w:val="single"/>
        </w:rPr>
        <w:t>Litigation Schedule</w:t>
      </w:r>
    </w:p>
    <w:p w14:paraId="1BBC69A8" w14:textId="77777777" w:rsidR="009D76F9" w:rsidRDefault="009D76F9" w:rsidP="002B0AAE">
      <w:pPr>
        <w:spacing w:after="0" w:line="360" w:lineRule="auto"/>
        <w:rPr>
          <w:rFonts w:ascii="Times New Roman" w:hAnsi="Times New Roman" w:cs="Times New Roman"/>
          <w:sz w:val="24"/>
          <w:szCs w:val="24"/>
        </w:rPr>
      </w:pPr>
    </w:p>
    <w:p w14:paraId="5355F5CC" w14:textId="4E204333" w:rsidR="002B0AAE" w:rsidRPr="00536B65" w:rsidRDefault="009D76F9" w:rsidP="002B0AA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B0AAE" w:rsidRPr="00536B65">
        <w:rPr>
          <w:rFonts w:ascii="Times New Roman" w:hAnsi="Times New Roman" w:cs="Times New Roman"/>
          <w:sz w:val="24"/>
          <w:szCs w:val="24"/>
        </w:rPr>
        <w:t>The Parties shall comply with the following initial litigation schedule:</w:t>
      </w:r>
    </w:p>
    <w:p w14:paraId="23C3774A" w14:textId="77777777" w:rsidR="002B0AAE" w:rsidRPr="00536B65" w:rsidRDefault="002B0AAE" w:rsidP="002B0AAE">
      <w:pPr>
        <w:spacing w:after="0" w:line="360" w:lineRule="auto"/>
        <w:rPr>
          <w:rFonts w:ascii="Times New Roman" w:hAnsi="Times New Roman" w:cs="Times New Roman"/>
          <w:sz w:val="24"/>
          <w:szCs w:val="24"/>
        </w:rPr>
      </w:pPr>
    </w:p>
    <w:p w14:paraId="1CC4261B" w14:textId="380BBA5D" w:rsidR="002B0AAE" w:rsidRPr="00536B65" w:rsidRDefault="002B0AAE" w:rsidP="002B0AAE">
      <w:pPr>
        <w:autoSpaceDE w:val="0"/>
        <w:autoSpaceDN w:val="0"/>
        <w:spacing w:after="0" w:line="360" w:lineRule="auto"/>
        <w:ind w:firstLine="2160"/>
        <w:contextualSpacing/>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Cs/>
          <w:iCs/>
          <w:color w:val="000000"/>
          <w:sz w:val="24"/>
          <w:szCs w:val="24"/>
        </w:rPr>
        <w:t>a.</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sidR="005659C6">
        <w:rPr>
          <w:rFonts w:ascii="Times New Roman" w:eastAsia="Times New Roman" w:hAnsi="Times New Roman" w:cs="Times New Roman"/>
          <w:b/>
          <w:bCs/>
          <w:i/>
          <w:iCs/>
          <w:color w:val="000000"/>
          <w:sz w:val="24"/>
          <w:szCs w:val="24"/>
          <w:u w:val="single"/>
        </w:rPr>
        <w:t xml:space="preserve">MARCH </w:t>
      </w:r>
      <w:r w:rsidR="007F19CB">
        <w:rPr>
          <w:rFonts w:ascii="Times New Roman" w:eastAsia="Times New Roman" w:hAnsi="Times New Roman" w:cs="Times New Roman"/>
          <w:b/>
          <w:bCs/>
          <w:i/>
          <w:iCs/>
          <w:color w:val="000000"/>
          <w:sz w:val="24"/>
          <w:szCs w:val="24"/>
          <w:u w:val="single"/>
        </w:rPr>
        <w:t>1</w:t>
      </w:r>
      <w:r w:rsidRPr="00536B65">
        <w:rPr>
          <w:rFonts w:ascii="Times New Roman" w:eastAsia="Times New Roman" w:hAnsi="Times New Roman" w:cs="Times New Roman"/>
          <w:b/>
          <w:bCs/>
          <w:i/>
          <w:iCs/>
          <w:color w:val="000000"/>
          <w:sz w:val="24"/>
          <w:szCs w:val="24"/>
          <w:u w:val="single"/>
        </w:rPr>
        <w:t>, 20</w:t>
      </w:r>
      <w:r w:rsidR="004E34D6">
        <w:rPr>
          <w:rFonts w:ascii="Times New Roman" w:eastAsia="Times New Roman" w:hAnsi="Times New Roman" w:cs="Times New Roman"/>
          <w:b/>
          <w:bCs/>
          <w:i/>
          <w:iCs/>
          <w:color w:val="000000"/>
          <w:sz w:val="24"/>
          <w:szCs w:val="24"/>
          <w:u w:val="single"/>
        </w:rPr>
        <w:t>2</w:t>
      </w:r>
      <w:r w:rsidR="005659C6">
        <w:rPr>
          <w:rFonts w:ascii="Times New Roman" w:eastAsia="Times New Roman" w:hAnsi="Times New Roman" w:cs="Times New Roman"/>
          <w:b/>
          <w:bCs/>
          <w:i/>
          <w:iCs/>
          <w:color w:val="000000"/>
          <w:sz w:val="24"/>
          <w:szCs w:val="24"/>
          <w:u w:val="single"/>
        </w:rPr>
        <w:t>4</w:t>
      </w:r>
      <w:r w:rsidRPr="00536B65">
        <w:rPr>
          <w:rFonts w:ascii="Times New Roman" w:eastAsia="Times New Roman" w:hAnsi="Times New Roman" w:cs="Times New Roman"/>
          <w:color w:val="000000"/>
          <w:sz w:val="24"/>
          <w:szCs w:val="24"/>
        </w:rPr>
        <w:t>, any Party wishing to present factual testimony of any person other than Complainant</w:t>
      </w:r>
      <w:r>
        <w:rPr>
          <w:rFonts w:ascii="Times New Roman" w:eastAsia="Times New Roman" w:hAnsi="Times New Roman" w:cs="Times New Roman"/>
          <w:color w:val="000000"/>
          <w:sz w:val="24"/>
          <w:szCs w:val="24"/>
        </w:rPr>
        <w:t>s</w:t>
      </w:r>
      <w:r w:rsidRPr="00536B65">
        <w:rPr>
          <w:rFonts w:ascii="Times New Roman" w:eastAsia="Times New Roman" w:hAnsi="Times New Roman" w:cs="Times New Roman"/>
          <w:color w:val="000000"/>
          <w:sz w:val="24"/>
          <w:szCs w:val="24"/>
        </w:rPr>
        <w:t xml:space="preserve"> must provide to the other Party in writing, the name and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14:paraId="2BF69394" w14:textId="77777777" w:rsidR="002B0AAE" w:rsidRPr="00536B65" w:rsidRDefault="002B0AAE" w:rsidP="002B0AAE">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14:paraId="2D887054" w14:textId="6BA22A98" w:rsidR="002B0AAE" w:rsidRPr="00536B65" w:rsidRDefault="002B0AAE" w:rsidP="002B0AAE">
      <w:pPr>
        <w:numPr>
          <w:ilvl w:val="0"/>
          <w:numId w:val="4"/>
        </w:numPr>
        <w:autoSpaceDE w:val="0"/>
        <w:autoSpaceDN w:val="0"/>
        <w:spacing w:after="0" w:line="360" w:lineRule="auto"/>
        <w:ind w:left="0" w:firstLine="216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sidR="007F19CB">
        <w:rPr>
          <w:rFonts w:ascii="Times New Roman" w:eastAsia="Times New Roman" w:hAnsi="Times New Roman" w:cs="Times New Roman"/>
          <w:b/>
          <w:bCs/>
          <w:i/>
          <w:iCs/>
          <w:color w:val="000000"/>
          <w:sz w:val="24"/>
          <w:szCs w:val="24"/>
          <w:u w:val="single"/>
        </w:rPr>
        <w:t>MARCH 1</w:t>
      </w:r>
      <w:r>
        <w:rPr>
          <w:rFonts w:ascii="Times New Roman" w:eastAsia="Times New Roman" w:hAnsi="Times New Roman" w:cs="Times New Roman"/>
          <w:b/>
          <w:bCs/>
          <w:i/>
          <w:iCs/>
          <w:color w:val="000000"/>
          <w:sz w:val="24"/>
          <w:szCs w:val="24"/>
          <w:u w:val="single"/>
        </w:rPr>
        <w:t xml:space="preserve">, </w:t>
      </w:r>
      <w:r w:rsidRPr="00536B65">
        <w:rPr>
          <w:rFonts w:ascii="Times New Roman" w:eastAsia="Times New Roman" w:hAnsi="Times New Roman" w:cs="Times New Roman"/>
          <w:b/>
          <w:bCs/>
          <w:i/>
          <w:iCs/>
          <w:color w:val="000000"/>
          <w:sz w:val="24"/>
          <w:szCs w:val="24"/>
          <w:u w:val="single"/>
        </w:rPr>
        <w:t>20</w:t>
      </w:r>
      <w:r w:rsidR="004E34D6">
        <w:rPr>
          <w:rFonts w:ascii="Times New Roman" w:eastAsia="Times New Roman" w:hAnsi="Times New Roman" w:cs="Times New Roman"/>
          <w:b/>
          <w:bCs/>
          <w:i/>
          <w:iCs/>
          <w:color w:val="000000"/>
          <w:sz w:val="24"/>
          <w:szCs w:val="24"/>
          <w:u w:val="single"/>
        </w:rPr>
        <w:t>2</w:t>
      </w:r>
      <w:r w:rsidR="007F19CB">
        <w:rPr>
          <w:rFonts w:ascii="Times New Roman" w:eastAsia="Times New Roman" w:hAnsi="Times New Roman" w:cs="Times New Roman"/>
          <w:b/>
          <w:bCs/>
          <w:i/>
          <w:iCs/>
          <w:color w:val="000000"/>
          <w:sz w:val="24"/>
          <w:szCs w:val="24"/>
          <w:u w:val="single"/>
        </w:rPr>
        <w:t>4</w:t>
      </w:r>
      <w:r w:rsidRPr="00536B65">
        <w:rPr>
          <w:rFonts w:ascii="Times New Roman" w:eastAsia="Times New Roman" w:hAnsi="Times New Roman" w:cs="Times New Roman"/>
          <w:color w:val="000000"/>
          <w:sz w:val="24"/>
          <w:szCs w:val="24"/>
        </w:rPr>
        <w:t>,</w:t>
      </w:r>
      <w:r w:rsidRPr="00536B65">
        <w:rPr>
          <w:rFonts w:ascii="Times New Roman" w:eastAsia="Times New Roman" w:hAnsi="Times New Roman" w:cs="Times New Roman"/>
          <w:b/>
          <w:bCs/>
          <w:color w:val="000000"/>
          <w:sz w:val="24"/>
          <w:szCs w:val="24"/>
        </w:rPr>
        <w:t xml:space="preserve"> </w:t>
      </w:r>
      <w:r w:rsidRPr="00536B65">
        <w:rPr>
          <w:rFonts w:ascii="Times New Roman" w:eastAsia="Times New Roman" w:hAnsi="Times New Roman" w:cs="Times New Roman"/>
          <w:color w:val="000000"/>
          <w:sz w:val="24"/>
          <w:szCs w:val="24"/>
        </w:rPr>
        <w:t xml:space="preserve">any Party wishing to present expert testimony (including but not limited to medical, </w:t>
      </w:r>
      <w:r>
        <w:rPr>
          <w:rFonts w:ascii="Times New Roman" w:eastAsia="Times New Roman" w:hAnsi="Times New Roman" w:cs="Times New Roman"/>
          <w:color w:val="000000"/>
          <w:sz w:val="24"/>
          <w:szCs w:val="24"/>
        </w:rPr>
        <w:t>scientific</w:t>
      </w:r>
      <w:r w:rsidRPr="00536B65">
        <w:rPr>
          <w:rFonts w:ascii="Times New Roman" w:eastAsia="Times New Roman" w:hAnsi="Times New Roman" w:cs="Times New Roman"/>
          <w:color w:val="000000"/>
          <w:sz w:val="24"/>
          <w:szCs w:val="24"/>
        </w:rPr>
        <w:t>, etc.) must provide to the other Party in writing, the name and business address of that expert</w:t>
      </w:r>
      <w:r>
        <w:rPr>
          <w:rFonts w:ascii="Times New Roman" w:eastAsia="Times New Roman" w:hAnsi="Times New Roman" w:cs="Times New Roman"/>
          <w:color w:val="000000"/>
          <w:sz w:val="24"/>
          <w:szCs w:val="24"/>
        </w:rPr>
        <w:t>,</w:t>
      </w:r>
      <w:r w:rsidRPr="00536B65">
        <w:rPr>
          <w:rFonts w:ascii="Times New Roman" w:eastAsia="Times New Roman" w:hAnsi="Times New Roman" w:cs="Times New Roman"/>
          <w:color w:val="000000"/>
          <w:sz w:val="24"/>
          <w:szCs w:val="24"/>
        </w:rPr>
        <w:t xml:space="preserve"> a written summary of the expected testimony of that expert</w:t>
      </w:r>
      <w:r>
        <w:rPr>
          <w:rFonts w:ascii="Times New Roman" w:eastAsia="Times New Roman" w:hAnsi="Times New Roman" w:cs="Times New Roman"/>
          <w:color w:val="000000"/>
          <w:sz w:val="24"/>
          <w:szCs w:val="24"/>
        </w:rPr>
        <w:t>, and a copy of the expert’s curriculum vitae</w:t>
      </w:r>
      <w:r w:rsidRPr="00536B65">
        <w:rPr>
          <w:rFonts w:ascii="Times New Roman" w:eastAsia="Times New Roman" w:hAnsi="Times New Roman" w:cs="Times New Roman"/>
          <w:color w:val="000000"/>
          <w:sz w:val="24"/>
          <w:szCs w:val="24"/>
        </w:rPr>
        <w:t>.</w:t>
      </w:r>
    </w:p>
    <w:p w14:paraId="664A1F01" w14:textId="77777777" w:rsidR="002B0AAE" w:rsidRPr="00536B65" w:rsidRDefault="002B0AAE" w:rsidP="002B0AAE">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4494570F" w14:textId="2AD9887B" w:rsidR="002B0AAE" w:rsidRPr="00536B65" w:rsidRDefault="002B0AAE" w:rsidP="002B0AAE">
      <w:pPr>
        <w:numPr>
          <w:ilvl w:val="0"/>
          <w:numId w:val="4"/>
        </w:numPr>
        <w:autoSpaceDE w:val="0"/>
        <w:autoSpaceDN w:val="0"/>
        <w:spacing w:after="0" w:line="360" w:lineRule="auto"/>
        <w:ind w:left="0" w:firstLine="216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ON OR BEFORE</w:t>
      </w:r>
      <w:r w:rsidR="007F19CB">
        <w:rPr>
          <w:rFonts w:ascii="Times New Roman" w:eastAsia="Times New Roman" w:hAnsi="Times New Roman" w:cs="Times New Roman"/>
          <w:b/>
          <w:bCs/>
          <w:i/>
          <w:iCs/>
          <w:color w:val="000000"/>
          <w:sz w:val="24"/>
          <w:szCs w:val="24"/>
          <w:u w:val="single"/>
        </w:rPr>
        <w:t xml:space="preserve"> APRIL 12</w:t>
      </w:r>
      <w:r>
        <w:rPr>
          <w:rFonts w:ascii="Times New Roman" w:eastAsia="Times New Roman" w:hAnsi="Times New Roman" w:cs="Times New Roman"/>
          <w:b/>
          <w:bCs/>
          <w:i/>
          <w:iCs/>
          <w:color w:val="000000"/>
          <w:sz w:val="24"/>
          <w:szCs w:val="24"/>
          <w:u w:val="single"/>
        </w:rPr>
        <w:t>, 20</w:t>
      </w:r>
      <w:r w:rsidR="004E34D6">
        <w:rPr>
          <w:rFonts w:ascii="Times New Roman" w:eastAsia="Times New Roman" w:hAnsi="Times New Roman" w:cs="Times New Roman"/>
          <w:b/>
          <w:bCs/>
          <w:i/>
          <w:iCs/>
          <w:color w:val="000000"/>
          <w:sz w:val="24"/>
          <w:szCs w:val="24"/>
          <w:u w:val="single"/>
        </w:rPr>
        <w:t>24</w:t>
      </w:r>
      <w:r w:rsidRPr="00536B65">
        <w:rPr>
          <w:rFonts w:ascii="Times New Roman" w:eastAsia="Times New Roman" w:hAnsi="Times New Roman" w:cs="Times New Roman"/>
          <w:color w:val="000000"/>
          <w:sz w:val="24"/>
          <w:szCs w:val="24"/>
        </w:rPr>
        <w:t>,</w:t>
      </w:r>
      <w:r w:rsidRPr="00536B65">
        <w:rPr>
          <w:rFonts w:ascii="Times New Roman" w:eastAsia="Times New Roman" w:hAnsi="Times New Roman" w:cs="Times New Roman"/>
          <w:b/>
          <w:bCs/>
          <w:color w:val="000000"/>
          <w:sz w:val="24"/>
          <w:szCs w:val="24"/>
        </w:rPr>
        <w:t xml:space="preserve"> </w:t>
      </w:r>
      <w:r w:rsidRPr="00536B65">
        <w:rPr>
          <w:rFonts w:ascii="Times New Roman" w:eastAsia="Times New Roman" w:hAnsi="Times New Roman" w:cs="Times New Roman"/>
          <w:bCs/>
          <w:color w:val="000000"/>
          <w:sz w:val="24"/>
          <w:szCs w:val="24"/>
        </w:rPr>
        <w:t>the Parties shall conclude discovery in this proceeding.</w:t>
      </w:r>
    </w:p>
    <w:p w14:paraId="728A51BA" w14:textId="3A2D23F4" w:rsidR="002B0AAE" w:rsidRPr="00536B65" w:rsidRDefault="002B0AAE" w:rsidP="002B0AAE">
      <w:pPr>
        <w:numPr>
          <w:ilvl w:val="0"/>
          <w:numId w:val="4"/>
        </w:numPr>
        <w:autoSpaceDE w:val="0"/>
        <w:autoSpaceDN w:val="0"/>
        <w:spacing w:after="0" w:line="360" w:lineRule="auto"/>
        <w:ind w:left="0" w:firstLine="216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lastRenderedPageBreak/>
        <w:t xml:space="preserve">ON OR BEFORE </w:t>
      </w:r>
      <w:r w:rsidR="007F19CB">
        <w:rPr>
          <w:rFonts w:ascii="Times New Roman" w:eastAsia="Times New Roman" w:hAnsi="Times New Roman" w:cs="Times New Roman"/>
          <w:b/>
          <w:bCs/>
          <w:i/>
          <w:iCs/>
          <w:color w:val="000000"/>
          <w:sz w:val="24"/>
          <w:szCs w:val="24"/>
          <w:u w:val="single"/>
        </w:rPr>
        <w:t>APRIL 24</w:t>
      </w:r>
      <w:r w:rsidRPr="00536B65">
        <w:rPr>
          <w:rFonts w:ascii="Times New Roman" w:eastAsia="Times New Roman" w:hAnsi="Times New Roman" w:cs="Times New Roman"/>
          <w:b/>
          <w:bCs/>
          <w:i/>
          <w:iCs/>
          <w:color w:val="000000"/>
          <w:sz w:val="24"/>
          <w:szCs w:val="24"/>
          <w:u w:val="single"/>
        </w:rPr>
        <w:t>, 20</w:t>
      </w:r>
      <w:r w:rsidR="009D76F9">
        <w:rPr>
          <w:rFonts w:ascii="Times New Roman" w:eastAsia="Times New Roman" w:hAnsi="Times New Roman" w:cs="Times New Roman"/>
          <w:b/>
          <w:bCs/>
          <w:i/>
          <w:iCs/>
          <w:color w:val="000000"/>
          <w:sz w:val="24"/>
          <w:szCs w:val="24"/>
          <w:u w:val="single"/>
        </w:rPr>
        <w:t>24</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14:paraId="3F6E3159" w14:textId="77777777" w:rsidR="002B0AAE" w:rsidRPr="00536B65" w:rsidRDefault="002B0AAE" w:rsidP="002B0AAE">
      <w:pPr>
        <w:spacing w:after="0" w:line="240" w:lineRule="auto"/>
        <w:ind w:left="720"/>
        <w:contextualSpacing/>
        <w:rPr>
          <w:rFonts w:ascii="Times New Roman" w:eastAsia="Times New Roman" w:hAnsi="Times New Roman" w:cs="Times New Roman"/>
          <w:color w:val="000000"/>
          <w:sz w:val="24"/>
          <w:szCs w:val="24"/>
        </w:rPr>
      </w:pPr>
    </w:p>
    <w:p w14:paraId="01680904" w14:textId="555281D9" w:rsidR="002B0AAE" w:rsidRPr="00536B65" w:rsidRDefault="002B0AAE" w:rsidP="002B0AAE">
      <w:pPr>
        <w:numPr>
          <w:ilvl w:val="0"/>
          <w:numId w:val="4"/>
        </w:numPr>
        <w:autoSpaceDE w:val="0"/>
        <w:autoSpaceDN w:val="0"/>
        <w:spacing w:after="0" w:line="360" w:lineRule="auto"/>
        <w:ind w:left="0" w:firstLine="2160"/>
        <w:contextualSpacing/>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color w:val="000000"/>
          <w:spacing w:val="-3"/>
          <w:sz w:val="24"/>
          <w:szCs w:val="24"/>
        </w:rPr>
        <w:t xml:space="preserve">Any dispositive motions must be filed </w:t>
      </w:r>
      <w:r w:rsidRPr="00536B65">
        <w:rPr>
          <w:rFonts w:ascii="Times New Roman" w:eastAsia="Times New Roman" w:hAnsi="Times New Roman" w:cs="Times New Roman"/>
          <w:b/>
          <w:bCs/>
          <w:i/>
          <w:iCs/>
          <w:color w:val="000000"/>
          <w:spacing w:val="-3"/>
          <w:sz w:val="24"/>
          <w:szCs w:val="24"/>
          <w:u w:val="single"/>
        </w:rPr>
        <w:t xml:space="preserve">by </w:t>
      </w:r>
      <w:r w:rsidR="007F19CB">
        <w:rPr>
          <w:rFonts w:ascii="Times New Roman" w:eastAsia="Times New Roman" w:hAnsi="Times New Roman" w:cs="Times New Roman"/>
          <w:b/>
          <w:bCs/>
          <w:i/>
          <w:iCs/>
          <w:color w:val="000000"/>
          <w:spacing w:val="-3"/>
          <w:sz w:val="24"/>
          <w:szCs w:val="24"/>
          <w:u w:val="single"/>
        </w:rPr>
        <w:t>APRIL 24</w:t>
      </w:r>
      <w:r w:rsidRPr="00536B65">
        <w:rPr>
          <w:rFonts w:ascii="Times New Roman" w:eastAsia="Times New Roman" w:hAnsi="Times New Roman" w:cs="Times New Roman"/>
          <w:b/>
          <w:bCs/>
          <w:i/>
          <w:iCs/>
          <w:color w:val="000000"/>
          <w:spacing w:val="-3"/>
          <w:sz w:val="24"/>
          <w:szCs w:val="24"/>
          <w:u w:val="single"/>
        </w:rPr>
        <w:t>, 20</w:t>
      </w:r>
      <w:r w:rsidR="004E34D6">
        <w:rPr>
          <w:rFonts w:ascii="Times New Roman" w:eastAsia="Times New Roman" w:hAnsi="Times New Roman" w:cs="Times New Roman"/>
          <w:b/>
          <w:bCs/>
          <w:i/>
          <w:iCs/>
          <w:color w:val="000000"/>
          <w:spacing w:val="-3"/>
          <w:sz w:val="24"/>
          <w:szCs w:val="24"/>
          <w:u w:val="single"/>
        </w:rPr>
        <w:t>24</w:t>
      </w:r>
      <w:r w:rsidRPr="00536B65">
        <w:rPr>
          <w:rFonts w:ascii="Times New Roman" w:eastAsia="Times New Roman" w:hAnsi="Times New Roman" w:cs="Times New Roman"/>
          <w:color w:val="000000"/>
          <w:spacing w:val="-3"/>
          <w:sz w:val="24"/>
          <w:szCs w:val="24"/>
        </w:rPr>
        <w:t>.  Any responses to any dispositive motion must be filed no later than twenty (20) days after service of that motion.</w:t>
      </w:r>
    </w:p>
    <w:p w14:paraId="0F2E7E3A" w14:textId="77777777" w:rsidR="002B0AAE" w:rsidRPr="00536B65" w:rsidRDefault="002B0AAE" w:rsidP="002B0AAE">
      <w:pPr>
        <w:spacing w:after="0" w:line="360" w:lineRule="auto"/>
        <w:ind w:left="720"/>
        <w:contextualSpacing/>
        <w:rPr>
          <w:rFonts w:ascii="Times New Roman" w:eastAsia="Times New Roman" w:hAnsi="Times New Roman" w:cs="Times New Roman"/>
          <w:color w:val="000000"/>
          <w:spacing w:val="-3"/>
          <w:sz w:val="24"/>
          <w:szCs w:val="24"/>
        </w:rPr>
      </w:pPr>
    </w:p>
    <w:p w14:paraId="05AD2B27" w14:textId="77777777" w:rsidR="002B0AAE" w:rsidRPr="00536B65" w:rsidRDefault="002B0AAE" w:rsidP="002B0AAE">
      <w:pPr>
        <w:numPr>
          <w:ilvl w:val="0"/>
          <w:numId w:val="4"/>
        </w:numPr>
        <w:tabs>
          <w:tab w:val="left" w:pos="-720"/>
          <w:tab w:val="left" w:pos="1440"/>
        </w:tabs>
        <w:suppressAutoHyphens/>
        <w:autoSpaceDE w:val="0"/>
        <w:autoSpaceDN w:val="0"/>
        <w:spacing w:after="0" w:line="360" w:lineRule="auto"/>
        <w:ind w:left="0" w:firstLine="2160"/>
        <w:contextualSpacing/>
        <w:rPr>
          <w:rFonts w:ascii="Times New Roman" w:eastAsia="Times New Roman" w:hAnsi="Times New Roman" w:cs="Times New Roman"/>
          <w:color w:val="000000"/>
          <w:spacing w:val="-3"/>
          <w:sz w:val="24"/>
          <w:szCs w:val="24"/>
        </w:rPr>
      </w:pPr>
      <w:r w:rsidRPr="00536B65">
        <w:rPr>
          <w:rFonts w:ascii="Times New Roman" w:eastAsia="Times New Roman" w:hAnsi="Times New Roman" w:cs="Times New Roman"/>
          <w:color w:val="000000"/>
          <w:spacing w:val="-3"/>
          <w:sz w:val="24"/>
          <w:szCs w:val="24"/>
        </w:rPr>
        <w:t>Upon consideration of any dispositive motions filed in this proceeding, a hearing date will be established in the event that an evidentiary hearing is necessary.</w:t>
      </w:r>
    </w:p>
    <w:p w14:paraId="2A8EB35B" w14:textId="77777777" w:rsidR="00DE6B7D" w:rsidRDefault="00DE6B7D" w:rsidP="002B0A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p>
    <w:p w14:paraId="1194DC13" w14:textId="78D6DE9F" w:rsidR="002B0AAE" w:rsidRPr="00536B65" w:rsidRDefault="002B0AAE" w:rsidP="002B0A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Commission Rules and Procedures</w:t>
      </w:r>
    </w:p>
    <w:p w14:paraId="16CB7037" w14:textId="77777777" w:rsidR="002B0AAE" w:rsidRPr="00536B65" w:rsidRDefault="002B0AAE" w:rsidP="002B0A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159CA102" w14:textId="77777777" w:rsidR="002B0AAE" w:rsidRPr="00536B65" w:rsidRDefault="002B0AAE" w:rsidP="002B0A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14:paraId="34D997F4" w14:textId="77777777" w:rsidR="002B0AAE" w:rsidRPr="00536B65" w:rsidRDefault="002B0AAE" w:rsidP="002B0A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1AA73765" w14:textId="2BC66671" w:rsidR="002B0AAE" w:rsidRPr="00536B65" w:rsidRDefault="002B0AAE" w:rsidP="002B0AAE">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Complainant bears the burden of proof </w:t>
      </w:r>
      <w:r w:rsidR="009D76F9">
        <w:rPr>
          <w:rFonts w:ascii="Times New Roman" w:hAnsi="Times New Roman" w:cs="Times New Roman"/>
          <w:spacing w:val="-3"/>
          <w:sz w:val="24"/>
          <w:szCs w:val="24"/>
        </w:rPr>
        <w:t>as discussed above.</w:t>
      </w:r>
    </w:p>
    <w:p w14:paraId="1C04E9AC" w14:textId="77777777" w:rsidR="002B0AAE" w:rsidRPr="00536B65" w:rsidRDefault="002B0AAE" w:rsidP="002B0A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03852602" w14:textId="77777777" w:rsidR="002B0AAE" w:rsidRPr="00536B65" w:rsidRDefault="002B0AAE" w:rsidP="002B0AAE">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 (717) 787-1399.  AT&amp;T Relay Service number for persons who are deaf or hearing-impaired:  1-800-654-5988.</w:t>
      </w:r>
    </w:p>
    <w:p w14:paraId="260FC8E2" w14:textId="77777777" w:rsidR="002B0AAE" w:rsidRPr="00536B65" w:rsidRDefault="002B0AAE" w:rsidP="002B0AAE">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14:paraId="469A5BBF" w14:textId="77777777" w:rsidR="002B0AAE" w:rsidRPr="00536B65" w:rsidRDefault="002B0AAE" w:rsidP="002B0AAE">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14:paraId="2ABE7977" w14:textId="77777777" w:rsidR="002B0AAE" w:rsidRPr="00536B65" w:rsidRDefault="002B0AAE" w:rsidP="002B0AAE">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6846A438" w14:textId="77777777" w:rsidR="002B0AAE" w:rsidRPr="00536B65" w:rsidRDefault="002B0AAE" w:rsidP="002B0A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Pro Hac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Pro Hac Vice</w:t>
      </w:r>
      <w:r w:rsidRPr="00536B65">
        <w:rPr>
          <w:rFonts w:ascii="Times New Roman" w:hAnsi="Times New Roman" w:cs="Times New Roman"/>
          <w:spacing w:val="-3"/>
          <w:sz w:val="24"/>
          <w:szCs w:val="24"/>
        </w:rPr>
        <w:t xml:space="preserve">, represent you in this proceeding.  Unless you are an attorney, you may not represent </w:t>
      </w:r>
      <w:r w:rsidRPr="00536B65">
        <w:rPr>
          <w:rFonts w:ascii="Times New Roman" w:hAnsi="Times New Roman" w:cs="Times New Roman"/>
          <w:spacing w:val="-3"/>
          <w:sz w:val="24"/>
          <w:szCs w:val="24"/>
        </w:rPr>
        <w:lastRenderedPageBreak/>
        <w:t>someone else.  Attorneys shall insure that their appearance is entered in accordance with the provisions of 52 Pa.Code § 1.24(b).</w:t>
      </w:r>
    </w:p>
    <w:p w14:paraId="7916D7F3" w14:textId="77777777" w:rsidR="002B0AAE" w:rsidRPr="00536B65" w:rsidRDefault="002B0AAE" w:rsidP="002B0A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7C677CC9" w14:textId="6F03F9A5" w:rsidR="002B0AAE" w:rsidRPr="00536B65" w:rsidRDefault="002B0AAE" w:rsidP="002B0A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w:t>
      </w:r>
      <w:proofErr w:type="gramStart"/>
      <w:r w:rsidRPr="00536B65">
        <w:rPr>
          <w:rFonts w:ascii="Times New Roman" w:hAnsi="Times New Roman" w:cs="Times New Roman"/>
          <w:spacing w:val="-3"/>
          <w:sz w:val="24"/>
          <w:szCs w:val="24"/>
        </w:rPr>
        <w:t>a deadline</w:t>
      </w:r>
      <w:proofErr w:type="gramEnd"/>
      <w:r w:rsidRPr="00536B65">
        <w:rPr>
          <w:rFonts w:ascii="Times New Roman" w:hAnsi="Times New Roman" w:cs="Times New Roman"/>
          <w:spacing w:val="-3"/>
          <w:sz w:val="24"/>
          <w:szCs w:val="24"/>
        </w:rPr>
        <w:t xml:space="preserve"> </w:t>
      </w:r>
      <w:proofErr w:type="gramStart"/>
      <w:r w:rsidRPr="00536B65">
        <w:rPr>
          <w:rFonts w:ascii="Times New Roman" w:hAnsi="Times New Roman" w:cs="Times New Roman"/>
          <w:spacing w:val="-3"/>
          <w:sz w:val="24"/>
          <w:szCs w:val="24"/>
        </w:rPr>
        <w:t>in order to</w:t>
      </w:r>
      <w:proofErr w:type="gramEnd"/>
      <w:r w:rsidRPr="00536B65">
        <w:rPr>
          <w:rFonts w:ascii="Times New Roman" w:hAnsi="Times New Roman" w:cs="Times New Roman"/>
          <w:spacing w:val="-3"/>
          <w:sz w:val="24"/>
          <w:szCs w:val="24"/>
        </w:rPr>
        <w:t xml:space="preserve"> obtain legal counsel may be denied.</w:t>
      </w:r>
    </w:p>
    <w:p w14:paraId="292B206F" w14:textId="77777777" w:rsidR="002B0AAE" w:rsidRPr="00536B65" w:rsidRDefault="002B0AAE" w:rsidP="002B0A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 </w:t>
      </w:r>
    </w:p>
    <w:p w14:paraId="76880E13" w14:textId="77777777" w:rsidR="002B0AAE" w:rsidRPr="00536B65" w:rsidRDefault="002B0AAE" w:rsidP="002B0AAE">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t>Service</w:t>
      </w:r>
    </w:p>
    <w:p w14:paraId="5C90E13E" w14:textId="77777777" w:rsidR="002B0AAE" w:rsidRPr="00536B65" w:rsidRDefault="002B0AAE" w:rsidP="002B0AAE">
      <w:pPr>
        <w:spacing w:after="0" w:line="360" w:lineRule="auto"/>
        <w:rPr>
          <w:rFonts w:ascii="Times New Roman" w:hAnsi="Times New Roman" w:cs="Times New Roman"/>
          <w:b/>
          <w:sz w:val="24"/>
          <w:szCs w:val="24"/>
          <w:u w:val="single"/>
        </w:rPr>
      </w:pPr>
    </w:p>
    <w:p w14:paraId="3D1DE88E" w14:textId="17A1B884" w:rsidR="002B0AAE" w:rsidRPr="00536B65" w:rsidRDefault="002B0AAE" w:rsidP="002B0AAE">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r w:rsidR="00045AE3">
        <w:rPr>
          <w:rFonts w:ascii="Times New Roman" w:hAnsi="Times New Roman" w:cs="Times New Roman"/>
          <w:spacing w:val="-3"/>
          <w:sz w:val="24"/>
          <w:szCs w:val="24"/>
        </w:rPr>
        <w:t xml:space="preserve"> See the attached service list for contact information for the Parties.</w:t>
      </w:r>
    </w:p>
    <w:p w14:paraId="3F503495" w14:textId="77777777" w:rsidR="00505359" w:rsidRDefault="00505359" w:rsidP="002B0AAE">
      <w:pPr>
        <w:keepNext/>
        <w:spacing w:after="0" w:line="360" w:lineRule="auto"/>
        <w:ind w:firstLine="1440"/>
        <w:outlineLvl w:val="1"/>
        <w:rPr>
          <w:rFonts w:ascii="Times New Roman" w:eastAsia="Times New Roman" w:hAnsi="Times New Roman" w:cs="Times New Roman"/>
          <w:sz w:val="24"/>
          <w:szCs w:val="24"/>
        </w:rPr>
      </w:pPr>
    </w:p>
    <w:p w14:paraId="5E0CECC9" w14:textId="12E39177" w:rsidR="00C80D0D" w:rsidRDefault="002B0AAE" w:rsidP="002B0AAE">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t xml:space="preserve">Service of documents and pleadings upon </w:t>
      </w:r>
      <w:r w:rsidR="00C80D0D">
        <w:rPr>
          <w:rFonts w:ascii="Times New Roman" w:eastAsia="Times New Roman" w:hAnsi="Times New Roman" w:cs="Times New Roman"/>
          <w:sz w:val="24"/>
          <w:szCs w:val="24"/>
        </w:rPr>
        <w:t>me</w:t>
      </w:r>
      <w:r w:rsidRPr="00536B65">
        <w:rPr>
          <w:rFonts w:ascii="Times New Roman" w:eastAsia="Times New Roman" w:hAnsi="Times New Roman" w:cs="Times New Roman"/>
          <w:sz w:val="24"/>
          <w:szCs w:val="24"/>
        </w:rPr>
        <w:t xml:space="preserve"> shall be made in accordance with the Commission’s Rules of Practice and Procedure.  </w:t>
      </w:r>
      <w:r w:rsidR="00C80D0D">
        <w:rPr>
          <w:rFonts w:ascii="Times New Roman" w:eastAsia="Times New Roman" w:hAnsi="Times New Roman" w:cs="Times New Roman"/>
          <w:sz w:val="24"/>
          <w:szCs w:val="24"/>
        </w:rPr>
        <w:t xml:space="preserve">I may be served by email at </w:t>
      </w:r>
      <w:hyperlink r:id="rId8" w:history="1">
        <w:r w:rsidR="00C80D0D" w:rsidRPr="001415C8">
          <w:rPr>
            <w:rStyle w:val="Hyperlink"/>
            <w:rFonts w:ascii="Times New Roman" w:eastAsia="Times New Roman" w:hAnsi="Times New Roman" w:cs="Times New Roman"/>
            <w:sz w:val="24"/>
            <w:szCs w:val="24"/>
          </w:rPr>
          <w:t>edevoe@pa.gov</w:t>
        </w:r>
      </w:hyperlink>
      <w:r w:rsidR="00C80D0D">
        <w:rPr>
          <w:rFonts w:ascii="Times New Roman" w:eastAsia="Times New Roman" w:hAnsi="Times New Roman" w:cs="Times New Roman"/>
          <w:sz w:val="24"/>
          <w:szCs w:val="24"/>
        </w:rPr>
        <w:t>, and there is no need to follow up electronic service with a hard copy.  If Complainants do not have internet access, they may serve me by hard copy at 301 Fifth Avenue, Piatt Place, Suite 220, Pittsburgh, PA 15222.</w:t>
      </w:r>
    </w:p>
    <w:p w14:paraId="54A7234E" w14:textId="77777777" w:rsidR="00C80D0D" w:rsidRDefault="00C80D0D" w:rsidP="002B0AAE">
      <w:pPr>
        <w:keepNext/>
        <w:spacing w:after="0" w:line="360" w:lineRule="auto"/>
        <w:ind w:firstLine="1440"/>
        <w:outlineLvl w:val="1"/>
        <w:rPr>
          <w:rFonts w:ascii="Times New Roman" w:eastAsia="Times New Roman" w:hAnsi="Times New Roman" w:cs="Times New Roman"/>
          <w:sz w:val="24"/>
          <w:szCs w:val="24"/>
        </w:rPr>
      </w:pPr>
    </w:p>
    <w:p w14:paraId="3176DD66" w14:textId="5FD68DAC" w:rsidR="002B0AAE" w:rsidRPr="00536B65" w:rsidRDefault="00C80D0D" w:rsidP="002B0AAE">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Parties shall serve </w:t>
      </w:r>
      <w:r w:rsidR="007D10AF">
        <w:rPr>
          <w:rFonts w:ascii="Times New Roman" w:eastAsia="Times New Roman" w:hAnsi="Times New Roman" w:cs="Times New Roman"/>
          <w:sz w:val="24"/>
          <w:szCs w:val="24"/>
        </w:rPr>
        <w:t xml:space="preserve">me with </w:t>
      </w:r>
      <w:r>
        <w:rPr>
          <w:rFonts w:ascii="Times New Roman" w:eastAsia="Times New Roman" w:hAnsi="Times New Roman" w:cs="Times New Roman"/>
          <w:sz w:val="24"/>
          <w:szCs w:val="24"/>
        </w:rPr>
        <w:t xml:space="preserve">a copy of all </w:t>
      </w:r>
      <w:r w:rsidR="002B0AAE" w:rsidRPr="00536B65">
        <w:rPr>
          <w:rFonts w:ascii="Times New Roman" w:eastAsia="Times New Roman" w:hAnsi="Times New Roman" w:cs="Times New Roman"/>
          <w:sz w:val="24"/>
          <w:szCs w:val="24"/>
        </w:rPr>
        <w:t>briefs</w:t>
      </w:r>
      <w:r>
        <w:rPr>
          <w:rFonts w:ascii="Times New Roman" w:eastAsia="Times New Roman" w:hAnsi="Times New Roman" w:cs="Times New Roman"/>
          <w:sz w:val="24"/>
          <w:szCs w:val="24"/>
        </w:rPr>
        <w:t xml:space="preserve">, motions, and responses to motions </w:t>
      </w:r>
      <w:r w:rsidR="002B0AAE" w:rsidRPr="00536B65">
        <w:rPr>
          <w:rFonts w:ascii="Times New Roman" w:eastAsia="Times New Roman" w:hAnsi="Times New Roman" w:cs="Times New Roman"/>
          <w:sz w:val="24"/>
          <w:szCs w:val="24"/>
        </w:rPr>
        <w:t>filed in this proceeding</w:t>
      </w:r>
      <w:r w:rsidR="007D10AF">
        <w:rPr>
          <w:rFonts w:ascii="Times New Roman" w:eastAsia="Times New Roman" w:hAnsi="Times New Roman" w:cs="Times New Roman"/>
          <w:sz w:val="24"/>
          <w:szCs w:val="24"/>
        </w:rPr>
        <w:t>, preferably by email</w:t>
      </w:r>
      <w:r w:rsidR="002B0AAE" w:rsidRPr="00536B65">
        <w:rPr>
          <w:rFonts w:ascii="Times New Roman" w:eastAsia="Times New Roman" w:hAnsi="Times New Roman" w:cs="Times New Roman"/>
          <w:sz w:val="24"/>
          <w:szCs w:val="24"/>
        </w:rPr>
        <w:t xml:space="preserve">.  </w:t>
      </w:r>
      <w:r w:rsidR="007D10AF">
        <w:rPr>
          <w:rFonts w:ascii="Times New Roman" w:eastAsia="Times New Roman" w:hAnsi="Times New Roman" w:cs="Times New Roman"/>
          <w:sz w:val="24"/>
          <w:szCs w:val="24"/>
        </w:rPr>
        <w:t xml:space="preserve">If served by email, Parties must serve me with a Word-compatible version.  </w:t>
      </w:r>
      <w:r w:rsidR="002B0AAE" w:rsidRPr="00536B65">
        <w:rPr>
          <w:rFonts w:ascii="Times New Roman" w:eastAsia="Times New Roman" w:hAnsi="Times New Roman" w:cs="Times New Roman"/>
          <w:sz w:val="24"/>
          <w:szCs w:val="24"/>
        </w:rPr>
        <w:t xml:space="preserve">The Parties shall serve the </w:t>
      </w:r>
      <w:r>
        <w:rPr>
          <w:rFonts w:ascii="Times New Roman" w:eastAsia="Times New Roman" w:hAnsi="Times New Roman" w:cs="Times New Roman"/>
          <w:sz w:val="24"/>
          <w:szCs w:val="24"/>
        </w:rPr>
        <w:t>me</w:t>
      </w:r>
      <w:r w:rsidR="002B0AAE" w:rsidRPr="00536B65">
        <w:rPr>
          <w:rFonts w:ascii="Times New Roman" w:eastAsia="Times New Roman" w:hAnsi="Times New Roman" w:cs="Times New Roman"/>
          <w:sz w:val="24"/>
          <w:szCs w:val="24"/>
        </w:rPr>
        <w:t xml:space="preserve"> directly with any documents filed in this proceeding, other than discovery requests identified herein.  A copy of any document or correspondence sent to </w:t>
      </w:r>
      <w:r>
        <w:rPr>
          <w:rFonts w:ascii="Times New Roman" w:eastAsia="Times New Roman" w:hAnsi="Times New Roman" w:cs="Times New Roman"/>
          <w:sz w:val="24"/>
          <w:szCs w:val="24"/>
        </w:rPr>
        <w:t>me, either by email or by hard copy,</w:t>
      </w:r>
      <w:r w:rsidR="002B0AAE" w:rsidRPr="00536B65">
        <w:rPr>
          <w:rFonts w:ascii="Times New Roman" w:eastAsia="Times New Roman" w:hAnsi="Times New Roman" w:cs="Times New Roman"/>
          <w:sz w:val="24"/>
          <w:szCs w:val="24"/>
        </w:rPr>
        <w:t xml:space="preserve"> must also be sent to all other Parties in the case.  </w:t>
      </w:r>
    </w:p>
    <w:p w14:paraId="5414FB1F" w14:textId="77777777" w:rsidR="002B0AAE" w:rsidRPr="00536B65" w:rsidRDefault="002B0AAE" w:rsidP="002B0AAE">
      <w:pPr>
        <w:spacing w:after="0" w:line="360" w:lineRule="auto"/>
        <w:ind w:firstLine="1440"/>
        <w:rPr>
          <w:rFonts w:ascii="Times New Roman" w:hAnsi="Times New Roman" w:cs="Times New Roman"/>
          <w:sz w:val="24"/>
          <w:szCs w:val="24"/>
        </w:rPr>
      </w:pPr>
    </w:p>
    <w:p w14:paraId="43F2A928" w14:textId="77777777" w:rsidR="002B0AAE" w:rsidRPr="00536B65" w:rsidRDefault="002B0AAE" w:rsidP="002B0AAE">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14:paraId="4F5035A7" w14:textId="77777777" w:rsidR="002B0AAE" w:rsidRPr="00536B65" w:rsidRDefault="002B0AAE" w:rsidP="002B0AAE">
      <w:pPr>
        <w:spacing w:after="0" w:line="360" w:lineRule="auto"/>
        <w:rPr>
          <w:rFonts w:ascii="Times New Roman" w:hAnsi="Times New Roman" w:cs="Times New Roman"/>
          <w:sz w:val="24"/>
          <w:szCs w:val="24"/>
          <w:u w:val="single"/>
        </w:rPr>
      </w:pPr>
    </w:p>
    <w:p w14:paraId="53272481" w14:textId="19A5D82A" w:rsidR="002B0AAE" w:rsidRPr="00536B65" w:rsidRDefault="002B0AAE" w:rsidP="002B0AAE">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may agree </w:t>
      </w:r>
      <w:r w:rsidR="007D10AF">
        <w:rPr>
          <w:rFonts w:ascii="Times New Roman" w:hAnsi="Times New Roman" w:cs="Times New Roman"/>
          <w:sz w:val="24"/>
          <w:szCs w:val="24"/>
        </w:rPr>
        <w:t xml:space="preserve">between each other </w:t>
      </w:r>
      <w:r w:rsidRPr="00536B65">
        <w:rPr>
          <w:rFonts w:ascii="Times New Roman" w:hAnsi="Times New Roman" w:cs="Times New Roman"/>
          <w:sz w:val="24"/>
          <w:szCs w:val="24"/>
        </w:rPr>
        <w:t>to accept email and facsimile transmission of documents.</w:t>
      </w:r>
      <w:r w:rsidR="007D10AF">
        <w:rPr>
          <w:rFonts w:ascii="Times New Roman" w:hAnsi="Times New Roman" w:cs="Times New Roman"/>
          <w:sz w:val="24"/>
          <w:szCs w:val="24"/>
        </w:rPr>
        <w:t xml:space="preserve">  Absent such an agreement, parties must be served by hard copy.</w:t>
      </w:r>
      <w:r w:rsidRPr="00536B65">
        <w:rPr>
          <w:rFonts w:ascii="Times New Roman" w:hAnsi="Times New Roman" w:cs="Times New Roman"/>
          <w:sz w:val="24"/>
          <w:szCs w:val="24"/>
        </w:rPr>
        <w:t xml:space="preserve">  </w:t>
      </w:r>
      <w:r w:rsidR="007D10AF">
        <w:rPr>
          <w:rFonts w:ascii="Times New Roman" w:hAnsi="Times New Roman" w:cs="Times New Roman"/>
          <w:sz w:val="24"/>
          <w:szCs w:val="24"/>
        </w:rPr>
        <w:t>I</w:t>
      </w:r>
      <w:r w:rsidRPr="00536B65">
        <w:rPr>
          <w:rFonts w:ascii="Times New Roman" w:hAnsi="Times New Roman" w:cs="Times New Roman"/>
          <w:sz w:val="24"/>
          <w:szCs w:val="24"/>
        </w:rPr>
        <w:t xml:space="preserve"> </w:t>
      </w:r>
      <w:r w:rsidRPr="00536B65">
        <w:rPr>
          <w:rFonts w:ascii="Times New Roman" w:hAnsi="Times New Roman" w:cs="Times New Roman"/>
          <w:sz w:val="24"/>
          <w:szCs w:val="24"/>
        </w:rPr>
        <w:lastRenderedPageBreak/>
        <w:t xml:space="preserve">will not accept facsimile transmissions greater than ten pages in length without prior authorization.  If the Parties have any questions, they may call </w:t>
      </w:r>
      <w:r w:rsidR="007D10AF">
        <w:rPr>
          <w:rFonts w:ascii="Times New Roman" w:hAnsi="Times New Roman" w:cs="Times New Roman"/>
          <w:sz w:val="24"/>
          <w:szCs w:val="24"/>
        </w:rPr>
        <w:t xml:space="preserve">my </w:t>
      </w:r>
      <w:r w:rsidRPr="00536B65">
        <w:rPr>
          <w:rFonts w:ascii="Times New Roman" w:hAnsi="Times New Roman" w:cs="Times New Roman"/>
          <w:sz w:val="24"/>
          <w:szCs w:val="24"/>
        </w:rPr>
        <w:t>office at (412) 565-3550.</w:t>
      </w:r>
    </w:p>
    <w:p w14:paraId="1FB044BA" w14:textId="77777777" w:rsidR="002B0AAE" w:rsidRDefault="002B0AAE" w:rsidP="002B0AAE">
      <w:pPr>
        <w:spacing w:after="0" w:line="360" w:lineRule="auto"/>
        <w:rPr>
          <w:rFonts w:ascii="Times New Roman" w:hAnsi="Times New Roman" w:cs="Times New Roman"/>
          <w:sz w:val="24"/>
          <w:szCs w:val="24"/>
        </w:rPr>
      </w:pPr>
    </w:p>
    <w:p w14:paraId="48496192" w14:textId="77777777" w:rsidR="002B0AAE" w:rsidRPr="00536B65" w:rsidRDefault="002B0AAE" w:rsidP="002B0AAE">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t>Discovery</w:t>
      </w:r>
    </w:p>
    <w:p w14:paraId="4230FB40" w14:textId="77777777" w:rsidR="002B0AAE" w:rsidRPr="00536B65" w:rsidRDefault="002B0AAE" w:rsidP="002B0AAE">
      <w:pPr>
        <w:spacing w:after="0"/>
        <w:rPr>
          <w:rFonts w:ascii="Times New Roman" w:hAnsi="Times New Roman" w:cs="Times New Roman"/>
          <w:sz w:val="24"/>
          <w:szCs w:val="24"/>
        </w:rPr>
      </w:pPr>
    </w:p>
    <w:p w14:paraId="6C239E97" w14:textId="0250CC19" w:rsidR="002B0AAE" w:rsidRPr="00536B65" w:rsidRDefault="002B0AAE" w:rsidP="002B0AAE">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in an attempt to resolve any discovery disputes amicably.  </w:t>
      </w:r>
      <w:r w:rsidR="002F79D8" w:rsidRPr="0087197E">
        <w:rPr>
          <w:rFonts w:ascii="Times New Roman" w:hAnsi="Times New Roman" w:cs="Times New Roman"/>
          <w:sz w:val="24"/>
          <w:szCs w:val="24"/>
        </w:rPr>
        <w:t xml:space="preserve">52 Pa.Code § 5.322.  </w:t>
      </w:r>
      <w:r w:rsidRPr="00536B65">
        <w:rPr>
          <w:rFonts w:ascii="Times New Roman" w:hAnsi="Times New Roman" w:cs="Times New Roman"/>
          <w:sz w:val="24"/>
          <w:szCs w:val="24"/>
        </w:rPr>
        <w:t xml:space="preserve">If this process fails, the Parties have recourse </w:t>
      </w:r>
      <w:r w:rsidR="007D10AF">
        <w:rPr>
          <w:rFonts w:ascii="Times New Roman" w:hAnsi="Times New Roman" w:cs="Times New Roman"/>
          <w:sz w:val="24"/>
          <w:szCs w:val="24"/>
        </w:rPr>
        <w:t>via</w:t>
      </w:r>
      <w:r w:rsidRPr="00536B65">
        <w:rPr>
          <w:rFonts w:ascii="Times New Roman" w:hAnsi="Times New Roman" w:cs="Times New Roman"/>
          <w:sz w:val="24"/>
          <w:szCs w:val="24"/>
        </w:rPr>
        <w:t xml:space="preserve"> the Commission’s procedures for formal discovery, as herein modified.  </w:t>
      </w:r>
      <w:r w:rsidR="002F79D8" w:rsidRPr="0087197E">
        <w:rPr>
          <w:rFonts w:ascii="Times New Roman" w:hAnsi="Times New Roman" w:cs="Times New Roman"/>
          <w:sz w:val="24"/>
          <w:szCs w:val="24"/>
        </w:rPr>
        <w:t xml:space="preserve">52 Pa.Code §§ 5.321, </w:t>
      </w:r>
      <w:r w:rsidR="002F79D8" w:rsidRPr="0087197E">
        <w:rPr>
          <w:rFonts w:ascii="Times New Roman" w:hAnsi="Times New Roman" w:cs="Times New Roman"/>
          <w:i/>
          <w:sz w:val="24"/>
          <w:szCs w:val="24"/>
        </w:rPr>
        <w:t>et</w:t>
      </w:r>
      <w:r w:rsidR="002F79D8" w:rsidRPr="0087197E">
        <w:rPr>
          <w:rFonts w:ascii="Times New Roman" w:hAnsi="Times New Roman" w:cs="Times New Roman"/>
          <w:sz w:val="24"/>
          <w:szCs w:val="24"/>
        </w:rPr>
        <w:t xml:space="preserve"> </w:t>
      </w:r>
      <w:r w:rsidR="002F79D8" w:rsidRPr="0087197E">
        <w:rPr>
          <w:rFonts w:ascii="Times New Roman" w:hAnsi="Times New Roman" w:cs="Times New Roman"/>
          <w:i/>
          <w:sz w:val="24"/>
          <w:szCs w:val="24"/>
        </w:rPr>
        <w:t>seq</w:t>
      </w:r>
      <w:r w:rsidR="002F79D8" w:rsidRPr="0087197E">
        <w:rPr>
          <w:rFonts w:ascii="Times New Roman" w:hAnsi="Times New Roman" w:cs="Times New Roman"/>
          <w:sz w:val="24"/>
          <w:szCs w:val="24"/>
        </w:rPr>
        <w:t xml:space="preserve">.  </w:t>
      </w:r>
      <w:r w:rsidRPr="00536B65">
        <w:rPr>
          <w:rFonts w:ascii="Times New Roman" w:hAnsi="Times New Roman" w:cs="Times New Roman"/>
          <w:sz w:val="24"/>
          <w:szCs w:val="24"/>
        </w:rPr>
        <w:t xml:space="preserve">The Parties must not send </w:t>
      </w:r>
      <w:r w:rsidR="007D10AF">
        <w:rPr>
          <w:rFonts w:ascii="Times New Roman" w:hAnsi="Times New Roman" w:cs="Times New Roman"/>
          <w:sz w:val="24"/>
          <w:szCs w:val="24"/>
        </w:rPr>
        <w:t xml:space="preserve">me </w:t>
      </w:r>
      <w:r w:rsidRPr="00536B65">
        <w:rPr>
          <w:rFonts w:ascii="Times New Roman" w:hAnsi="Times New Roman" w:cs="Times New Roman"/>
          <w:sz w:val="24"/>
          <w:szCs w:val="24"/>
        </w:rPr>
        <w:t xml:space="preserve">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w:t>
      </w:r>
      <w:r w:rsidR="007D10AF">
        <w:rPr>
          <w:rFonts w:ascii="Times New Roman" w:hAnsi="Times New Roman" w:cs="Times New Roman"/>
          <w:sz w:val="24"/>
          <w:szCs w:val="24"/>
        </w:rPr>
        <w:t>I</w:t>
      </w:r>
      <w:r w:rsidRPr="00536B65">
        <w:rPr>
          <w:rFonts w:ascii="Times New Roman" w:hAnsi="Times New Roman" w:cs="Times New Roman"/>
          <w:sz w:val="24"/>
          <w:szCs w:val="24"/>
        </w:rPr>
        <w:t xml:space="preserve"> will contact the Parties and direct them to pursue informal discovery.</w:t>
      </w:r>
    </w:p>
    <w:p w14:paraId="2D87E69E" w14:textId="77777777" w:rsidR="002B0AAE" w:rsidRPr="00536B65" w:rsidRDefault="002B0AAE" w:rsidP="002B0AAE">
      <w:pPr>
        <w:spacing w:after="0" w:line="360" w:lineRule="auto"/>
        <w:rPr>
          <w:rFonts w:ascii="Times New Roman" w:hAnsi="Times New Roman" w:cs="Times New Roman"/>
          <w:sz w:val="24"/>
          <w:szCs w:val="24"/>
        </w:rPr>
      </w:pPr>
    </w:p>
    <w:p w14:paraId="51A6F445" w14:textId="3CB0DD2B" w:rsidR="002B0AAE" w:rsidRPr="00536B65" w:rsidRDefault="002B0AAE" w:rsidP="002B0AAE">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14:paraId="0CF5CFBD" w14:textId="77777777" w:rsidR="002B0AAE" w:rsidRPr="00536B65" w:rsidRDefault="002B0AAE" w:rsidP="002B0AAE">
      <w:pPr>
        <w:tabs>
          <w:tab w:val="center" w:pos="4680"/>
          <w:tab w:val="right" w:pos="9360"/>
        </w:tabs>
        <w:spacing w:after="0" w:line="360" w:lineRule="auto"/>
        <w:rPr>
          <w:rFonts w:ascii="Times New Roman" w:hAnsi="Times New Roman" w:cs="Times New Roman"/>
          <w:sz w:val="24"/>
          <w:szCs w:val="24"/>
        </w:rPr>
      </w:pPr>
    </w:p>
    <w:p w14:paraId="4D2F42E0" w14:textId="3977CD40" w:rsidR="002B0AAE" w:rsidRPr="00536B65" w:rsidRDefault="002B0AAE" w:rsidP="002B0AAE">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w:t>
      </w:r>
      <w:r w:rsidR="009F69C0" w:rsidRPr="0087197E">
        <w:rPr>
          <w:rFonts w:ascii="Times New Roman" w:hAnsi="Times New Roman" w:cs="Times New Roman"/>
          <w:sz w:val="24"/>
          <w:szCs w:val="24"/>
        </w:rPr>
        <w:t xml:space="preserve">52 Pa.Code § 5.231(a).  </w:t>
      </w:r>
      <w:r w:rsidRPr="00536B65">
        <w:rPr>
          <w:rFonts w:ascii="Times New Roman" w:hAnsi="Times New Roman" w:cs="Times New Roman"/>
          <w:sz w:val="24"/>
          <w:szCs w:val="24"/>
        </w:rPr>
        <w:t xml:space="preserve">The Parties are strongly urged to seriously explore this possibility.  The Settlement Judge Procedure is also available upon consent of the Parties.  </w:t>
      </w:r>
    </w:p>
    <w:p w14:paraId="29257493" w14:textId="77777777" w:rsidR="002B0AAE" w:rsidRPr="00536B65" w:rsidRDefault="002B0AAE" w:rsidP="002B0AAE">
      <w:pPr>
        <w:tabs>
          <w:tab w:val="center" w:pos="4680"/>
          <w:tab w:val="right" w:pos="9360"/>
        </w:tabs>
        <w:spacing w:after="0" w:line="360" w:lineRule="auto"/>
        <w:rPr>
          <w:rFonts w:ascii="Times New Roman" w:hAnsi="Times New Roman" w:cs="Times New Roman"/>
          <w:sz w:val="24"/>
          <w:szCs w:val="24"/>
        </w:rPr>
      </w:pPr>
    </w:p>
    <w:p w14:paraId="1CF60625" w14:textId="57B21702" w:rsidR="002B0AAE" w:rsidRPr="00536B65" w:rsidRDefault="002B0AAE" w:rsidP="002B0AAE">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w:t>
      </w:r>
      <w:r w:rsidR="00E76205" w:rsidRPr="0087197E">
        <w:rPr>
          <w:rFonts w:ascii="Times New Roman" w:hAnsi="Times New Roman" w:cs="Times New Roman"/>
          <w:sz w:val="24"/>
          <w:szCs w:val="24"/>
        </w:rPr>
        <w:t xml:space="preserve">52 Pa.Code §§ 5.232 and 5.234.  </w:t>
      </w:r>
      <w:r w:rsidRPr="00536B65">
        <w:rPr>
          <w:rFonts w:ascii="Times New Roman" w:hAnsi="Times New Roman" w:cs="Times New Roman"/>
          <w:sz w:val="24"/>
          <w:szCs w:val="24"/>
        </w:rPr>
        <w:t xml:space="preserve">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w:t>
      </w:r>
      <w:r w:rsidR="007D10AF">
        <w:rPr>
          <w:rFonts w:ascii="Times New Roman" w:hAnsi="Times New Roman" w:cs="Times New Roman"/>
          <w:sz w:val="24"/>
          <w:szCs w:val="24"/>
        </w:rPr>
        <w:t>me</w:t>
      </w:r>
      <w:r w:rsidRPr="00536B65">
        <w:rPr>
          <w:rFonts w:ascii="Times New Roman" w:hAnsi="Times New Roman" w:cs="Times New Roman"/>
          <w:sz w:val="24"/>
          <w:szCs w:val="24"/>
        </w:rPr>
        <w:t>.</w:t>
      </w:r>
    </w:p>
    <w:p w14:paraId="7F6C673D" w14:textId="77777777" w:rsidR="002B0AAE" w:rsidRDefault="002B0AAE" w:rsidP="002B0AAE">
      <w:pPr>
        <w:tabs>
          <w:tab w:val="center" w:pos="4680"/>
          <w:tab w:val="right" w:pos="9360"/>
        </w:tabs>
        <w:spacing w:after="0" w:line="360" w:lineRule="auto"/>
        <w:rPr>
          <w:rFonts w:ascii="Times New Roman" w:hAnsi="Times New Roman" w:cs="Times New Roman"/>
          <w:sz w:val="24"/>
          <w:szCs w:val="24"/>
          <w:u w:val="single"/>
        </w:rPr>
      </w:pPr>
    </w:p>
    <w:p w14:paraId="232F22FD" w14:textId="77777777" w:rsidR="00D26D16" w:rsidRDefault="00D26D16" w:rsidP="002B0AAE">
      <w:pPr>
        <w:tabs>
          <w:tab w:val="center" w:pos="4680"/>
          <w:tab w:val="right" w:pos="9360"/>
        </w:tabs>
        <w:spacing w:after="0" w:line="360" w:lineRule="auto"/>
        <w:rPr>
          <w:rFonts w:ascii="Times New Roman" w:hAnsi="Times New Roman" w:cs="Times New Roman"/>
          <w:sz w:val="24"/>
          <w:szCs w:val="24"/>
          <w:u w:val="single"/>
        </w:rPr>
      </w:pPr>
    </w:p>
    <w:p w14:paraId="7CC1883E" w14:textId="7FB6CEF9" w:rsidR="002B0AAE" w:rsidRPr="00536B65" w:rsidRDefault="002B0AAE" w:rsidP="002B0AAE">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Request For Protective Order</w:t>
      </w:r>
    </w:p>
    <w:p w14:paraId="2794A0BF" w14:textId="77777777" w:rsidR="002B0AAE" w:rsidRPr="00536B65" w:rsidRDefault="002B0AAE" w:rsidP="002B0AAE">
      <w:pPr>
        <w:tabs>
          <w:tab w:val="center" w:pos="4680"/>
          <w:tab w:val="right" w:pos="9360"/>
        </w:tabs>
        <w:spacing w:after="0" w:line="360" w:lineRule="auto"/>
        <w:rPr>
          <w:rFonts w:ascii="Times New Roman" w:hAnsi="Times New Roman" w:cs="Times New Roman"/>
          <w:sz w:val="24"/>
          <w:szCs w:val="24"/>
          <w:u w:val="single"/>
        </w:rPr>
      </w:pPr>
    </w:p>
    <w:p w14:paraId="0BE77A5C" w14:textId="63DCB35C" w:rsidR="002B0AAE" w:rsidRDefault="002B0AAE" w:rsidP="002B0AAE">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specifically provide for the protection of “confidential” information in order to ensure that adequate procedural safeguards are put in place to make certain that sensitive information is not improperly disclosed to the </w:t>
      </w:r>
    </w:p>
    <w:p w14:paraId="25BF4276" w14:textId="5E95DC5B" w:rsidR="002B0AAE" w:rsidRPr="00536B65" w:rsidRDefault="002B0AAE" w:rsidP="002B0AAE">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public.</w:t>
      </w:r>
      <w:r w:rsidR="00E76205">
        <w:rPr>
          <w:rFonts w:ascii="Times New Roman" w:eastAsia="Calibri" w:hAnsi="Times New Roman" w:cs="Times New Roman"/>
          <w:sz w:val="24"/>
          <w:szCs w:val="24"/>
        </w:rPr>
        <w:t xml:space="preserve">  </w:t>
      </w:r>
      <w:r w:rsidR="00E76205" w:rsidRPr="0087197E">
        <w:rPr>
          <w:rFonts w:ascii="Times New Roman" w:eastAsia="Calibri" w:hAnsi="Times New Roman" w:cs="Times New Roman"/>
          <w:sz w:val="24"/>
          <w:szCs w:val="24"/>
        </w:rPr>
        <w:t>52 Pa.Code § 5.423.</w:t>
      </w:r>
      <w:r w:rsidRPr="00536B65">
        <w:rPr>
          <w:rFonts w:ascii="Times New Roman" w:eastAsia="Calibri" w:hAnsi="Times New Roman" w:cs="Times New Roman"/>
          <w:sz w:val="24"/>
          <w:szCs w:val="24"/>
        </w:rPr>
        <w:t xml:space="preserve">  In the event that any Party is desirous of entering into an agreement with regard to a 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71EA1F10" w14:textId="77777777" w:rsidR="007F19CB" w:rsidRDefault="007F19CB" w:rsidP="002B0AAE">
      <w:pPr>
        <w:tabs>
          <w:tab w:val="center" w:pos="4680"/>
          <w:tab w:val="right" w:pos="9360"/>
        </w:tabs>
        <w:spacing w:after="0" w:line="360" w:lineRule="auto"/>
        <w:rPr>
          <w:rFonts w:ascii="Times New Roman" w:hAnsi="Times New Roman" w:cs="Times New Roman"/>
          <w:sz w:val="24"/>
          <w:szCs w:val="24"/>
          <w:u w:val="single"/>
        </w:rPr>
      </w:pPr>
    </w:p>
    <w:p w14:paraId="10742107" w14:textId="4B69FD19" w:rsidR="002B0AAE" w:rsidRPr="00536B65" w:rsidRDefault="002B0AAE" w:rsidP="002B0AAE">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Subpoenas</w:t>
      </w:r>
    </w:p>
    <w:p w14:paraId="5223BA3F" w14:textId="77777777" w:rsidR="002B0AAE" w:rsidRPr="00536B65" w:rsidRDefault="002B0AAE" w:rsidP="002B0A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3FACDF46" w14:textId="61EC44F7" w:rsidR="002B0AAE" w:rsidRPr="00536B65" w:rsidRDefault="002B0AAE" w:rsidP="002B0AAE">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Any Party intending to subpoena a witness for the hearing is directed to review the procedures established in 52 Pa.Code § 5.421.  Such Party shall submit its written application to the Presiding Officer sufficiently in advance of </w:t>
      </w:r>
      <w:r w:rsidR="00045AE3">
        <w:rPr>
          <w:rFonts w:ascii="Times New Roman" w:hAnsi="Times New Roman" w:cs="Times New Roman"/>
          <w:sz w:val="24"/>
          <w:szCs w:val="24"/>
        </w:rPr>
        <w:t>any</w:t>
      </w:r>
      <w:r w:rsidRPr="00536B65">
        <w:rPr>
          <w:rFonts w:ascii="Times New Roman" w:hAnsi="Times New Roman" w:cs="Times New Roman"/>
          <w:sz w:val="24"/>
          <w:szCs w:val="24"/>
        </w:rPr>
        <w:t xml:space="preserve"> hearing date</w:t>
      </w:r>
      <w:r w:rsidR="00045AE3">
        <w:rPr>
          <w:rFonts w:ascii="Times New Roman" w:hAnsi="Times New Roman" w:cs="Times New Roman"/>
          <w:sz w:val="24"/>
          <w:szCs w:val="24"/>
        </w:rPr>
        <w:t>,</w:t>
      </w:r>
      <w:r w:rsidRPr="00536B65">
        <w:rPr>
          <w:rFonts w:ascii="Times New Roman" w:hAnsi="Times New Roman" w:cs="Times New Roman"/>
          <w:sz w:val="24"/>
          <w:szCs w:val="24"/>
        </w:rPr>
        <w:t xml:space="preserve"> so that the other Parties will have the required ten (10) days’ notice to answer or object, and so that </w:t>
      </w:r>
      <w:r w:rsidR="00045AE3">
        <w:rPr>
          <w:rFonts w:ascii="Times New Roman" w:hAnsi="Times New Roman" w:cs="Times New Roman"/>
          <w:sz w:val="24"/>
          <w:szCs w:val="24"/>
        </w:rPr>
        <w:t>the requesting Party</w:t>
      </w:r>
      <w:r w:rsidRPr="00536B65">
        <w:rPr>
          <w:rFonts w:ascii="Times New Roman" w:hAnsi="Times New Roman" w:cs="Times New Roman"/>
          <w:sz w:val="24"/>
          <w:szCs w:val="24"/>
        </w:rPr>
        <w:t xml:space="preserve"> will have enough time to receive the subpoena and serve it.</w:t>
      </w:r>
    </w:p>
    <w:p w14:paraId="65FE58D8" w14:textId="77777777" w:rsidR="002B0AAE" w:rsidRPr="00536B65" w:rsidRDefault="002B0AAE" w:rsidP="002B0AAE">
      <w:pPr>
        <w:tabs>
          <w:tab w:val="center" w:pos="4680"/>
          <w:tab w:val="right" w:pos="9360"/>
        </w:tabs>
        <w:spacing w:after="0" w:line="360" w:lineRule="auto"/>
        <w:rPr>
          <w:rFonts w:ascii="Times New Roman" w:hAnsi="Times New Roman" w:cs="Times New Roman"/>
          <w:sz w:val="24"/>
          <w:szCs w:val="24"/>
        </w:rPr>
      </w:pPr>
    </w:p>
    <w:p w14:paraId="69A33D31" w14:textId="77777777" w:rsidR="002B0AAE" w:rsidRPr="00536B65" w:rsidRDefault="002B0AAE" w:rsidP="002B0AAE">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14:paraId="366F8221" w14:textId="77777777" w:rsidR="002B0AAE" w:rsidRPr="00536B65" w:rsidRDefault="002B0AAE" w:rsidP="002B0AAE">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032FE6E6" w14:textId="485066CA" w:rsidR="00E127DA" w:rsidRDefault="002B0AAE" w:rsidP="007511CF">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w:t>
      </w:r>
      <w:r w:rsidR="00045AE3">
        <w:rPr>
          <w:rFonts w:ascii="Times New Roman" w:hAnsi="Times New Roman" w:cs="Times New Roman"/>
          <w:sz w:val="24"/>
          <w:szCs w:val="24"/>
        </w:rPr>
        <w:t>offer</w:t>
      </w:r>
      <w:r w:rsidRPr="00536B65">
        <w:rPr>
          <w:rFonts w:ascii="Times New Roman" w:hAnsi="Times New Roman" w:cs="Times New Roman"/>
          <w:sz w:val="24"/>
          <w:szCs w:val="24"/>
        </w:rPr>
        <w:t xml:space="preserve"> any </w:t>
      </w:r>
      <w:r w:rsidR="00045AE3">
        <w:rPr>
          <w:rFonts w:ascii="Times New Roman" w:hAnsi="Times New Roman" w:cs="Times New Roman"/>
          <w:sz w:val="24"/>
          <w:szCs w:val="24"/>
        </w:rPr>
        <w:t>material</w:t>
      </w:r>
      <w:r w:rsidRPr="00536B65">
        <w:rPr>
          <w:rFonts w:ascii="Times New Roman" w:hAnsi="Times New Roman" w:cs="Times New Roman"/>
          <w:sz w:val="24"/>
          <w:szCs w:val="24"/>
        </w:rPr>
        <w:t>, including any documents or exhibits</w:t>
      </w:r>
      <w:r w:rsidR="00045AE3">
        <w:rPr>
          <w:rFonts w:ascii="Times New Roman" w:hAnsi="Times New Roman" w:cs="Times New Roman"/>
          <w:sz w:val="24"/>
          <w:szCs w:val="24"/>
        </w:rPr>
        <w:t>,</w:t>
      </w:r>
      <w:r w:rsidRPr="00536B65">
        <w:rPr>
          <w:rFonts w:ascii="Times New Roman" w:hAnsi="Times New Roman" w:cs="Times New Roman"/>
          <w:sz w:val="24"/>
          <w:szCs w:val="24"/>
        </w:rPr>
        <w:t xml:space="preserve"> into evidence or have a witness refer to any material</w:t>
      </w:r>
      <w:r w:rsidR="00045AE3">
        <w:rPr>
          <w:rFonts w:ascii="Times New Roman" w:hAnsi="Times New Roman" w:cs="Times New Roman"/>
          <w:sz w:val="24"/>
          <w:szCs w:val="24"/>
        </w:rPr>
        <w:t xml:space="preserve">, </w:t>
      </w:r>
      <w:r w:rsidRPr="00536B65">
        <w:rPr>
          <w:rFonts w:ascii="Times New Roman" w:hAnsi="Times New Roman" w:cs="Times New Roman"/>
          <w:sz w:val="24"/>
          <w:szCs w:val="24"/>
        </w:rPr>
        <w:t>you must properly pre-mark</w:t>
      </w:r>
      <w:r w:rsidR="00045AE3">
        <w:rPr>
          <w:rFonts w:ascii="Times New Roman" w:hAnsi="Times New Roman" w:cs="Times New Roman"/>
          <w:sz w:val="24"/>
          <w:szCs w:val="24"/>
        </w:rPr>
        <w:t xml:space="preserve"> all materials</w:t>
      </w:r>
      <w:r w:rsidRPr="00536B65">
        <w:rPr>
          <w:rFonts w:ascii="Times New Roman" w:hAnsi="Times New Roman" w:cs="Times New Roman"/>
          <w:sz w:val="24"/>
          <w:szCs w:val="24"/>
        </w:rPr>
        <w:t xml:space="preserve"> for identification.  </w:t>
      </w:r>
      <w:r w:rsidR="00E127DA" w:rsidRPr="0039728F">
        <w:rPr>
          <w:rFonts w:ascii="Times New Roman" w:hAnsi="Times New Roman" w:cs="Times New Roman"/>
          <w:b/>
          <w:bCs/>
          <w:sz w:val="24"/>
          <w:szCs w:val="24"/>
        </w:rPr>
        <w:t xml:space="preserve">Do not include account numbers or any other personally identifiable information (PII), such as social security numbers, in your documents or exhibits.  It is the </w:t>
      </w:r>
      <w:r w:rsidR="007511CF">
        <w:rPr>
          <w:rFonts w:ascii="Times New Roman" w:hAnsi="Times New Roman" w:cs="Times New Roman"/>
          <w:b/>
          <w:bCs/>
          <w:sz w:val="24"/>
          <w:szCs w:val="24"/>
        </w:rPr>
        <w:t>P</w:t>
      </w:r>
      <w:r w:rsidR="00E127DA" w:rsidRPr="0039728F">
        <w:rPr>
          <w:rFonts w:ascii="Times New Roman" w:hAnsi="Times New Roman" w:cs="Times New Roman"/>
          <w:b/>
          <w:bCs/>
          <w:sz w:val="24"/>
          <w:szCs w:val="24"/>
        </w:rPr>
        <w:t xml:space="preserve">arties’ responsibility to redact any PII contained within a document or exhibit before </w:t>
      </w:r>
      <w:r w:rsidR="007511CF">
        <w:rPr>
          <w:rFonts w:ascii="Times New Roman" w:hAnsi="Times New Roman" w:cs="Times New Roman"/>
          <w:b/>
          <w:bCs/>
          <w:sz w:val="24"/>
          <w:szCs w:val="24"/>
        </w:rPr>
        <w:t>offering</w:t>
      </w:r>
      <w:r w:rsidR="00E127DA" w:rsidRPr="0039728F">
        <w:rPr>
          <w:rFonts w:ascii="Times New Roman" w:hAnsi="Times New Roman" w:cs="Times New Roman"/>
          <w:b/>
          <w:bCs/>
          <w:sz w:val="24"/>
          <w:szCs w:val="24"/>
        </w:rPr>
        <w:t xml:space="preserve"> it into the record.  </w:t>
      </w:r>
      <w:r w:rsidR="00E127DA" w:rsidRPr="0039728F">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1F8DB570" w14:textId="77777777" w:rsidR="007511CF" w:rsidRDefault="007511CF" w:rsidP="007511CF">
      <w:pPr>
        <w:spacing w:after="0" w:line="360" w:lineRule="auto"/>
        <w:ind w:firstLine="1440"/>
        <w:rPr>
          <w:rFonts w:ascii="Times New Roman" w:hAnsi="Times New Roman" w:cs="Times New Roman"/>
          <w:sz w:val="24"/>
          <w:szCs w:val="24"/>
        </w:rPr>
      </w:pPr>
    </w:p>
    <w:p w14:paraId="47B307CC" w14:textId="3A3EF560" w:rsidR="007511CF" w:rsidRPr="0039728F" w:rsidRDefault="007511CF" w:rsidP="007511C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Proposed exhibits must be served upon me and all other Parties no later than (7) calendar days prior to any hearing.  </w:t>
      </w:r>
    </w:p>
    <w:p w14:paraId="15D4E54C" w14:textId="77777777" w:rsidR="002B0AAE" w:rsidRDefault="002B0AAE" w:rsidP="002B0A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236D5E57" w14:textId="77777777" w:rsidR="002B0AAE" w:rsidRDefault="002B0AAE" w:rsidP="002B0A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t>Prehearing Conference</w:t>
      </w:r>
    </w:p>
    <w:p w14:paraId="35C8FF41" w14:textId="77777777" w:rsidR="002B0AAE" w:rsidRDefault="002B0AAE" w:rsidP="002B0AAE">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7E125874" w14:textId="03457D7D" w:rsidR="002B0AAE" w:rsidRPr="00045AE3" w:rsidRDefault="002B0AAE" w:rsidP="00045AE3">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w:t>
      </w:r>
    </w:p>
    <w:p w14:paraId="20D84A29" w14:textId="77777777" w:rsidR="002B0AAE" w:rsidRDefault="002B0AAE" w:rsidP="002B0AAE">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24A1CFA7" w14:textId="77777777" w:rsidR="002B0AAE" w:rsidRPr="00536B65" w:rsidRDefault="002B0AAE" w:rsidP="002B0A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t>Modification</w:t>
      </w:r>
    </w:p>
    <w:p w14:paraId="6EA7FB74" w14:textId="77777777" w:rsidR="002B0AAE" w:rsidRPr="00536B65" w:rsidRDefault="002B0AAE" w:rsidP="002B0AAE">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14:paraId="3D667D6A" w14:textId="1BEBD6B1" w:rsidR="002B0AAE" w:rsidRPr="00536B65" w:rsidRDefault="002B0AAE" w:rsidP="002B0AAE">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Pr="00536B65">
        <w:rPr>
          <w:rFonts w:ascii="Times New Roman" w:hAnsi="Times New Roman" w:cs="Times New Roman"/>
          <w:spacing w:val="-3"/>
          <w:sz w:val="24"/>
          <w:szCs w:val="24"/>
        </w:rPr>
        <w:t>Order may be modified by an interim order entered into the record upon motion and good cause shown by a Party in interest.</w:t>
      </w:r>
    </w:p>
    <w:p w14:paraId="3C706A9E" w14:textId="77777777" w:rsidR="00B03216" w:rsidRDefault="00B03216" w:rsidP="003938C4">
      <w:pPr>
        <w:spacing w:after="0" w:line="360" w:lineRule="auto"/>
        <w:ind w:firstLine="1440"/>
        <w:rPr>
          <w:rFonts w:ascii="Times New Roman" w:hAnsi="Times New Roman" w:cs="Times New Roman"/>
          <w:spacing w:val="-3"/>
          <w:sz w:val="24"/>
          <w:szCs w:val="24"/>
        </w:rPr>
      </w:pPr>
    </w:p>
    <w:p w14:paraId="37F208AE" w14:textId="77777777" w:rsidR="00045AE3" w:rsidRPr="006A685B" w:rsidRDefault="00045AE3" w:rsidP="003938C4">
      <w:pPr>
        <w:spacing w:after="0" w:line="360" w:lineRule="auto"/>
        <w:ind w:firstLine="1440"/>
        <w:rPr>
          <w:rFonts w:ascii="Times New Roman" w:eastAsia="Times New Roman" w:hAnsi="Times New Roman" w:cs="Times New Roman"/>
          <w:sz w:val="24"/>
          <w:szCs w:val="24"/>
        </w:rPr>
      </w:pPr>
    </w:p>
    <w:p w14:paraId="648F073D" w14:textId="02535EA5" w:rsidR="003938C4" w:rsidRPr="006A685B" w:rsidRDefault="003938C4" w:rsidP="003938C4">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u w:val="single"/>
        </w:rPr>
      </w:pPr>
      <w:bookmarkStart w:id="0" w:name="_Hlk10727748"/>
      <w:r w:rsidRPr="006A685B">
        <w:rPr>
          <w:rFonts w:ascii="Times New Roman" w:eastAsia="Times New Roman" w:hAnsi="Times New Roman" w:cs="Times New Roman"/>
          <w:sz w:val="24"/>
          <w:szCs w:val="24"/>
        </w:rPr>
        <w:t xml:space="preserve">Date:  </w:t>
      </w:r>
      <w:r w:rsidR="007F19CB">
        <w:rPr>
          <w:rFonts w:ascii="Times New Roman" w:eastAsia="Times New Roman" w:hAnsi="Times New Roman" w:cs="Times New Roman"/>
          <w:sz w:val="24"/>
          <w:szCs w:val="24"/>
          <w:u w:val="single"/>
        </w:rPr>
        <w:t>February 14, 2024</w:t>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u w:val="single"/>
        </w:rPr>
        <w:tab/>
      </w:r>
      <w:r w:rsidRPr="006A685B">
        <w:rPr>
          <w:rFonts w:ascii="Times New Roman" w:eastAsia="Times New Roman" w:hAnsi="Times New Roman" w:cs="Times New Roman"/>
          <w:sz w:val="24"/>
          <w:szCs w:val="24"/>
          <w:u w:val="single"/>
        </w:rPr>
        <w:tab/>
        <w:t>/s/</w:t>
      </w:r>
      <w:r w:rsidRPr="006A685B">
        <w:rPr>
          <w:rFonts w:ascii="Times New Roman" w:eastAsia="Times New Roman" w:hAnsi="Times New Roman" w:cs="Times New Roman"/>
          <w:sz w:val="24"/>
          <w:szCs w:val="24"/>
          <w:u w:val="single"/>
        </w:rPr>
        <w:tab/>
      </w:r>
      <w:r w:rsidRPr="006A685B">
        <w:rPr>
          <w:rFonts w:ascii="Times New Roman" w:eastAsia="Times New Roman" w:hAnsi="Times New Roman" w:cs="Times New Roman"/>
          <w:sz w:val="24"/>
          <w:szCs w:val="24"/>
          <w:u w:val="single"/>
        </w:rPr>
        <w:tab/>
      </w:r>
      <w:r w:rsidRPr="006A685B">
        <w:rPr>
          <w:rFonts w:ascii="Times New Roman" w:eastAsia="Times New Roman" w:hAnsi="Times New Roman" w:cs="Times New Roman"/>
          <w:sz w:val="24"/>
          <w:szCs w:val="24"/>
          <w:u w:val="single"/>
        </w:rPr>
        <w:tab/>
      </w:r>
    </w:p>
    <w:p w14:paraId="5E159AE8" w14:textId="77F5768D" w:rsidR="003938C4" w:rsidRPr="006A685B" w:rsidRDefault="003938C4" w:rsidP="003938C4">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00456D90" w:rsidRPr="006A685B">
        <w:rPr>
          <w:rFonts w:ascii="Times New Roman" w:eastAsia="Times New Roman" w:hAnsi="Times New Roman" w:cs="Times New Roman"/>
          <w:sz w:val="24"/>
          <w:szCs w:val="24"/>
        </w:rPr>
        <w:t>Emily I. DeVoe</w:t>
      </w:r>
    </w:p>
    <w:p w14:paraId="7DE4A339" w14:textId="77777777" w:rsidR="003938C4" w:rsidRPr="006A685B" w:rsidRDefault="003938C4" w:rsidP="003938C4">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r>
      <w:r w:rsidRPr="006A685B">
        <w:rPr>
          <w:rFonts w:ascii="Times New Roman" w:eastAsia="Times New Roman" w:hAnsi="Times New Roman" w:cs="Times New Roman"/>
          <w:sz w:val="24"/>
          <w:szCs w:val="24"/>
        </w:rPr>
        <w:tab/>
        <w:t>Administrative Law Judge</w:t>
      </w:r>
    </w:p>
    <w:bookmarkEnd w:id="0"/>
    <w:p w14:paraId="3BEEEEFE" w14:textId="77777777" w:rsidR="0006347C" w:rsidRPr="006A685B" w:rsidRDefault="0006347C" w:rsidP="003938C4">
      <w:pPr>
        <w:tabs>
          <w:tab w:val="center" w:pos="0"/>
          <w:tab w:val="left" w:pos="720"/>
          <w:tab w:val="left" w:pos="1440"/>
        </w:tabs>
        <w:spacing w:after="0" w:line="360" w:lineRule="auto"/>
        <w:rPr>
          <w:rFonts w:ascii="Times New Roman" w:eastAsia="Times New Roman" w:hAnsi="Times New Roman" w:cs="Times New Roman"/>
          <w:sz w:val="24"/>
          <w:szCs w:val="24"/>
        </w:rPr>
        <w:sectPr w:rsidR="0006347C" w:rsidRPr="006A685B" w:rsidSect="00D26D16">
          <w:footerReference w:type="default" r:id="rId9"/>
          <w:pgSz w:w="12240" w:h="15840"/>
          <w:pgMar w:top="1440" w:right="1440" w:bottom="1440" w:left="1440" w:header="720" w:footer="720" w:gutter="0"/>
          <w:cols w:space="720"/>
          <w:titlePg/>
          <w:docGrid w:linePitch="360"/>
        </w:sectPr>
      </w:pPr>
    </w:p>
    <w:p w14:paraId="6F80F4FA" w14:textId="77777777" w:rsidR="00D26D16" w:rsidRDefault="00D26D16" w:rsidP="00D26D1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C-2023-3042086 - JAMES DUMMETT &amp; WILLIAM DUMMETT SR v. PENNSYLVANIA ELECTRIC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JAMES ROBERT DUMMETT &amp; WILLIAM DUMMETT SR</w:t>
      </w:r>
      <w:r>
        <w:rPr>
          <w:rFonts w:ascii="Microsoft Sans Serif" w:eastAsia="Microsoft Sans Serif" w:hAnsi="Microsoft Sans Serif" w:cs="Microsoft Sans Serif"/>
          <w:sz w:val="24"/>
        </w:rPr>
        <w:cr/>
        <w:t>336 CEDAR AVE</w:t>
      </w:r>
      <w:r>
        <w:rPr>
          <w:rFonts w:ascii="Microsoft Sans Serif" w:eastAsia="Microsoft Sans Serif" w:hAnsi="Microsoft Sans Serif" w:cs="Microsoft Sans Serif"/>
          <w:sz w:val="24"/>
        </w:rPr>
        <w:cr/>
        <w:t>OIL CITY PA  16301</w:t>
      </w:r>
      <w:r>
        <w:rPr>
          <w:rFonts w:ascii="Microsoft Sans Serif" w:eastAsia="Microsoft Sans Serif" w:hAnsi="Microsoft Sans Serif" w:cs="Microsoft Sans Serif"/>
          <w:sz w:val="24"/>
        </w:rPr>
        <w:cr/>
      </w:r>
      <w:r w:rsidRPr="001F5B35">
        <w:rPr>
          <w:rFonts w:ascii="Microsoft Sans Serif" w:eastAsia="Microsoft Sans Serif" w:hAnsi="Microsoft Sans Serif" w:cs="Microsoft Sans Serif"/>
          <w:b/>
          <w:bCs/>
          <w:sz w:val="24"/>
        </w:rPr>
        <w:t>814</w:t>
      </w:r>
      <w:r>
        <w:rPr>
          <w:rFonts w:ascii="Microsoft Sans Serif" w:eastAsia="Microsoft Sans Serif" w:hAnsi="Microsoft Sans Serif" w:cs="Microsoft Sans Serif"/>
          <w:b/>
          <w:bCs/>
          <w:sz w:val="24"/>
        </w:rPr>
        <w:t>.</w:t>
      </w:r>
      <w:r w:rsidRPr="001F5B35">
        <w:rPr>
          <w:rFonts w:ascii="Microsoft Sans Serif" w:eastAsia="Microsoft Sans Serif" w:hAnsi="Microsoft Sans Serif" w:cs="Microsoft Sans Serif"/>
          <w:b/>
          <w:bCs/>
          <w:sz w:val="24"/>
        </w:rPr>
        <w:t>673</w:t>
      </w:r>
      <w:r>
        <w:rPr>
          <w:rFonts w:ascii="Microsoft Sans Serif" w:eastAsia="Microsoft Sans Serif" w:hAnsi="Microsoft Sans Serif" w:cs="Microsoft Sans Serif"/>
          <w:b/>
          <w:bCs/>
          <w:sz w:val="24"/>
        </w:rPr>
        <w:t>.</w:t>
      </w:r>
      <w:r w:rsidRPr="001F5B35">
        <w:rPr>
          <w:rFonts w:ascii="Microsoft Sans Serif" w:eastAsia="Microsoft Sans Serif" w:hAnsi="Microsoft Sans Serif" w:cs="Microsoft Sans Serif"/>
          <w:b/>
          <w:bCs/>
          <w:sz w:val="24"/>
        </w:rPr>
        <w:t>3414</w:t>
      </w:r>
      <w:r w:rsidRPr="001F5B35">
        <w:rPr>
          <w:rFonts w:ascii="Microsoft Sans Serif" w:eastAsia="Microsoft Sans Serif" w:hAnsi="Microsoft Sans Serif" w:cs="Microsoft Sans Serif"/>
          <w:b/>
          <w:bCs/>
          <w:sz w:val="24"/>
        </w:rPr>
        <w:cr/>
        <w:t>814</w:t>
      </w:r>
      <w:r>
        <w:rPr>
          <w:rFonts w:ascii="Microsoft Sans Serif" w:eastAsia="Microsoft Sans Serif" w:hAnsi="Microsoft Sans Serif" w:cs="Microsoft Sans Serif"/>
          <w:b/>
          <w:bCs/>
          <w:sz w:val="24"/>
        </w:rPr>
        <w:t>.</w:t>
      </w:r>
      <w:r w:rsidRPr="001F5B35">
        <w:rPr>
          <w:rFonts w:ascii="Microsoft Sans Serif" w:eastAsia="Microsoft Sans Serif" w:hAnsi="Microsoft Sans Serif" w:cs="Microsoft Sans Serif"/>
          <w:b/>
          <w:bCs/>
          <w:sz w:val="24"/>
        </w:rPr>
        <w:t>488</w:t>
      </w:r>
      <w:r>
        <w:rPr>
          <w:rFonts w:ascii="Microsoft Sans Serif" w:eastAsia="Microsoft Sans Serif" w:hAnsi="Microsoft Sans Serif" w:cs="Microsoft Sans Serif"/>
          <w:b/>
          <w:bCs/>
          <w:sz w:val="24"/>
        </w:rPr>
        <w:t>.</w:t>
      </w:r>
      <w:r w:rsidRPr="001F5B35">
        <w:rPr>
          <w:rFonts w:ascii="Microsoft Sans Serif" w:eastAsia="Microsoft Sans Serif" w:hAnsi="Microsoft Sans Serif" w:cs="Microsoft Sans Serif"/>
          <w:b/>
          <w:bCs/>
          <w:sz w:val="24"/>
        </w:rPr>
        <w:t>3676</w:t>
      </w:r>
      <w:r w:rsidRPr="001F5B35">
        <w:rPr>
          <w:rFonts w:ascii="Microsoft Sans Serif" w:eastAsia="Microsoft Sans Serif" w:hAnsi="Microsoft Sans Serif" w:cs="Microsoft Sans Serif"/>
          <w:b/>
          <w:bCs/>
          <w:sz w:val="24"/>
        </w:rPr>
        <w:cr/>
      </w:r>
      <w:hyperlink r:id="rId10" w:history="1">
        <w:r w:rsidRPr="00EC3094">
          <w:rPr>
            <w:rStyle w:val="Hyperlink"/>
            <w:rFonts w:ascii="Microsoft Sans Serif" w:eastAsia="Microsoft Sans Serif" w:hAnsi="Microsoft Sans Serif" w:cs="Microsoft Sans Serif"/>
            <w:sz w:val="24"/>
          </w:rPr>
          <w:t>Godsvengence@icloud.com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41431C26" w14:textId="77777777" w:rsidR="00D26D16" w:rsidRDefault="00D26D16" w:rsidP="00D26D16">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DANIEL A GARCIA</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800 CABIN HILL DRIVE</w:t>
      </w:r>
      <w:r>
        <w:rPr>
          <w:rFonts w:ascii="Microsoft Sans Serif" w:eastAsia="Microsoft Sans Serif" w:hAnsi="Microsoft Sans Serif" w:cs="Microsoft Sans Serif"/>
          <w:sz w:val="24"/>
        </w:rPr>
        <w:cr/>
        <w:t>GREENSBURG PA  15601</w:t>
      </w:r>
      <w:r>
        <w:rPr>
          <w:rFonts w:ascii="Microsoft Sans Serif" w:eastAsia="Microsoft Sans Serif" w:hAnsi="Microsoft Sans Serif" w:cs="Microsoft Sans Serif"/>
          <w:sz w:val="24"/>
        </w:rPr>
        <w:cr/>
      </w:r>
      <w:r w:rsidRPr="001F5B35">
        <w:rPr>
          <w:rFonts w:ascii="Microsoft Sans Serif" w:eastAsia="Microsoft Sans Serif" w:hAnsi="Microsoft Sans Serif" w:cs="Microsoft Sans Serif"/>
          <w:b/>
          <w:bCs/>
          <w:sz w:val="24"/>
        </w:rPr>
        <w:t>724</w:t>
      </w:r>
      <w:r>
        <w:rPr>
          <w:rFonts w:ascii="Microsoft Sans Serif" w:eastAsia="Microsoft Sans Serif" w:hAnsi="Microsoft Sans Serif" w:cs="Microsoft Sans Serif"/>
          <w:b/>
          <w:bCs/>
          <w:sz w:val="24"/>
        </w:rPr>
        <w:t>.</w:t>
      </w:r>
      <w:r w:rsidRPr="001F5B35">
        <w:rPr>
          <w:rFonts w:ascii="Microsoft Sans Serif" w:eastAsia="Microsoft Sans Serif" w:hAnsi="Microsoft Sans Serif" w:cs="Microsoft Sans Serif"/>
          <w:b/>
          <w:bCs/>
          <w:sz w:val="24"/>
        </w:rPr>
        <w:t>838</w:t>
      </w:r>
      <w:r>
        <w:rPr>
          <w:rFonts w:ascii="Microsoft Sans Serif" w:eastAsia="Microsoft Sans Serif" w:hAnsi="Microsoft Sans Serif" w:cs="Microsoft Sans Serif"/>
          <w:b/>
          <w:bCs/>
          <w:sz w:val="24"/>
        </w:rPr>
        <w:t>.</w:t>
      </w:r>
      <w:r w:rsidRPr="001F5B35">
        <w:rPr>
          <w:rFonts w:ascii="Microsoft Sans Serif" w:eastAsia="Microsoft Sans Serif" w:hAnsi="Microsoft Sans Serif" w:cs="Microsoft Sans Serif"/>
          <w:b/>
          <w:bCs/>
          <w:sz w:val="24"/>
        </w:rPr>
        <w:t>6416</w:t>
      </w:r>
      <w:r w:rsidRPr="001F5B35">
        <w:rPr>
          <w:rFonts w:ascii="Microsoft Sans Serif" w:eastAsia="Microsoft Sans Serif" w:hAnsi="Microsoft Sans Serif" w:cs="Microsoft Sans Serif"/>
          <w:b/>
          <w:bCs/>
          <w:sz w:val="24"/>
        </w:rPr>
        <w:cr/>
        <w:t>724</w:t>
      </w:r>
      <w:r>
        <w:rPr>
          <w:rFonts w:ascii="Microsoft Sans Serif" w:eastAsia="Microsoft Sans Serif" w:hAnsi="Microsoft Sans Serif" w:cs="Microsoft Sans Serif"/>
          <w:b/>
          <w:bCs/>
          <w:sz w:val="24"/>
        </w:rPr>
        <w:t>.</w:t>
      </w:r>
      <w:r w:rsidRPr="001F5B35">
        <w:rPr>
          <w:rFonts w:ascii="Microsoft Sans Serif" w:eastAsia="Microsoft Sans Serif" w:hAnsi="Microsoft Sans Serif" w:cs="Microsoft Sans Serif"/>
          <w:b/>
          <w:bCs/>
          <w:sz w:val="24"/>
        </w:rPr>
        <w:t>433</w:t>
      </w:r>
      <w:r>
        <w:rPr>
          <w:rFonts w:ascii="Microsoft Sans Serif" w:eastAsia="Microsoft Sans Serif" w:hAnsi="Microsoft Sans Serif" w:cs="Microsoft Sans Serif"/>
          <w:b/>
          <w:bCs/>
          <w:sz w:val="24"/>
        </w:rPr>
        <w:t>.</w:t>
      </w:r>
      <w:r w:rsidRPr="001F5B35">
        <w:rPr>
          <w:rFonts w:ascii="Microsoft Sans Serif" w:eastAsia="Microsoft Sans Serif" w:hAnsi="Microsoft Sans Serif" w:cs="Microsoft Sans Serif"/>
          <w:b/>
          <w:bCs/>
          <w:sz w:val="24"/>
        </w:rPr>
        <w:t>1569</w:t>
      </w:r>
      <w:r>
        <w:rPr>
          <w:rFonts w:ascii="Microsoft Sans Serif" w:eastAsia="Microsoft Sans Serif" w:hAnsi="Microsoft Sans Serif" w:cs="Microsoft Sans Serif"/>
          <w:sz w:val="24"/>
        </w:rPr>
        <w:cr/>
      </w:r>
      <w:hyperlink r:id="rId11" w:history="1">
        <w:r w:rsidRPr="00EC3094">
          <w:rPr>
            <w:rStyle w:val="Hyperlink"/>
            <w:rFonts w:ascii="Microsoft Sans Serif" w:eastAsia="Microsoft Sans Serif" w:hAnsi="Microsoft Sans Serif" w:cs="Microsoft Sans Serif"/>
            <w:sz w:val="24"/>
          </w:rPr>
          <w:t>dagarcia@firstenergycorp.com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469BA510" w14:textId="77777777" w:rsidR="00D26D16" w:rsidRPr="001F5B35" w:rsidRDefault="00D26D16" w:rsidP="00D26D16">
      <w:pPr>
        <w:spacing w:after="0"/>
        <w:rPr>
          <w:i/>
          <w:iCs/>
        </w:rPr>
      </w:pPr>
      <w:r w:rsidRPr="001F5B35">
        <w:rPr>
          <w:rFonts w:ascii="Microsoft Sans Serif" w:eastAsia="Microsoft Sans Serif" w:hAnsi="Microsoft Sans Serif" w:cs="Microsoft Sans Serif"/>
          <w:i/>
          <w:iCs/>
          <w:sz w:val="24"/>
        </w:rPr>
        <w:t xml:space="preserve">(Counsel for </w:t>
      </w:r>
      <w:proofErr w:type="spellStart"/>
      <w:r w:rsidRPr="001F5B35">
        <w:rPr>
          <w:rFonts w:ascii="Microsoft Sans Serif" w:eastAsia="Microsoft Sans Serif" w:hAnsi="Microsoft Sans Serif" w:cs="Microsoft Sans Serif"/>
          <w:i/>
          <w:iCs/>
          <w:sz w:val="24"/>
        </w:rPr>
        <w:t>Penelec</w:t>
      </w:r>
      <w:proofErr w:type="spellEnd"/>
      <w:r w:rsidRPr="001F5B35">
        <w:rPr>
          <w:rFonts w:ascii="Microsoft Sans Serif" w:eastAsia="Microsoft Sans Serif" w:hAnsi="Microsoft Sans Serif" w:cs="Microsoft Sans Serif"/>
          <w:i/>
          <w:iCs/>
          <w:sz w:val="24"/>
        </w:rPr>
        <w:t>)</w:t>
      </w:r>
    </w:p>
    <w:p w14:paraId="5C1826AF" w14:textId="77777777" w:rsidR="00D26D16" w:rsidRDefault="00D26D16" w:rsidP="00D26D16">
      <w:pPr>
        <w:rPr>
          <w:rFonts w:ascii="Microsoft Sans Serif" w:eastAsia="Microsoft Sans Serif" w:hAnsi="Microsoft Sans Serif" w:cs="Microsoft Sans Serif"/>
          <w:sz w:val="24"/>
        </w:rPr>
      </w:pPr>
    </w:p>
    <w:p w14:paraId="2590F98B" w14:textId="77777777" w:rsidR="00D26D16" w:rsidRDefault="00D26D16" w:rsidP="00D26D16">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45C20789" w14:textId="77777777" w:rsidR="00D26D16" w:rsidRDefault="00D26D16" w:rsidP="00D26D16">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READING PA  19605</w:t>
      </w:r>
      <w:r>
        <w:rPr>
          <w:rFonts w:ascii="Microsoft Sans Serif" w:eastAsia="Microsoft Sans Serif" w:hAnsi="Microsoft Sans Serif" w:cs="Microsoft Sans Serif"/>
          <w:sz w:val="24"/>
        </w:rPr>
        <w:cr/>
      </w:r>
      <w:r w:rsidRPr="001F5B35">
        <w:rPr>
          <w:rFonts w:ascii="Microsoft Sans Serif" w:eastAsia="Microsoft Sans Serif" w:hAnsi="Microsoft Sans Serif" w:cs="Microsoft Sans Serif"/>
          <w:b/>
          <w:bCs/>
          <w:sz w:val="24"/>
        </w:rPr>
        <w:t>610.921.6658</w:t>
      </w:r>
      <w:r w:rsidRPr="001F5B35">
        <w:rPr>
          <w:rFonts w:ascii="Microsoft Sans Serif" w:eastAsia="Microsoft Sans Serif" w:hAnsi="Microsoft Sans Serif" w:cs="Microsoft Sans Serif"/>
          <w:b/>
          <w:bCs/>
          <w:sz w:val="24"/>
        </w:rPr>
        <w:cr/>
      </w:r>
      <w:hyperlink r:id="rId12" w:history="1">
        <w:r w:rsidRPr="00EC3094">
          <w:rPr>
            <w:rStyle w:val="Hyperlink"/>
            <w:rFonts w:ascii="Microsoft Sans Serif" w:eastAsia="Microsoft Sans Serif" w:hAnsi="Microsoft Sans Serif" w:cs="Microsoft Sans Serif"/>
            <w:sz w:val="24"/>
          </w:rPr>
          <w:t>PARegulatoryComplaints@firstenergycorp.com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3FA7FBE5" w14:textId="77777777" w:rsidR="00D26D16" w:rsidRPr="001F5B35" w:rsidRDefault="00D26D16" w:rsidP="00D26D16">
      <w:pPr>
        <w:spacing w:after="0"/>
        <w:rPr>
          <w:rFonts w:ascii="Microsoft Sans Serif" w:eastAsia="Microsoft Sans Serif" w:hAnsi="Microsoft Sans Serif" w:cs="Microsoft Sans Serif"/>
          <w:i/>
          <w:iCs/>
          <w:sz w:val="24"/>
        </w:rPr>
      </w:pPr>
      <w:r w:rsidRPr="001F5B35">
        <w:rPr>
          <w:rFonts w:ascii="Microsoft Sans Serif" w:eastAsia="Microsoft Sans Serif" w:hAnsi="Microsoft Sans Serif" w:cs="Microsoft Sans Serif"/>
          <w:i/>
          <w:iCs/>
          <w:sz w:val="24"/>
        </w:rPr>
        <w:t xml:space="preserve">(Counsel for </w:t>
      </w:r>
      <w:proofErr w:type="spellStart"/>
      <w:r w:rsidRPr="001F5B35">
        <w:rPr>
          <w:rFonts w:ascii="Microsoft Sans Serif" w:eastAsia="Microsoft Sans Serif" w:hAnsi="Microsoft Sans Serif" w:cs="Microsoft Sans Serif"/>
          <w:i/>
          <w:iCs/>
          <w:sz w:val="24"/>
        </w:rPr>
        <w:t>Penelec</w:t>
      </w:r>
      <w:proofErr w:type="spellEnd"/>
      <w:r w:rsidRPr="001F5B35">
        <w:rPr>
          <w:rFonts w:ascii="Microsoft Sans Serif" w:eastAsia="Microsoft Sans Serif" w:hAnsi="Microsoft Sans Serif" w:cs="Microsoft Sans Serif"/>
          <w:i/>
          <w:iCs/>
          <w:sz w:val="24"/>
        </w:rPr>
        <w:t xml:space="preserve">) </w:t>
      </w:r>
    </w:p>
    <w:p w14:paraId="2A7753F6" w14:textId="77777777" w:rsidR="00D26D16" w:rsidRPr="001F5B35" w:rsidRDefault="00D26D16" w:rsidP="00D26D16">
      <w:pPr>
        <w:spacing w:after="0"/>
        <w:rPr>
          <w:i/>
          <w:iCs/>
        </w:rPr>
      </w:pPr>
      <w:r>
        <w:rPr>
          <w:rFonts w:ascii="Microsoft Sans Serif" w:eastAsia="Microsoft Sans Serif" w:hAnsi="Microsoft Sans Serif" w:cs="Microsoft Sans Serif"/>
          <w:sz w:val="24"/>
        </w:rPr>
        <w:cr/>
      </w:r>
    </w:p>
    <w:p w14:paraId="3EDCE10E" w14:textId="77777777" w:rsidR="00D26D16" w:rsidRDefault="00D26D16" w:rsidP="00D26D16"/>
    <w:p w14:paraId="70BDE262" w14:textId="717D0875" w:rsidR="00E8214A" w:rsidRPr="006A685B" w:rsidRDefault="00E8214A" w:rsidP="00D26D16">
      <w:pPr>
        <w:rPr>
          <w:rFonts w:ascii="Times New Roman" w:eastAsia="Times New Roman" w:hAnsi="Times New Roman" w:cs="Times New Roman"/>
          <w:sz w:val="24"/>
          <w:szCs w:val="24"/>
        </w:rPr>
      </w:pPr>
    </w:p>
    <w:sectPr w:rsidR="00E8214A" w:rsidRPr="006A685B" w:rsidSect="00D26D1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CA476" w14:textId="77777777" w:rsidR="00845A5D" w:rsidRDefault="00845A5D">
      <w:pPr>
        <w:spacing w:after="0" w:line="240" w:lineRule="auto"/>
      </w:pPr>
      <w:r>
        <w:separator/>
      </w:r>
    </w:p>
  </w:endnote>
  <w:endnote w:type="continuationSeparator" w:id="0">
    <w:p w14:paraId="15C31E68" w14:textId="77777777" w:rsidR="00845A5D" w:rsidRDefault="00845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8297065"/>
      <w:docPartObj>
        <w:docPartGallery w:val="Page Numbers (Bottom of Page)"/>
        <w:docPartUnique/>
      </w:docPartObj>
    </w:sdtPr>
    <w:sdtEndPr>
      <w:rPr>
        <w:rFonts w:ascii="Times New Roman" w:hAnsi="Times New Roman" w:cs="Times New Roman"/>
        <w:noProof/>
        <w:sz w:val="24"/>
        <w:szCs w:val="24"/>
      </w:rPr>
    </w:sdtEndPr>
    <w:sdtContent>
      <w:p w14:paraId="0B09B9B1" w14:textId="77777777" w:rsidR="00BF0BBF" w:rsidRPr="00652969" w:rsidRDefault="00E8214A">
        <w:pPr>
          <w:pStyle w:val="Footer"/>
          <w:jc w:val="center"/>
          <w:rPr>
            <w:rFonts w:ascii="Times New Roman" w:hAnsi="Times New Roman" w:cs="Times New Roman"/>
            <w:sz w:val="24"/>
            <w:szCs w:val="24"/>
          </w:rPr>
        </w:pPr>
        <w:r w:rsidRPr="003938C4">
          <w:rPr>
            <w:rFonts w:ascii="Times New Roman" w:hAnsi="Times New Roman" w:cs="Times New Roman"/>
            <w:sz w:val="20"/>
            <w:szCs w:val="20"/>
          </w:rPr>
          <w:fldChar w:fldCharType="begin"/>
        </w:r>
        <w:r w:rsidRPr="003938C4">
          <w:rPr>
            <w:rFonts w:ascii="Times New Roman" w:hAnsi="Times New Roman" w:cs="Times New Roman"/>
            <w:sz w:val="20"/>
            <w:szCs w:val="20"/>
          </w:rPr>
          <w:instrText xml:space="preserve"> PAGE   \* MERGEFORMAT </w:instrText>
        </w:r>
        <w:r w:rsidRPr="003938C4">
          <w:rPr>
            <w:rFonts w:ascii="Times New Roman" w:hAnsi="Times New Roman" w:cs="Times New Roman"/>
            <w:sz w:val="20"/>
            <w:szCs w:val="20"/>
          </w:rPr>
          <w:fldChar w:fldCharType="separate"/>
        </w:r>
        <w:r w:rsidRPr="003938C4">
          <w:rPr>
            <w:rFonts w:ascii="Times New Roman" w:hAnsi="Times New Roman" w:cs="Times New Roman"/>
            <w:noProof/>
            <w:sz w:val="20"/>
            <w:szCs w:val="20"/>
          </w:rPr>
          <w:t>2</w:t>
        </w:r>
        <w:r w:rsidRPr="003938C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3639" w14:textId="27EB837B" w:rsidR="00D26D16" w:rsidRPr="00652969" w:rsidRDefault="00D26D16">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118D5" w14:textId="77777777" w:rsidR="00845A5D" w:rsidRDefault="00845A5D">
      <w:pPr>
        <w:spacing w:after="0" w:line="240" w:lineRule="auto"/>
      </w:pPr>
      <w:r>
        <w:separator/>
      </w:r>
    </w:p>
  </w:footnote>
  <w:footnote w:type="continuationSeparator" w:id="0">
    <w:p w14:paraId="6D544C30" w14:textId="77777777" w:rsidR="00845A5D" w:rsidRDefault="00845A5D">
      <w:pPr>
        <w:spacing w:after="0" w:line="240" w:lineRule="auto"/>
      </w:pPr>
      <w:r>
        <w:continuationSeparator/>
      </w:r>
    </w:p>
  </w:footnote>
  <w:footnote w:id="1">
    <w:p w14:paraId="2CD271F8" w14:textId="4B17C67A" w:rsidR="000B5686" w:rsidRPr="00D856E5" w:rsidRDefault="0078404B">
      <w:pPr>
        <w:pStyle w:val="FootnoteText"/>
        <w:rPr>
          <w:rFonts w:ascii="Times New Roman" w:hAnsi="Times New Roman" w:cs="Times New Roman"/>
        </w:rPr>
      </w:pPr>
      <w:r w:rsidRPr="0087197E">
        <w:rPr>
          <w:rFonts w:ascii="Times New Roman" w:hAnsi="Times New Roman" w:cs="Times New Roman"/>
          <w:sz w:val="24"/>
          <w:szCs w:val="24"/>
        </w:rPr>
        <w:tab/>
      </w:r>
      <w:r w:rsidR="000B5686" w:rsidRPr="00D856E5">
        <w:rPr>
          <w:rStyle w:val="FootnoteReference"/>
          <w:rFonts w:ascii="Times New Roman" w:hAnsi="Times New Roman" w:cs="Times New Roman"/>
        </w:rPr>
        <w:footnoteRef/>
      </w:r>
      <w:r w:rsidR="000B5686" w:rsidRPr="00D856E5">
        <w:rPr>
          <w:rFonts w:ascii="Times New Roman" w:hAnsi="Times New Roman" w:cs="Times New Roman"/>
        </w:rPr>
        <w:t xml:space="preserve"> </w:t>
      </w:r>
      <w:r w:rsidRPr="00D856E5">
        <w:rPr>
          <w:rFonts w:ascii="Times New Roman" w:hAnsi="Times New Roman" w:cs="Times New Roman"/>
        </w:rPr>
        <w:tab/>
      </w:r>
      <w:r w:rsidRPr="00D856E5">
        <w:rPr>
          <w:rFonts w:ascii="Times New Roman" w:hAnsi="Times New Roman" w:cs="Times New Roman"/>
          <w:i/>
          <w:iCs/>
        </w:rPr>
        <w:t>See Hoffman-Lorah v. Pa. Pub. Util. Comm’n</w:t>
      </w:r>
      <w:r w:rsidRPr="00D856E5">
        <w:rPr>
          <w:rFonts w:ascii="Times New Roman" w:hAnsi="Times New Roman" w:cs="Times New Roman"/>
        </w:rPr>
        <w:t xml:space="preserve">, 2023 Pa. Cmwlth. Unpub. LEXIS 325, 2023, WL 4144399; </w:t>
      </w:r>
      <w:r w:rsidRPr="00D856E5">
        <w:rPr>
          <w:rFonts w:ascii="Times New Roman" w:hAnsi="Times New Roman" w:cs="Times New Roman"/>
          <w:i/>
          <w:iCs/>
        </w:rPr>
        <w:t>Branagh v. Pa. Pub. Util. Comm’n</w:t>
      </w:r>
      <w:r w:rsidRPr="00D856E5">
        <w:rPr>
          <w:rFonts w:ascii="Times New Roman" w:hAnsi="Times New Roman" w:cs="Times New Roman"/>
        </w:rPr>
        <w:t xml:space="preserve">, 2023 Pa. Cmwlth. Unpub. LEXIS 352, 2023, WL 4363414; </w:t>
      </w:r>
      <w:r w:rsidRPr="00D856E5">
        <w:rPr>
          <w:rFonts w:ascii="Times New Roman" w:hAnsi="Times New Roman" w:cs="Times New Roman"/>
          <w:i/>
          <w:iCs/>
        </w:rPr>
        <w:t>Hess v. Pa. Pub. Util. Comm’n</w:t>
      </w:r>
      <w:r w:rsidRPr="00D856E5">
        <w:rPr>
          <w:rFonts w:ascii="Times New Roman" w:hAnsi="Times New Roman" w:cs="Times New Roman"/>
        </w:rPr>
        <w:t xml:space="preserve">, 2023 Pa. Cmwlth. Unpub. LEXIS 371, 2023, WL 4540460; </w:t>
      </w:r>
      <w:r w:rsidRPr="00D856E5">
        <w:rPr>
          <w:rFonts w:ascii="Times New Roman" w:hAnsi="Times New Roman" w:cs="Times New Roman"/>
          <w:i/>
          <w:iCs/>
        </w:rPr>
        <w:t>Mary Paul v. Pa. Pub. Util. Comm’n,</w:t>
      </w:r>
      <w:r w:rsidRPr="00D856E5">
        <w:rPr>
          <w:rFonts w:ascii="Times New Roman" w:hAnsi="Times New Roman" w:cs="Times New Roman"/>
        </w:rPr>
        <w:t xml:space="preserve"> No. 460 C.D. 2019, 2023 Pa. Cmwlth. LEXIS 113; </w:t>
      </w:r>
      <w:r w:rsidRPr="00D856E5">
        <w:rPr>
          <w:rFonts w:ascii="Times New Roman" w:hAnsi="Times New Roman" w:cs="Times New Roman"/>
          <w:i/>
          <w:iCs/>
        </w:rPr>
        <w:t>Schmukler v. Pa. Pub. Util. Comm’n</w:t>
      </w:r>
      <w:r w:rsidRPr="00D856E5">
        <w:rPr>
          <w:rFonts w:ascii="Times New Roman" w:hAnsi="Times New Roman" w:cs="Times New Roman"/>
        </w:rPr>
        <w:t xml:space="preserve">, No. 1102 C.D. 2019, 2023 Pa. Commw. LEXIS 136. The following smart meter appeals were dismissed by the Commonwealth Court on procedural grounds: </w:t>
      </w:r>
      <w:r w:rsidRPr="00D856E5">
        <w:rPr>
          <w:rFonts w:ascii="Times New Roman" w:hAnsi="Times New Roman" w:cs="Times New Roman"/>
          <w:i/>
          <w:iCs/>
        </w:rPr>
        <w:t>Sunstein v. Pa. Pub. Util. Comm’n</w:t>
      </w:r>
      <w:r w:rsidRPr="00D856E5">
        <w:rPr>
          <w:rFonts w:ascii="Times New Roman" w:hAnsi="Times New Roman" w:cs="Times New Roman"/>
        </w:rPr>
        <w:t xml:space="preserve">, No. 1581 C.D. 2019; </w:t>
      </w:r>
      <w:r w:rsidRPr="00D856E5">
        <w:rPr>
          <w:rFonts w:ascii="Times New Roman" w:hAnsi="Times New Roman" w:cs="Times New Roman"/>
          <w:i/>
          <w:iCs/>
        </w:rPr>
        <w:t>Ulmer v. Pa. Pub. Util. Comm’n</w:t>
      </w:r>
      <w:r w:rsidRPr="00D856E5">
        <w:rPr>
          <w:rFonts w:ascii="Times New Roman" w:hAnsi="Times New Roman" w:cs="Times New Roman"/>
        </w:rPr>
        <w:t xml:space="preserve">, No. 967 C.D. 2020; and </w:t>
      </w:r>
      <w:r w:rsidRPr="00D856E5">
        <w:rPr>
          <w:rFonts w:ascii="Times New Roman" w:hAnsi="Times New Roman" w:cs="Times New Roman"/>
          <w:i/>
          <w:iCs/>
        </w:rPr>
        <w:t>Lucey v. Pa. Pub. Util. Comm’n</w:t>
      </w:r>
      <w:r w:rsidRPr="00D856E5">
        <w:rPr>
          <w:rFonts w:ascii="Times New Roman" w:hAnsi="Times New Roman" w:cs="Times New Roman"/>
        </w:rPr>
        <w:t>, No. 1212 C.D.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992092F"/>
    <w:multiLevelType w:val="hybridMultilevel"/>
    <w:tmpl w:val="B74A462C"/>
    <w:lvl w:ilvl="0" w:tplc="8082664A">
      <w:start w:val="2"/>
      <w:numFmt w:val="lowerLetter"/>
      <w:lvlText w:val="%1."/>
      <w:lvlJc w:val="left"/>
      <w:pPr>
        <w:ind w:left="2520" w:hanging="360"/>
      </w:pPr>
      <w:rPr>
        <w:rFonts w:hint="default"/>
        <w:b w:val="0"/>
        <w:i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43F83D6B"/>
    <w:multiLevelType w:val="hybridMultilevel"/>
    <w:tmpl w:val="9C90DD1A"/>
    <w:lvl w:ilvl="0" w:tplc="DC985D8E">
      <w:start w:val="1"/>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36663481">
    <w:abstractNumId w:val="4"/>
  </w:num>
  <w:num w:numId="2" w16cid:durableId="1152597563">
    <w:abstractNumId w:val="0"/>
  </w:num>
  <w:num w:numId="3" w16cid:durableId="2058190833">
    <w:abstractNumId w:val="3"/>
  </w:num>
  <w:num w:numId="4" w16cid:durableId="1887326880">
    <w:abstractNumId w:val="2"/>
  </w:num>
  <w:num w:numId="5" w16cid:durableId="1487938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16"/>
    <w:rsid w:val="0001435F"/>
    <w:rsid w:val="000221F1"/>
    <w:rsid w:val="00025EA1"/>
    <w:rsid w:val="00025FBD"/>
    <w:rsid w:val="000263D9"/>
    <w:rsid w:val="000278DE"/>
    <w:rsid w:val="000348A7"/>
    <w:rsid w:val="00045AE3"/>
    <w:rsid w:val="0005091D"/>
    <w:rsid w:val="00051BEF"/>
    <w:rsid w:val="000555AD"/>
    <w:rsid w:val="0006347C"/>
    <w:rsid w:val="00067003"/>
    <w:rsid w:val="000770A0"/>
    <w:rsid w:val="00080850"/>
    <w:rsid w:val="0009092D"/>
    <w:rsid w:val="000913C1"/>
    <w:rsid w:val="00097015"/>
    <w:rsid w:val="000A0A32"/>
    <w:rsid w:val="000A1203"/>
    <w:rsid w:val="000A2AE7"/>
    <w:rsid w:val="000B2BE2"/>
    <w:rsid w:val="000B4169"/>
    <w:rsid w:val="000B49C1"/>
    <w:rsid w:val="000B5686"/>
    <w:rsid w:val="000B6BCB"/>
    <w:rsid w:val="000C1D02"/>
    <w:rsid w:val="000C6BF0"/>
    <w:rsid w:val="000E2031"/>
    <w:rsid w:val="000E58B5"/>
    <w:rsid w:val="000F055F"/>
    <w:rsid w:val="000F3AFC"/>
    <w:rsid w:val="00114FFB"/>
    <w:rsid w:val="00121386"/>
    <w:rsid w:val="00133BAB"/>
    <w:rsid w:val="00150072"/>
    <w:rsid w:val="0015174C"/>
    <w:rsid w:val="0016399A"/>
    <w:rsid w:val="00164457"/>
    <w:rsid w:val="00164DD4"/>
    <w:rsid w:val="0019125F"/>
    <w:rsid w:val="001A7ECE"/>
    <w:rsid w:val="001B31DD"/>
    <w:rsid w:val="001C0142"/>
    <w:rsid w:val="001C0B09"/>
    <w:rsid w:val="001C6197"/>
    <w:rsid w:val="001C662A"/>
    <w:rsid w:val="001E09DD"/>
    <w:rsid w:val="001E57A4"/>
    <w:rsid w:val="001F6084"/>
    <w:rsid w:val="00201D39"/>
    <w:rsid w:val="00207580"/>
    <w:rsid w:val="00216DD1"/>
    <w:rsid w:val="00225D77"/>
    <w:rsid w:val="00230135"/>
    <w:rsid w:val="00234535"/>
    <w:rsid w:val="002377AC"/>
    <w:rsid w:val="002403F7"/>
    <w:rsid w:val="00240DC1"/>
    <w:rsid w:val="0024684E"/>
    <w:rsid w:val="00256FD6"/>
    <w:rsid w:val="0025706A"/>
    <w:rsid w:val="00272F7B"/>
    <w:rsid w:val="002763A8"/>
    <w:rsid w:val="00276B55"/>
    <w:rsid w:val="00281458"/>
    <w:rsid w:val="0028781C"/>
    <w:rsid w:val="002913C2"/>
    <w:rsid w:val="002B0AAE"/>
    <w:rsid w:val="002B37E5"/>
    <w:rsid w:val="002D2510"/>
    <w:rsid w:val="002D3915"/>
    <w:rsid w:val="002E19F7"/>
    <w:rsid w:val="002F2A51"/>
    <w:rsid w:val="002F79D8"/>
    <w:rsid w:val="0030330E"/>
    <w:rsid w:val="00306FCC"/>
    <w:rsid w:val="00310160"/>
    <w:rsid w:val="003132D1"/>
    <w:rsid w:val="0031465C"/>
    <w:rsid w:val="00332CB7"/>
    <w:rsid w:val="003331B0"/>
    <w:rsid w:val="00335B17"/>
    <w:rsid w:val="00336945"/>
    <w:rsid w:val="00337E36"/>
    <w:rsid w:val="00355C3F"/>
    <w:rsid w:val="003578C0"/>
    <w:rsid w:val="00361935"/>
    <w:rsid w:val="00365520"/>
    <w:rsid w:val="00370E7D"/>
    <w:rsid w:val="0037152F"/>
    <w:rsid w:val="00391AF1"/>
    <w:rsid w:val="003938C4"/>
    <w:rsid w:val="0039728F"/>
    <w:rsid w:val="003A308A"/>
    <w:rsid w:val="003A5B92"/>
    <w:rsid w:val="003B1075"/>
    <w:rsid w:val="003B2609"/>
    <w:rsid w:val="003E43AC"/>
    <w:rsid w:val="003E63DE"/>
    <w:rsid w:val="003E6CA0"/>
    <w:rsid w:val="003F5FB6"/>
    <w:rsid w:val="003F634F"/>
    <w:rsid w:val="00401A3F"/>
    <w:rsid w:val="00433999"/>
    <w:rsid w:val="00441426"/>
    <w:rsid w:val="00456D90"/>
    <w:rsid w:val="00471028"/>
    <w:rsid w:val="0047302F"/>
    <w:rsid w:val="00481768"/>
    <w:rsid w:val="004A10AD"/>
    <w:rsid w:val="004B42F8"/>
    <w:rsid w:val="004B64B7"/>
    <w:rsid w:val="004C3A94"/>
    <w:rsid w:val="004C6DC6"/>
    <w:rsid w:val="004D2355"/>
    <w:rsid w:val="004E34D6"/>
    <w:rsid w:val="004E70F9"/>
    <w:rsid w:val="004E7509"/>
    <w:rsid w:val="00505359"/>
    <w:rsid w:val="00510DB6"/>
    <w:rsid w:val="005317AD"/>
    <w:rsid w:val="005444E2"/>
    <w:rsid w:val="00553241"/>
    <w:rsid w:val="00554F29"/>
    <w:rsid w:val="00560427"/>
    <w:rsid w:val="00561F74"/>
    <w:rsid w:val="00564B52"/>
    <w:rsid w:val="005659C6"/>
    <w:rsid w:val="00565EFE"/>
    <w:rsid w:val="00566EA3"/>
    <w:rsid w:val="005730C9"/>
    <w:rsid w:val="00575E91"/>
    <w:rsid w:val="005A7E41"/>
    <w:rsid w:val="005B2377"/>
    <w:rsid w:val="005B608B"/>
    <w:rsid w:val="005C0557"/>
    <w:rsid w:val="005C17A9"/>
    <w:rsid w:val="005C182C"/>
    <w:rsid w:val="005D071B"/>
    <w:rsid w:val="005E171D"/>
    <w:rsid w:val="005E6E4A"/>
    <w:rsid w:val="005F0833"/>
    <w:rsid w:val="005F0B98"/>
    <w:rsid w:val="005F41F5"/>
    <w:rsid w:val="00605221"/>
    <w:rsid w:val="006150EB"/>
    <w:rsid w:val="00636A06"/>
    <w:rsid w:val="00636BB0"/>
    <w:rsid w:val="006430E8"/>
    <w:rsid w:val="00653CF0"/>
    <w:rsid w:val="00656F09"/>
    <w:rsid w:val="006575E5"/>
    <w:rsid w:val="006602B0"/>
    <w:rsid w:val="00665580"/>
    <w:rsid w:val="00676CC7"/>
    <w:rsid w:val="0068058A"/>
    <w:rsid w:val="00685BD0"/>
    <w:rsid w:val="00686C97"/>
    <w:rsid w:val="00692502"/>
    <w:rsid w:val="00695296"/>
    <w:rsid w:val="00697CF7"/>
    <w:rsid w:val="006A04C5"/>
    <w:rsid w:val="006A06A2"/>
    <w:rsid w:val="006A685B"/>
    <w:rsid w:val="006A6D29"/>
    <w:rsid w:val="006B78CF"/>
    <w:rsid w:val="006C66C1"/>
    <w:rsid w:val="006D5D5E"/>
    <w:rsid w:val="006D61F3"/>
    <w:rsid w:val="006E2D52"/>
    <w:rsid w:val="006E2EE6"/>
    <w:rsid w:val="006F3468"/>
    <w:rsid w:val="006F49E8"/>
    <w:rsid w:val="006F6F76"/>
    <w:rsid w:val="00701309"/>
    <w:rsid w:val="007074EB"/>
    <w:rsid w:val="00711E9D"/>
    <w:rsid w:val="00712481"/>
    <w:rsid w:val="00714703"/>
    <w:rsid w:val="00714A24"/>
    <w:rsid w:val="007215B1"/>
    <w:rsid w:val="00727BE9"/>
    <w:rsid w:val="00732314"/>
    <w:rsid w:val="00734E34"/>
    <w:rsid w:val="00737CCE"/>
    <w:rsid w:val="007511CF"/>
    <w:rsid w:val="00756770"/>
    <w:rsid w:val="0078123E"/>
    <w:rsid w:val="00783963"/>
    <w:rsid w:val="0078404B"/>
    <w:rsid w:val="00787800"/>
    <w:rsid w:val="00790EA0"/>
    <w:rsid w:val="007916E4"/>
    <w:rsid w:val="00796195"/>
    <w:rsid w:val="0079761D"/>
    <w:rsid w:val="007A774A"/>
    <w:rsid w:val="007B1E2C"/>
    <w:rsid w:val="007B28A3"/>
    <w:rsid w:val="007B4545"/>
    <w:rsid w:val="007B5C79"/>
    <w:rsid w:val="007C079D"/>
    <w:rsid w:val="007C1797"/>
    <w:rsid w:val="007C59A9"/>
    <w:rsid w:val="007D0D67"/>
    <w:rsid w:val="007D10AF"/>
    <w:rsid w:val="007D7231"/>
    <w:rsid w:val="007F19CB"/>
    <w:rsid w:val="007F3175"/>
    <w:rsid w:val="007F71D5"/>
    <w:rsid w:val="00800D97"/>
    <w:rsid w:val="008044B6"/>
    <w:rsid w:val="00810052"/>
    <w:rsid w:val="008154DF"/>
    <w:rsid w:val="00820E3A"/>
    <w:rsid w:val="00845A5D"/>
    <w:rsid w:val="008462AC"/>
    <w:rsid w:val="008551F0"/>
    <w:rsid w:val="00861276"/>
    <w:rsid w:val="0087197E"/>
    <w:rsid w:val="008806B4"/>
    <w:rsid w:val="00880F51"/>
    <w:rsid w:val="008A7B6B"/>
    <w:rsid w:val="008C22E9"/>
    <w:rsid w:val="008D20CC"/>
    <w:rsid w:val="008D44F2"/>
    <w:rsid w:val="008D7A16"/>
    <w:rsid w:val="008E5982"/>
    <w:rsid w:val="008F033C"/>
    <w:rsid w:val="008F3C55"/>
    <w:rsid w:val="0091767B"/>
    <w:rsid w:val="00923A51"/>
    <w:rsid w:val="009303A7"/>
    <w:rsid w:val="0093086A"/>
    <w:rsid w:val="00936E54"/>
    <w:rsid w:val="009418E6"/>
    <w:rsid w:val="00941C16"/>
    <w:rsid w:val="009433E0"/>
    <w:rsid w:val="009630C8"/>
    <w:rsid w:val="00965FB6"/>
    <w:rsid w:val="009833C4"/>
    <w:rsid w:val="00983F4A"/>
    <w:rsid w:val="00986F74"/>
    <w:rsid w:val="00993061"/>
    <w:rsid w:val="009A0339"/>
    <w:rsid w:val="009A422C"/>
    <w:rsid w:val="009A49AD"/>
    <w:rsid w:val="009A502F"/>
    <w:rsid w:val="009A6A46"/>
    <w:rsid w:val="009B01C3"/>
    <w:rsid w:val="009B2BFD"/>
    <w:rsid w:val="009B5C7E"/>
    <w:rsid w:val="009C29AD"/>
    <w:rsid w:val="009C32CA"/>
    <w:rsid w:val="009D367B"/>
    <w:rsid w:val="009D5EBD"/>
    <w:rsid w:val="009D76F9"/>
    <w:rsid w:val="009E65A5"/>
    <w:rsid w:val="009F69C0"/>
    <w:rsid w:val="009F6FFE"/>
    <w:rsid w:val="00A02853"/>
    <w:rsid w:val="00A13B20"/>
    <w:rsid w:val="00A377F4"/>
    <w:rsid w:val="00A6519E"/>
    <w:rsid w:val="00A739D3"/>
    <w:rsid w:val="00A75051"/>
    <w:rsid w:val="00A84659"/>
    <w:rsid w:val="00A874DB"/>
    <w:rsid w:val="00A91F71"/>
    <w:rsid w:val="00A935C2"/>
    <w:rsid w:val="00A9581F"/>
    <w:rsid w:val="00A96D70"/>
    <w:rsid w:val="00AA65AE"/>
    <w:rsid w:val="00AC21A3"/>
    <w:rsid w:val="00AC22DD"/>
    <w:rsid w:val="00AC5390"/>
    <w:rsid w:val="00AC59E4"/>
    <w:rsid w:val="00AD2138"/>
    <w:rsid w:val="00AE0F62"/>
    <w:rsid w:val="00AE38F7"/>
    <w:rsid w:val="00AE4D99"/>
    <w:rsid w:val="00AE5490"/>
    <w:rsid w:val="00AE5951"/>
    <w:rsid w:val="00AF07F3"/>
    <w:rsid w:val="00AF4DCB"/>
    <w:rsid w:val="00B00FAE"/>
    <w:rsid w:val="00B03216"/>
    <w:rsid w:val="00B349DD"/>
    <w:rsid w:val="00B34F45"/>
    <w:rsid w:val="00B35A59"/>
    <w:rsid w:val="00B36E77"/>
    <w:rsid w:val="00B537E0"/>
    <w:rsid w:val="00B55F33"/>
    <w:rsid w:val="00B573A2"/>
    <w:rsid w:val="00B61364"/>
    <w:rsid w:val="00B61518"/>
    <w:rsid w:val="00B66EB2"/>
    <w:rsid w:val="00B710BB"/>
    <w:rsid w:val="00B823B3"/>
    <w:rsid w:val="00B850BB"/>
    <w:rsid w:val="00B91DFB"/>
    <w:rsid w:val="00B9403A"/>
    <w:rsid w:val="00B9589F"/>
    <w:rsid w:val="00B95DC3"/>
    <w:rsid w:val="00BB18B4"/>
    <w:rsid w:val="00BB4F6D"/>
    <w:rsid w:val="00BB5DA2"/>
    <w:rsid w:val="00BC4FBE"/>
    <w:rsid w:val="00BD2678"/>
    <w:rsid w:val="00BE6875"/>
    <w:rsid w:val="00BE7CBD"/>
    <w:rsid w:val="00BF0573"/>
    <w:rsid w:val="00BF0BBF"/>
    <w:rsid w:val="00BF2E6D"/>
    <w:rsid w:val="00C00A15"/>
    <w:rsid w:val="00C03B62"/>
    <w:rsid w:val="00C227FE"/>
    <w:rsid w:val="00C24BC7"/>
    <w:rsid w:val="00C3332F"/>
    <w:rsid w:val="00C52FCF"/>
    <w:rsid w:val="00C74BCF"/>
    <w:rsid w:val="00C75E9B"/>
    <w:rsid w:val="00C80D0D"/>
    <w:rsid w:val="00C925D6"/>
    <w:rsid w:val="00CA4A2A"/>
    <w:rsid w:val="00CB7CCF"/>
    <w:rsid w:val="00CC3499"/>
    <w:rsid w:val="00CC411B"/>
    <w:rsid w:val="00CC795F"/>
    <w:rsid w:val="00CC7EB0"/>
    <w:rsid w:val="00CD1B86"/>
    <w:rsid w:val="00CD5403"/>
    <w:rsid w:val="00CD7072"/>
    <w:rsid w:val="00CE78D3"/>
    <w:rsid w:val="00CE7BEE"/>
    <w:rsid w:val="00CF4B70"/>
    <w:rsid w:val="00D0373E"/>
    <w:rsid w:val="00D06703"/>
    <w:rsid w:val="00D26D16"/>
    <w:rsid w:val="00D338ED"/>
    <w:rsid w:val="00D347F5"/>
    <w:rsid w:val="00D444AA"/>
    <w:rsid w:val="00D523DA"/>
    <w:rsid w:val="00D57454"/>
    <w:rsid w:val="00D6219B"/>
    <w:rsid w:val="00D64685"/>
    <w:rsid w:val="00D74BA5"/>
    <w:rsid w:val="00D856E5"/>
    <w:rsid w:val="00D906CA"/>
    <w:rsid w:val="00DB2541"/>
    <w:rsid w:val="00DC0AC7"/>
    <w:rsid w:val="00DC0FF2"/>
    <w:rsid w:val="00DC6C74"/>
    <w:rsid w:val="00DD2616"/>
    <w:rsid w:val="00DE02F7"/>
    <w:rsid w:val="00DE0B7A"/>
    <w:rsid w:val="00DE206E"/>
    <w:rsid w:val="00DE3649"/>
    <w:rsid w:val="00DE4291"/>
    <w:rsid w:val="00DE6B7D"/>
    <w:rsid w:val="00DF112E"/>
    <w:rsid w:val="00DF3B1B"/>
    <w:rsid w:val="00DF53B3"/>
    <w:rsid w:val="00E00303"/>
    <w:rsid w:val="00E01058"/>
    <w:rsid w:val="00E03909"/>
    <w:rsid w:val="00E06263"/>
    <w:rsid w:val="00E07632"/>
    <w:rsid w:val="00E127DA"/>
    <w:rsid w:val="00E36FCB"/>
    <w:rsid w:val="00E461FF"/>
    <w:rsid w:val="00E50CEA"/>
    <w:rsid w:val="00E57158"/>
    <w:rsid w:val="00E61DAE"/>
    <w:rsid w:val="00E62944"/>
    <w:rsid w:val="00E63B1E"/>
    <w:rsid w:val="00E65BD3"/>
    <w:rsid w:val="00E76205"/>
    <w:rsid w:val="00E8214A"/>
    <w:rsid w:val="00E91FA4"/>
    <w:rsid w:val="00EB33A3"/>
    <w:rsid w:val="00EB4576"/>
    <w:rsid w:val="00EB524C"/>
    <w:rsid w:val="00EC6410"/>
    <w:rsid w:val="00EC7ED5"/>
    <w:rsid w:val="00ED54BB"/>
    <w:rsid w:val="00EE4D6B"/>
    <w:rsid w:val="00EE73FB"/>
    <w:rsid w:val="00EF3D86"/>
    <w:rsid w:val="00F03F51"/>
    <w:rsid w:val="00F07339"/>
    <w:rsid w:val="00F105BD"/>
    <w:rsid w:val="00F21A6E"/>
    <w:rsid w:val="00F24FAE"/>
    <w:rsid w:val="00F31455"/>
    <w:rsid w:val="00F47F33"/>
    <w:rsid w:val="00F47FD1"/>
    <w:rsid w:val="00F634C6"/>
    <w:rsid w:val="00F6393F"/>
    <w:rsid w:val="00F6426D"/>
    <w:rsid w:val="00F64CC5"/>
    <w:rsid w:val="00F678BB"/>
    <w:rsid w:val="00F70E1B"/>
    <w:rsid w:val="00F7177C"/>
    <w:rsid w:val="00F779AF"/>
    <w:rsid w:val="00F821E3"/>
    <w:rsid w:val="00F926E5"/>
    <w:rsid w:val="00F949B0"/>
    <w:rsid w:val="00FB35D8"/>
    <w:rsid w:val="00FE455D"/>
    <w:rsid w:val="00FE5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70B2"/>
  <w15:chartTrackingRefBased/>
  <w15:docId w15:val="{71BD1752-85BE-4EC9-B46C-CD27DF6E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2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B03216"/>
    <w:pPr>
      <w:numPr>
        <w:numId w:val="2"/>
      </w:numPr>
      <w:spacing w:after="0" w:line="480" w:lineRule="auto"/>
      <w:contextualSpacing/>
      <w:jc w:val="both"/>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3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216"/>
  </w:style>
  <w:style w:type="paragraph" w:styleId="ListParagraph">
    <w:name w:val="List Paragraph"/>
    <w:basedOn w:val="Normal"/>
    <w:uiPriority w:val="34"/>
    <w:qFormat/>
    <w:rsid w:val="00FB35D8"/>
    <w:pPr>
      <w:ind w:left="720"/>
      <w:contextualSpacing/>
    </w:pPr>
  </w:style>
  <w:style w:type="character" w:styleId="Hyperlink">
    <w:name w:val="Hyperlink"/>
    <w:uiPriority w:val="99"/>
    <w:unhideWhenUsed/>
    <w:rsid w:val="000A0A32"/>
    <w:rPr>
      <w:color w:val="0000FF"/>
      <w:u w:val="single"/>
    </w:rPr>
  </w:style>
  <w:style w:type="paragraph" w:styleId="NormalWeb">
    <w:name w:val="Normal (Web)"/>
    <w:basedOn w:val="Normal"/>
    <w:uiPriority w:val="99"/>
    <w:semiHidden/>
    <w:unhideWhenUsed/>
    <w:rsid w:val="000A0A32"/>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393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8C4"/>
  </w:style>
  <w:style w:type="paragraph" w:styleId="FootnoteText">
    <w:name w:val="footnote text"/>
    <w:basedOn w:val="Normal"/>
    <w:link w:val="FootnoteTextChar"/>
    <w:uiPriority w:val="99"/>
    <w:unhideWhenUsed/>
    <w:rsid w:val="00EE4D6B"/>
    <w:pPr>
      <w:spacing w:after="0" w:line="240" w:lineRule="auto"/>
    </w:pPr>
    <w:rPr>
      <w:sz w:val="20"/>
      <w:szCs w:val="20"/>
    </w:rPr>
  </w:style>
  <w:style w:type="character" w:customStyle="1" w:styleId="FootnoteTextChar">
    <w:name w:val="Footnote Text Char"/>
    <w:basedOn w:val="DefaultParagraphFont"/>
    <w:link w:val="FootnoteText"/>
    <w:uiPriority w:val="99"/>
    <w:rsid w:val="00EE4D6B"/>
    <w:rPr>
      <w:sz w:val="20"/>
      <w:szCs w:val="20"/>
    </w:rPr>
  </w:style>
  <w:style w:type="character" w:styleId="FootnoteReference">
    <w:name w:val="footnote reference"/>
    <w:aliases w:val="o,fr"/>
    <w:basedOn w:val="DefaultParagraphFont"/>
    <w:uiPriority w:val="99"/>
    <w:unhideWhenUsed/>
    <w:rsid w:val="00EE4D6B"/>
    <w:rPr>
      <w:vertAlign w:val="superscript"/>
    </w:rPr>
  </w:style>
  <w:style w:type="character" w:styleId="UnresolvedMention">
    <w:name w:val="Unresolved Mention"/>
    <w:basedOn w:val="DefaultParagraphFont"/>
    <w:uiPriority w:val="99"/>
    <w:semiHidden/>
    <w:unhideWhenUsed/>
    <w:rsid w:val="00734E34"/>
    <w:rPr>
      <w:color w:val="605E5C"/>
      <w:shd w:val="clear" w:color="auto" w:fill="E1DFDD"/>
    </w:rPr>
  </w:style>
  <w:style w:type="character" w:styleId="CommentReference">
    <w:name w:val="annotation reference"/>
    <w:basedOn w:val="DefaultParagraphFont"/>
    <w:uiPriority w:val="99"/>
    <w:semiHidden/>
    <w:unhideWhenUsed/>
    <w:rsid w:val="00F70E1B"/>
    <w:rPr>
      <w:sz w:val="16"/>
      <w:szCs w:val="16"/>
    </w:rPr>
  </w:style>
  <w:style w:type="paragraph" w:styleId="CommentText">
    <w:name w:val="annotation text"/>
    <w:basedOn w:val="Normal"/>
    <w:link w:val="CommentTextChar"/>
    <w:uiPriority w:val="99"/>
    <w:unhideWhenUsed/>
    <w:rsid w:val="00F70E1B"/>
    <w:pPr>
      <w:spacing w:line="240" w:lineRule="auto"/>
    </w:pPr>
    <w:rPr>
      <w:sz w:val="20"/>
      <w:szCs w:val="20"/>
    </w:rPr>
  </w:style>
  <w:style w:type="character" w:customStyle="1" w:styleId="CommentTextChar">
    <w:name w:val="Comment Text Char"/>
    <w:basedOn w:val="DefaultParagraphFont"/>
    <w:link w:val="CommentText"/>
    <w:uiPriority w:val="99"/>
    <w:rsid w:val="00F70E1B"/>
    <w:rPr>
      <w:sz w:val="20"/>
      <w:szCs w:val="20"/>
    </w:rPr>
  </w:style>
  <w:style w:type="paragraph" w:styleId="CommentSubject">
    <w:name w:val="annotation subject"/>
    <w:basedOn w:val="CommentText"/>
    <w:next w:val="CommentText"/>
    <w:link w:val="CommentSubjectChar"/>
    <w:uiPriority w:val="99"/>
    <w:semiHidden/>
    <w:unhideWhenUsed/>
    <w:rsid w:val="00F70E1B"/>
    <w:rPr>
      <w:b/>
      <w:bCs/>
    </w:rPr>
  </w:style>
  <w:style w:type="character" w:customStyle="1" w:styleId="CommentSubjectChar">
    <w:name w:val="Comment Subject Char"/>
    <w:basedOn w:val="CommentTextChar"/>
    <w:link w:val="CommentSubject"/>
    <w:uiPriority w:val="99"/>
    <w:semiHidden/>
    <w:rsid w:val="00F70E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voe@p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RegulatoryComplaints@firstenergy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garcia@FIRSTENERGYCORP.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odsvengence@icloud.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36790-9160-4D17-BF09-7D1289D05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3747</Words>
  <Characters>21360</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dcterms:created xsi:type="dcterms:W3CDTF">2024-02-14T20:54:00Z</dcterms:created>
  <dcterms:modified xsi:type="dcterms:W3CDTF">2024-02-14T20:54:00Z</dcterms:modified>
</cp:coreProperties>
</file>