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16A6193" w:rsidR="009E1C5A" w:rsidRPr="007A4C3A" w:rsidRDefault="00F55A0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Ha</w:t>
      </w:r>
      <w:r w:rsidR="00166B2F">
        <w:rPr>
          <w:rFonts w:ascii="Times New Roman" w:hAnsi="Times New Roman" w:cs="Times New Roman"/>
          <w:spacing w:val="-3"/>
        </w:rPr>
        <w:t>r</w:t>
      </w:r>
      <w:r>
        <w:rPr>
          <w:rFonts w:ascii="Times New Roman" w:hAnsi="Times New Roman" w:cs="Times New Roman"/>
          <w:spacing w:val="-3"/>
        </w:rPr>
        <w:t>bek</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65E106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C-2023-3041</w:t>
      </w:r>
      <w:r w:rsidR="00D221E1">
        <w:rPr>
          <w:rFonts w:ascii="Times New Roman" w:hAnsi="Times New Roman" w:cs="Times New Roman"/>
          <w:spacing w:val="-3"/>
        </w:rPr>
        <w:t>925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963E8A1"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w:t>
      </w:r>
      <w:proofErr w:type="spellStart"/>
      <w:r>
        <w:rPr>
          <w:rFonts w:ascii="Times New Roman" w:hAnsi="Times New Roman" w:cs="Times New Roman"/>
          <w:spacing w:val="-3"/>
        </w:rPr>
        <w:t>Eneryg</w:t>
      </w:r>
      <w:proofErr w:type="spellEnd"/>
      <w:r w:rsidR="005356C4">
        <w:rPr>
          <w:rFonts w:ascii="Times New Roman" w:hAnsi="Times New Roman" w:cs="Times New Roman"/>
          <w:spacing w:val="-3"/>
        </w:rPr>
        <w:t xml:space="preserve"> Com</w:t>
      </w:r>
      <w:r w:rsidR="00D21C0A">
        <w:rPr>
          <w:rFonts w:ascii="Times New Roman" w:hAnsi="Times New Roman" w:cs="Times New Roman"/>
          <w:spacing w:val="-3"/>
        </w:rPr>
        <w:t>pany</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E26D375" w:rsidR="00AE4215" w:rsidRDefault="00AE4215" w:rsidP="000B6181">
      <w:pPr>
        <w:ind w:left="1440"/>
      </w:pPr>
      <w:r w:rsidRPr="000F32AA">
        <w:rPr>
          <w:b/>
        </w:rPr>
        <w:t>DATE</w:t>
      </w:r>
      <w:r w:rsidRPr="000F32AA">
        <w:t xml:space="preserve">:   </w:t>
      </w:r>
      <w:r w:rsidRPr="000F32AA">
        <w:tab/>
      </w:r>
      <w:r w:rsidR="003871AC">
        <w:tab/>
      </w:r>
      <w:r w:rsidR="00652280">
        <w:t>Wednesday</w:t>
      </w:r>
      <w:r w:rsidR="00D221E1">
        <w:t xml:space="preserve">, March </w:t>
      </w:r>
      <w:r w:rsidR="00652280">
        <w:t>20</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EA809D8" w14:textId="77777777" w:rsidR="00CE075E" w:rsidRPr="00CE075E" w:rsidRDefault="00CE075E" w:rsidP="00CE075E">
      <w:pPr>
        <w:rPr>
          <w:rFonts w:ascii="Times New Roman" w:eastAsia="Microsoft Sans Serif" w:hAnsi="Times New Roman" w:cs="Times New Roman"/>
        </w:rPr>
      </w:pPr>
      <w:r w:rsidRPr="00CE075E">
        <w:rPr>
          <w:rFonts w:ascii="Times New Roman" w:eastAsia="Microsoft Sans Serif" w:hAnsi="Times New Roman" w:cs="Times New Roman"/>
          <w:b/>
          <w:u w:val="single"/>
        </w:rPr>
        <w:lastRenderedPageBreak/>
        <w:t>C-2023-3041925 - KRISTIN HARBEK v. PECO ENERGY COMPANY</w:t>
      </w:r>
      <w:r w:rsidRPr="00CE075E">
        <w:rPr>
          <w:rFonts w:ascii="Times New Roman" w:eastAsia="Microsoft Sans Serif" w:hAnsi="Times New Roman" w:cs="Times New Roman"/>
          <w:b/>
          <w:u w:val="single"/>
        </w:rPr>
        <w:cr/>
      </w:r>
      <w:r w:rsidRPr="00CE075E">
        <w:rPr>
          <w:rFonts w:ascii="Times New Roman" w:eastAsia="Microsoft Sans Serif" w:hAnsi="Times New Roman" w:cs="Times New Roman"/>
          <w:b/>
          <w:u w:val="single"/>
        </w:rPr>
        <w:cr/>
      </w:r>
      <w:r w:rsidRPr="00CE075E">
        <w:rPr>
          <w:rFonts w:ascii="Times New Roman" w:eastAsia="Microsoft Sans Serif" w:hAnsi="Times New Roman" w:cs="Times New Roman"/>
        </w:rPr>
        <w:t>KRISTEN HARBEK</w:t>
      </w:r>
      <w:r w:rsidRPr="00CE075E">
        <w:rPr>
          <w:rFonts w:ascii="Times New Roman" w:eastAsia="Microsoft Sans Serif" w:hAnsi="Times New Roman" w:cs="Times New Roman"/>
        </w:rPr>
        <w:cr/>
        <w:t>12617 CHILTON ROAD</w:t>
      </w:r>
      <w:r w:rsidRPr="00CE075E">
        <w:rPr>
          <w:rFonts w:ascii="Times New Roman" w:eastAsia="Microsoft Sans Serif" w:hAnsi="Times New Roman" w:cs="Times New Roman"/>
        </w:rPr>
        <w:cr/>
        <w:t>PHILADELPHIA PA  19154</w:t>
      </w:r>
      <w:r w:rsidRPr="00CE075E">
        <w:rPr>
          <w:rFonts w:ascii="Times New Roman" w:eastAsia="Microsoft Sans Serif" w:hAnsi="Times New Roman" w:cs="Times New Roman"/>
        </w:rPr>
        <w:cr/>
      </w:r>
      <w:r w:rsidRPr="00CE075E">
        <w:rPr>
          <w:rFonts w:ascii="Times New Roman" w:eastAsia="Microsoft Sans Serif" w:hAnsi="Times New Roman" w:cs="Times New Roman"/>
          <w:b/>
          <w:bCs/>
        </w:rPr>
        <w:t>215.518.4547</w:t>
      </w:r>
      <w:r w:rsidRPr="00CE075E">
        <w:rPr>
          <w:rFonts w:ascii="Times New Roman" w:eastAsia="Microsoft Sans Serif" w:hAnsi="Times New Roman" w:cs="Times New Roman"/>
          <w:b/>
          <w:bCs/>
        </w:rPr>
        <w:cr/>
      </w:r>
      <w:hyperlink r:id="rId12" w:history="1">
        <w:r w:rsidRPr="00CE075E">
          <w:rPr>
            <w:rStyle w:val="Hyperlink"/>
            <w:rFonts w:ascii="Times New Roman" w:eastAsia="Microsoft Sans Serif" w:hAnsi="Times New Roman" w:cs="Times New Roman"/>
          </w:rPr>
          <w:t>hrbek22@gmail.com</w:t>
        </w:r>
      </w:hyperlink>
      <w:r w:rsidRPr="00CE075E">
        <w:rPr>
          <w:rFonts w:ascii="Times New Roman" w:eastAsia="Microsoft Sans Serif" w:hAnsi="Times New Roman" w:cs="Times New Roman"/>
        </w:rPr>
        <w:br/>
        <w:t>Served electronically and first-class mail</w:t>
      </w:r>
    </w:p>
    <w:p w14:paraId="1F8E8780" w14:textId="77777777" w:rsidR="00CE075E" w:rsidRPr="00CE075E" w:rsidRDefault="00CE075E" w:rsidP="00CE075E">
      <w:pPr>
        <w:rPr>
          <w:rFonts w:ascii="Times New Roman" w:eastAsia="Microsoft Sans Serif" w:hAnsi="Times New Roman" w:cs="Times New Roman"/>
        </w:rPr>
      </w:pPr>
      <w:r w:rsidRPr="00CE075E">
        <w:rPr>
          <w:rFonts w:ascii="Times New Roman" w:eastAsia="Microsoft Sans Serif" w:hAnsi="Times New Roman" w:cs="Times New Roman"/>
        </w:rPr>
        <w:cr/>
        <w:t>KHADIJAH SCOTT ESQUIRE</w:t>
      </w:r>
      <w:r w:rsidRPr="00CE075E">
        <w:rPr>
          <w:rFonts w:ascii="Times New Roman" w:eastAsia="Microsoft Sans Serif" w:hAnsi="Times New Roman" w:cs="Times New Roman"/>
        </w:rPr>
        <w:br/>
        <w:t>PECO ENERGY COMPANY</w:t>
      </w:r>
      <w:r w:rsidRPr="00CE075E">
        <w:rPr>
          <w:rFonts w:ascii="Times New Roman" w:eastAsia="Microsoft Sans Serif" w:hAnsi="Times New Roman" w:cs="Times New Roman"/>
        </w:rPr>
        <w:cr/>
        <w:t>2301 MARKET STREET - S23-1</w:t>
      </w:r>
      <w:r w:rsidRPr="00CE075E">
        <w:rPr>
          <w:rFonts w:ascii="Times New Roman" w:eastAsia="Microsoft Sans Serif" w:hAnsi="Times New Roman" w:cs="Times New Roman"/>
        </w:rPr>
        <w:cr/>
        <w:t>PHILADELPHIA PA  19103</w:t>
      </w:r>
      <w:r w:rsidRPr="00CE075E">
        <w:rPr>
          <w:rFonts w:ascii="Times New Roman" w:eastAsia="Microsoft Sans Serif" w:hAnsi="Times New Roman" w:cs="Times New Roman"/>
        </w:rPr>
        <w:cr/>
      </w:r>
      <w:r w:rsidRPr="00CE075E">
        <w:rPr>
          <w:rFonts w:ascii="Times New Roman" w:eastAsia="Microsoft Sans Serif" w:hAnsi="Times New Roman" w:cs="Times New Roman"/>
          <w:b/>
          <w:bCs/>
        </w:rPr>
        <w:t>267.533.1830</w:t>
      </w:r>
      <w:r w:rsidRPr="00CE075E">
        <w:rPr>
          <w:rFonts w:ascii="Times New Roman" w:eastAsia="Microsoft Sans Serif" w:hAnsi="Times New Roman" w:cs="Times New Roman"/>
        </w:rPr>
        <w:cr/>
      </w:r>
      <w:hyperlink r:id="rId13" w:history="1">
        <w:r w:rsidRPr="00CE075E">
          <w:rPr>
            <w:rStyle w:val="Hyperlink"/>
            <w:rFonts w:ascii="Times New Roman" w:eastAsia="Microsoft Sans Serif" w:hAnsi="Times New Roman" w:cs="Times New Roman"/>
          </w:rPr>
          <w:t>Khadijah.Scott@exeloncorp.com</w:t>
        </w:r>
      </w:hyperlink>
      <w:r w:rsidRPr="00CE075E">
        <w:rPr>
          <w:rFonts w:ascii="Times New Roman" w:eastAsia="Microsoft Sans Serif" w:hAnsi="Times New Roman" w:cs="Times New Roman"/>
        </w:rPr>
        <w:br/>
        <w:t>Accepts eService</w:t>
      </w:r>
      <w:r w:rsidRPr="00CE075E">
        <w:rPr>
          <w:rFonts w:ascii="Times New Roman" w:eastAsia="Microsoft Sans Serif" w:hAnsi="Times New Roman" w:cs="Times New Roman"/>
        </w:rPr>
        <w:br/>
      </w:r>
      <w:r w:rsidRPr="00CE075E">
        <w:rPr>
          <w:rFonts w:ascii="Times New Roman" w:eastAsia="Microsoft Sans Serif" w:hAnsi="Times New Roman" w:cs="Times New Roman"/>
          <w:i/>
          <w:iCs/>
        </w:rPr>
        <w:t>(Counsel for PECO Energy Company)</w:t>
      </w:r>
      <w:r w:rsidRPr="00CE075E">
        <w:rPr>
          <w:rFonts w:ascii="Times New Roman" w:eastAsia="Microsoft Sans Serif" w:hAnsi="Times New Roman" w:cs="Times New Roman"/>
          <w:i/>
          <w:iCs/>
        </w:rPr>
        <w:cr/>
      </w:r>
      <w:r w:rsidRPr="00CE075E">
        <w:rPr>
          <w:rFonts w:ascii="Times New Roman" w:eastAsia="Microsoft Sans Serif" w:hAnsi="Times New Roman" w:cs="Times New Roman"/>
        </w:rPr>
        <w:cr/>
      </w:r>
    </w:p>
    <w:p w14:paraId="43F075CF" w14:textId="77777777" w:rsidR="007503BD" w:rsidRPr="00CE075E" w:rsidRDefault="007503BD" w:rsidP="00CE075E">
      <w:pPr>
        <w:pStyle w:val="Normal1"/>
        <w:spacing w:before="0" w:beforeAutospacing="0" w:after="0" w:afterAutospacing="0"/>
      </w:pPr>
    </w:p>
    <w:sectPr w:rsidR="007503BD" w:rsidRPr="00CE075E" w:rsidSect="0093738E">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0381" w14:textId="77777777" w:rsidR="0093738E" w:rsidRDefault="0093738E" w:rsidP="00244F8F">
      <w:r>
        <w:separator/>
      </w:r>
    </w:p>
  </w:endnote>
  <w:endnote w:type="continuationSeparator" w:id="0">
    <w:p w14:paraId="42098911" w14:textId="77777777" w:rsidR="0093738E" w:rsidRDefault="0093738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3B14" w14:textId="77777777" w:rsidR="0093738E" w:rsidRDefault="0093738E" w:rsidP="00244F8F">
      <w:r>
        <w:separator/>
      </w:r>
    </w:p>
  </w:footnote>
  <w:footnote w:type="continuationSeparator" w:id="0">
    <w:p w14:paraId="487FD7F5" w14:textId="77777777" w:rsidR="0093738E" w:rsidRDefault="0093738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14EB"/>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07F0"/>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280"/>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022A"/>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3738E"/>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ek22@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2024-02-21T21:09:00Z</dcterms:created>
  <dcterms:modified xsi:type="dcterms:W3CDTF">2024-02-21T21:09:00Z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